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2C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甲方（委托单位）：西安市鄠邑区秦岭生态环境保护和综合执法局</w:t>
      </w:r>
    </w:p>
    <w:p w14:paraId="79EDD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乙方（养护单位）：                            </w:t>
      </w:r>
    </w:p>
    <w:p w14:paraId="18CA2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按照《中华人民共和国民法典》及绿化养护有关规定，并根据具体情况，双方协议如下：</w:t>
      </w:r>
    </w:p>
    <w:p w14:paraId="156AC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根据</w:t>
      </w:r>
      <w:r>
        <w:rPr>
          <w:rFonts w:hint="eastAsia" w:ascii="仿宋" w:hAnsi="仿宋" w:eastAsia="仿宋" w:cs="仿宋"/>
          <w:sz w:val="21"/>
          <w:szCs w:val="21"/>
          <w:u w:val="single"/>
        </w:rPr>
        <w:t>“三区两带”困难立地植被恢复项目</w:t>
      </w:r>
      <w:r>
        <w:rPr>
          <w:rFonts w:hint="eastAsia" w:ascii="仿宋" w:hAnsi="仿宋" w:eastAsia="仿宋" w:cs="仿宋"/>
          <w:sz w:val="21"/>
          <w:szCs w:val="21"/>
        </w:rPr>
        <w:t>的采购结果， 经双方协商，本着平等互利和诚实信用的原则，一致同意签订本合同如下:</w:t>
      </w:r>
    </w:p>
    <w:p w14:paraId="4250F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一、合同金额：</w:t>
      </w:r>
    </w:p>
    <w:p w14:paraId="06F6A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合同金额为人民币（大写）：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1"/>
          <w:szCs w:val="21"/>
        </w:rPr>
        <w:t>元；小写：(￥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</w:t>
      </w:r>
      <w:r>
        <w:rPr>
          <w:rFonts w:hint="eastAsia" w:ascii="仿宋" w:hAnsi="仿宋" w:eastAsia="仿宋" w:cs="仿宋"/>
          <w:sz w:val="21"/>
          <w:szCs w:val="21"/>
        </w:rPr>
        <w:t>元）。</w:t>
      </w:r>
    </w:p>
    <w:p w14:paraId="5A08A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二、服务范围</w:t>
      </w:r>
    </w:p>
    <w:p w14:paraId="5BBFA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甲方聘请乙方提供以下服务：挖种植穴、苗木运输、苗木卸车、现场倒运、苗木 栽植、修剪、平整场地、填换土方、覆土扶苗、围水圈、现场清理、后期养护等。</w:t>
      </w:r>
    </w:p>
    <w:p w14:paraId="2B6E9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三、甲方乙方的权利和义务</w:t>
      </w:r>
    </w:p>
    <w:p w14:paraId="1D6AE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（一） 甲方的权利和义务</w:t>
      </w:r>
    </w:p>
    <w:p w14:paraId="3CDCD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1.甲方提供本工程资料(绿化作业设计文本、图纸等)。</w:t>
      </w:r>
    </w:p>
    <w:p w14:paraId="073ED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2.甲方有权对施工作业进行监督，并指派负责人担任施工 技术指导和随工验收，一旦发现乙方施工质量问题或未按设计要求施工，负责人有权责令乙方停工或返工，所发生的全部费用由乙方承担 。</w:t>
      </w:r>
    </w:p>
    <w:p w14:paraId="5CF3C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3.甲方负责根据本合同的规定组织对本工程进行竣工验收。</w:t>
      </w:r>
    </w:p>
    <w:p w14:paraId="3E1D1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4.及时结算支付工程款。</w:t>
      </w:r>
    </w:p>
    <w:p w14:paraId="3DEF0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（二） 乙方的权利和义务</w:t>
      </w:r>
    </w:p>
    <w:p w14:paraId="3076E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1.严格按照作业设计要点组织施工，保证施工进度和质量。服从甲方和监理单位的监督指导，承担因不规范作业或不服从监管指导所造成的整改返工经济损失。</w:t>
      </w:r>
    </w:p>
    <w:p w14:paraId="6345DD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2.施工作业期间，采取张贴告示、树立警示标志等措施，提醒周围群众防止人畜中毒及勿破坏药械，确保生态安全和人生安全。</w:t>
      </w:r>
    </w:p>
    <w:p w14:paraId="4BD48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3.乙方在施工期间，加强作业人员安全教育，防治施工作业人员必须严格遵守施工作业操作规程，保证工程质量和作业安全，否则一切法律后果由乙方自负。</w:t>
      </w:r>
    </w:p>
    <w:p w14:paraId="7FE7E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4.作业期间乙方须严格遵循安全生产措施，做好安全施工培训和施工期间巡护检查，施工人员在作业期间发生的伤病事故等一切意外事故由乙方自理，甲方概不负责。           </w:t>
      </w:r>
    </w:p>
    <w:p w14:paraId="04E97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5.造林所需苗木必须具有“两证一签”,即苗木合格证、 苗木检疫证、苗木标签。苗木运输进入林区必须携带植物检疫证书，一车一证；禁止从美国白蛾疫情调运苗木。调入苗木必须经过区森防站复检合格后才能栽植。</w:t>
      </w:r>
    </w:p>
    <w:p w14:paraId="2C478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四、工期及养护期</w:t>
      </w:r>
    </w:p>
    <w:p w14:paraId="45DC8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工期：自进场之日起30个日历日内完成栽植，栽植结束后进行日常养护;</w:t>
      </w:r>
    </w:p>
    <w:p w14:paraId="3A0DB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养护期：在项目建设栽植结束后，对所有苗木进行为期一年的日常养护。</w:t>
      </w:r>
    </w:p>
    <w:p w14:paraId="3C2A4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五、付款方式</w:t>
      </w:r>
    </w:p>
    <w:p w14:paraId="457D9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1、转账方式：银行转账。</w:t>
      </w:r>
    </w:p>
    <w:p w14:paraId="01AE8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2、乙方应根据甲方需要提供等额正规发票给甲方。</w:t>
      </w:r>
    </w:p>
    <w:p w14:paraId="16286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3、付款方式：</w:t>
      </w:r>
    </w:p>
    <w:p w14:paraId="7CCCE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（1）合同签订后人员机械进场后支付总价款50%作为预付款；</w:t>
      </w:r>
    </w:p>
    <w:p w14:paraId="5AA329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（2）工程施工竣工初验合格后，甲方向乙方支付30%；</w:t>
      </w:r>
    </w:p>
    <w:p w14:paraId="5CDAD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（3）养护期满竣工验收合格且结算审计完成后，甲方向乙方支付剩余款项金额。。</w:t>
      </w:r>
    </w:p>
    <w:p w14:paraId="38F93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六、竣工验收及养护管理</w:t>
      </w:r>
    </w:p>
    <w:p w14:paraId="7C2C0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(一)工程竣工后，乙方应向甲方提出书面验收申请，列清竣工资料及竣工图，确保竣工资料真实、准确、完整，监理单位出具 验收意见(盖章),然后由甲方组织技术人员进行验收。</w:t>
      </w:r>
    </w:p>
    <w:p w14:paraId="71243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(二)工程养护期为一年，自该项目栽植结束验收合格之日计算养护期。</w:t>
      </w:r>
    </w:p>
    <w:p w14:paraId="2959E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(三)养护期内承包人负责绿化的日常种植、养护、补栽、移植、修剪、施肥、病虫害防治、灌溉、覆土、微地形整理等。</w:t>
      </w:r>
    </w:p>
    <w:p w14:paraId="6668D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七、争议的解决</w:t>
      </w:r>
    </w:p>
    <w:p w14:paraId="55053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1.因履行本合同引起的或与本合同有关的争议，甲、乙双方应首先通过友好协商解决，如果协商不成，则采取以下第1种方式解决争议：</w:t>
      </w:r>
    </w:p>
    <w:p w14:paraId="7EA1F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（一）向甲方所在地有管辖权的人民法院提起诉讼；</w:t>
      </w:r>
    </w:p>
    <w:p w14:paraId="1B8A6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（二）向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</w:t>
      </w:r>
      <w:r>
        <w:rPr>
          <w:rFonts w:hint="eastAsia" w:ascii="仿宋" w:hAnsi="仿宋" w:eastAsia="仿宋" w:cs="仿宋"/>
          <w:sz w:val="21"/>
          <w:szCs w:val="21"/>
        </w:rPr>
        <w:t>仲裁委员会按其仲裁规则申请仲裁。</w:t>
      </w:r>
    </w:p>
    <w:p w14:paraId="72758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2.在仲裁期间，本合同应继续履行。</w:t>
      </w:r>
    </w:p>
    <w:p w14:paraId="1C6C8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八、不可抗力：</w:t>
      </w:r>
    </w:p>
    <w:p w14:paraId="718C7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任何一方由于不可抗力原因不能履行合同时，应在不可抗力事件结束后 1 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24EA4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九、税费：</w:t>
      </w:r>
    </w:p>
    <w:p w14:paraId="31765D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在中国境内、外发生的与本合同执行有关的一切税费均由乙方负担。</w:t>
      </w:r>
    </w:p>
    <w:p w14:paraId="5DF19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十、其它</w:t>
      </w:r>
    </w:p>
    <w:p w14:paraId="73C3EC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1.本合同所有附件、采购文件、响应文件、成交通知书均为合同的有效组成部分，与本合同具有同等法律效力。</w:t>
      </w:r>
    </w:p>
    <w:p w14:paraId="56394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2.在执行本合同的过程中，所有经双方签署确认的文件（包括会议纪要、补充协议、往来信函）即成为本合同的有效组成部分。</w:t>
      </w:r>
    </w:p>
    <w:p w14:paraId="6D3B9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3.如一方地址、电话、传真号码有变更，应在变更当日内书面通知对方，否则，应承担相应责任。</w:t>
      </w:r>
    </w:p>
    <w:p w14:paraId="7DCD9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4.除甲方事先书面同意外，乙方不得部分或全部转让其应履行的合同项下的义务。</w:t>
      </w:r>
    </w:p>
    <w:p w14:paraId="43C4D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十一、合同生效：</w:t>
      </w:r>
    </w:p>
    <w:p w14:paraId="44951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1.本合同在甲乙双方法人代表或其授权代表签字盖章后生效。</w:t>
      </w:r>
    </w:p>
    <w:p w14:paraId="6CDC9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2.合同一式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陆 </w:t>
      </w:r>
      <w:r>
        <w:rPr>
          <w:rFonts w:hint="eastAsia" w:ascii="仿宋" w:hAnsi="仿宋" w:eastAsia="仿宋" w:cs="仿宋"/>
          <w:sz w:val="21"/>
          <w:szCs w:val="21"/>
        </w:rPr>
        <w:t>份；甲乙双方各</w:t>
      </w:r>
      <w:r>
        <w:rPr>
          <w:rFonts w:hint="eastAsia" w:ascii="仿宋" w:hAnsi="仿宋" w:eastAsia="仿宋" w:cs="仿宋"/>
          <w:sz w:val="21"/>
          <w:szCs w:val="21"/>
          <w:u w:val="single"/>
        </w:rPr>
        <w:t>叁</w:t>
      </w:r>
      <w:r>
        <w:rPr>
          <w:rFonts w:hint="eastAsia" w:ascii="仿宋" w:hAnsi="仿宋" w:eastAsia="仿宋" w:cs="仿宋"/>
          <w:sz w:val="21"/>
          <w:szCs w:val="21"/>
        </w:rPr>
        <w:t>份，具有同样法律效应。</w:t>
      </w:r>
    </w:p>
    <w:p w14:paraId="24048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</w:p>
    <w:p w14:paraId="237EA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甲方名称：（盖章）               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1"/>
          <w:szCs w:val="21"/>
        </w:rPr>
        <w:t>乙方名称：（盖章）</w:t>
      </w:r>
    </w:p>
    <w:p w14:paraId="067A4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统一社会信用代码：               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1"/>
          <w:szCs w:val="21"/>
        </w:rPr>
        <w:t>统一社会信用代码：</w:t>
      </w:r>
    </w:p>
    <w:p w14:paraId="2EA5B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地址：                            地址：</w:t>
      </w:r>
    </w:p>
    <w:p w14:paraId="19E16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法定代表人或授权代表（签字）：    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1"/>
          <w:szCs w:val="21"/>
        </w:rPr>
        <w:t>法定代表人或授权代表（签字）：</w:t>
      </w:r>
    </w:p>
    <w:p w14:paraId="3ADF8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电话：                             电话：</w:t>
      </w:r>
    </w:p>
    <w:p w14:paraId="057FB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开户银行：                       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1"/>
          <w:szCs w:val="21"/>
        </w:rPr>
        <w:t>开户银行：</w:t>
      </w:r>
    </w:p>
    <w:p w14:paraId="7FAA8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银行帐号：                       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1"/>
          <w:szCs w:val="21"/>
        </w:rPr>
        <w:t>银行帐号：</w:t>
      </w:r>
      <w:bookmarkStart w:id="0" w:name="_GoBack"/>
      <w:bookmarkEnd w:id="0"/>
    </w:p>
    <w:p w14:paraId="0EE27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年     月     日               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A7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2026-05-09T04:51:28Z</dcterms:created>
  <dc:creator>13983</dc:creator>
  <cp:lastModifiedBy>R·</cp:lastModifiedBy>
  <dcterms:modified xsi:type="dcterms:W3CDTF">2026-05-09T04:57:23Z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eyJoZGlkIjoiY2U2MGYyZWMzYTEzNTg2MTQ1OGQ1NzQ1ZDhkMGM0Y2QiLCJ1c2VySWQiOiI0ODk2NzQ5NDEifQ==</vt:lpwstr>
  </property>
  <property fmtid="{D5CDD505-2E9C-101B-9397-08002B2CF9AE}" pid="4" name="ICV">
    <vt:lpwstr>49A522482E3849D9848F0168EFEF968F_12</vt:lpwstr>
  </property>
</Properties>
</file>