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版本号：ZCSP-渭南市-2026-0021120260622001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渭南市后岭淤地坝除险加固工程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ZCSP-渭南市-2026-00211</w:t>
      </w:r>
      <w:r>
        <w:br/>
      </w:r>
      <w:r>
        <w:br/>
      </w:r>
      <w:r>
        <w:br/>
      </w:r>
    </w:p>
    <w:p>
      <w:pPr>
        <w:pStyle w:val="null3"/>
        <w:jc w:val="center"/>
        <w:outlineLvl w:val="2"/>
      </w:pPr>
      <w:r>
        <w:rPr>
          <w:rFonts w:ascii="仿宋_GB2312" w:hAnsi="仿宋_GB2312" w:cs="仿宋_GB2312" w:eastAsia="仿宋_GB2312"/>
          <w:sz w:val="28"/>
          <w:b/>
        </w:rPr>
        <w:t>渭南市水土保持和移民工作中心</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渭南市水土保持和移民工作中心</w:t>
      </w:r>
      <w:r>
        <w:rPr>
          <w:rFonts w:ascii="仿宋_GB2312" w:hAnsi="仿宋_GB2312" w:cs="仿宋_GB2312" w:eastAsia="仿宋_GB2312"/>
        </w:rPr>
        <w:t>委托，拟对</w:t>
      </w:r>
      <w:r>
        <w:rPr>
          <w:rFonts w:ascii="仿宋_GB2312" w:hAnsi="仿宋_GB2312" w:cs="仿宋_GB2312" w:eastAsia="仿宋_GB2312"/>
        </w:rPr>
        <w:t>渭南市后岭淤地坝除险加固工程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ZCSP-渭南市-2026-00211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渭南市后岭淤地坝除险加固工程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通过加固坝体、维修放水设施，保证坝体安全，巩固坝体、淤地成果，实现淤地坝拦泥、淤地的建设宗旨，同时控制沟道下切侵蚀，保护下游居民、道路的安全。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采购包1（渭南市后岭淤地坝除险加固工程）：属于专门面向中小企业采购。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1、企业资质：供应商须具备水利水电工程施工总承包三级（含三级）及以上资质，并具有有效的安全生产许可证；</w:t>
      </w:r>
    </w:p>
    <w:p>
      <w:pPr>
        <w:pStyle w:val="null3"/>
      </w:pPr>
      <w:r>
        <w:rPr>
          <w:rFonts w:ascii="仿宋_GB2312" w:hAnsi="仿宋_GB2312" w:cs="仿宋_GB2312" w:eastAsia="仿宋_GB2312"/>
        </w:rPr>
        <w:t>2、项目经理：拟派项目经理须具有水利水电工程二级及以上注册建造师资格并具有有效的安全生产考核合格证，且无在建工程；</w:t>
      </w:r>
    </w:p>
    <w:p>
      <w:pPr>
        <w:pStyle w:val="null3"/>
      </w:pPr>
      <w:r>
        <w:rPr>
          <w:rFonts w:ascii="仿宋_GB2312" w:hAnsi="仿宋_GB2312" w:cs="仿宋_GB2312" w:eastAsia="仿宋_GB2312"/>
        </w:rPr>
        <w:t>3、法定代表人身份证明书/法定代表人授权书：法定代表人参与磋商时需提供法定代表人身份证明书；被授权人参与磋商时需提供法定代表人身份证明书及法定代表人授权委托书；</w:t>
      </w:r>
    </w:p>
    <w:p>
      <w:pPr>
        <w:pStyle w:val="null3"/>
      </w:pPr>
      <w:r>
        <w:rPr>
          <w:rFonts w:ascii="仿宋_GB2312" w:hAnsi="仿宋_GB2312" w:cs="仿宋_GB2312" w:eastAsia="仿宋_GB2312"/>
        </w:rPr>
        <w:t>4、磋商保证金：磋商保证金交纳凭证</w:t>
      </w:r>
    </w:p>
    <w:p>
      <w:pPr>
        <w:pStyle w:val="null3"/>
      </w:pPr>
      <w:r>
        <w:rPr>
          <w:rFonts w:ascii="仿宋_GB2312" w:hAnsi="仿宋_GB2312" w:cs="仿宋_GB2312" w:eastAsia="仿宋_GB2312"/>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渭南市水土保持和移民工作中心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渭南市临渭区仓程路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0913-2025026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董鹏飞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杨曦彤</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开户银行：中国工商银行渭南乐天花园支行（行号：102797050086）</w:t>
            </w:r>
          </w:p>
          <w:p>
            <w:pPr>
              <w:pStyle w:val="null3"/>
            </w:pPr>
            <w:r>
              <w:rPr>
                <w:rFonts w:ascii="仿宋_GB2312" w:hAnsi="仿宋_GB2312" w:cs="仿宋_GB2312" w:eastAsia="仿宋_GB2312"/>
              </w:rPr>
              <w:t>银行账号：2605041319200030511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渭南市水土保持和移民工作中心</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渭南市水土保持和移民工作中心</w:t>
      </w:r>
      <w:r>
        <w:rPr>
          <w:rFonts w:ascii="仿宋_GB2312" w:hAnsi="仿宋_GB2312" w:cs="仿宋_GB2312" w:eastAsia="仿宋_GB2312"/>
        </w:rPr>
        <w:t>负责解释。除上述磋商文件内容，其他内容由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渭南市水土保持和移民工作中心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1、本工程应按工程量清单及磋商文件全部内容完成。 2、本工程验收标准应符合国家相关工程管理规定及行业标准。 3、依据磋商文件及成交人响应文件及签证单等文件内容进行验收。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联系人：董鹏飞</w:t>
      </w:r>
    </w:p>
    <w:p>
      <w:pPr>
        <w:pStyle w:val="null3"/>
      </w:pPr>
      <w:r>
        <w:rPr>
          <w:rFonts w:ascii="仿宋_GB2312" w:hAnsi="仿宋_GB2312" w:cs="仿宋_GB2312" w:eastAsia="仿宋_GB2312"/>
        </w:rPr>
        <w:t>联系电话：0913-2136088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598,524.99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渭南市后岭淤地坝除险加固工程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标的名称：渭南市后岭淤地坝除险加固工程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通过加固坝体、维修放水设施，保证坝体安全，巩固坝体、淤地成果，实现淤地坝拦泥、淤地的建设宗旨，同时控制沟道下切侵蚀，保护下游居民、道路的安全。</w:t>
            </w:r>
          </w:p>
          <w:p>
            <w:pPr>
              <w:pStyle w:val="null3"/>
            </w:pPr>
            <w:r>
              <w:rPr>
                <w:rFonts w:ascii="仿宋_GB2312" w:hAnsi="仿宋_GB2312" w:cs="仿宋_GB2312" w:eastAsia="仿宋_GB2312"/>
              </w:rPr>
              <w:t>（1）坝体冲毁段修复，溃坝部分进行清理回填；</w:t>
            </w:r>
          </w:p>
          <w:p>
            <w:pPr>
              <w:pStyle w:val="null3"/>
            </w:pPr>
            <w:r>
              <w:rPr>
                <w:rFonts w:ascii="仿宋_GB2312" w:hAnsi="仿宋_GB2312" w:cs="仿宋_GB2312" w:eastAsia="仿宋_GB2312"/>
              </w:rPr>
              <w:t>（2）坝体迎水坡修复，对垮塌的前坝坡进行重新碾压；</w:t>
            </w:r>
          </w:p>
          <w:p>
            <w:pPr>
              <w:pStyle w:val="null3"/>
            </w:pPr>
            <w:r>
              <w:rPr>
                <w:rFonts w:ascii="仿宋_GB2312" w:hAnsi="仿宋_GB2312" w:cs="仿宋_GB2312" w:eastAsia="仿宋_GB2312"/>
              </w:rPr>
              <w:t>（3）放水设施修复，左岸重建放水卧管、涵管；</w:t>
            </w:r>
          </w:p>
          <w:p>
            <w:pPr>
              <w:pStyle w:val="null3"/>
            </w:pPr>
            <w:r>
              <w:rPr>
                <w:rFonts w:ascii="仿宋_GB2312" w:hAnsi="仿宋_GB2312" w:cs="仿宋_GB2312" w:eastAsia="仿宋_GB2312"/>
              </w:rPr>
              <w:t>（4）背水坡排水设施完善，补充背水侧横向，纵向，及岸坡排水沟，防止降水汇流冲刷坝体；</w:t>
            </w:r>
          </w:p>
          <w:p>
            <w:pPr>
              <w:pStyle w:val="null3"/>
            </w:pPr>
            <w:r>
              <w:rPr>
                <w:rFonts w:ascii="仿宋_GB2312" w:hAnsi="仿宋_GB2312" w:cs="仿宋_GB2312" w:eastAsia="仿宋_GB2312"/>
              </w:rPr>
              <w:t>（5）完善上坝道路，恢复生产路道路；</w:t>
            </w:r>
          </w:p>
          <w:p>
            <w:pPr>
              <w:pStyle w:val="null3"/>
            </w:pPr>
            <w:r>
              <w:rPr>
                <w:rFonts w:ascii="仿宋_GB2312" w:hAnsi="仿宋_GB2312" w:cs="仿宋_GB2312" w:eastAsia="仿宋_GB2312"/>
              </w:rPr>
              <w:t>（6）取土场综合治理，布设排水沟、坡面绿化植草。</w:t>
            </w:r>
          </w:p>
          <w:p>
            <w:pPr>
              <w:pStyle w:val="null3"/>
            </w:pPr>
            <w:r>
              <w:rPr>
                <w:rFonts w:ascii="仿宋_GB2312" w:hAnsi="仿宋_GB2312" w:cs="仿宋_GB2312" w:eastAsia="仿宋_GB2312"/>
              </w:rPr>
              <w:t>注：具体内容以实施方案为准。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相关的国家现行有关设计规范、规程和地方法规、标准。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90日历天。（2）工程地点：合阳县甘井镇后岭村。（3）质量标准：合格。（4）质保期：自验收合格之日起一年。（5）付款方式：本工程进度付款依据工程进度情况按比例将进度应付款支付给供应商。工程完工后，进度款拨付至供应商合同总金额的80%；本工程竣工验收后需要进行结算审计，最终的结算审定金额为本工程的最终合同价款；工程竣工验收一年内采购人付清全部合同价款。（6）本项目担任项目经理的建造师、项目技术负责人、施工员、专职安全员、质量员、材料员等施工现场关键岗位人员，必须与响应文件中载明的人员保持一致。本项目建设工期内实行实名考勤制度，所有关键岗位人员须严格按项目要求驻场履职。若违反上述要求，将依据住建部及陕西省住建厅《关于对全省建筑施工现场关键岗位人员实施实名制管理的通知》（陕建发〔2014〕194号）等相关规定，采购人将上报住建主管部门处理，直至解除施工合同，并依法追究相关单位及人员的责任。</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预算编制费：按照陕价行发[2014]88号文件规定计取；由中标（成交）供应商支付。2.中标（成交）供应商在中标（成交）结果公告发布后3个工作日内提供叁套纸质投标文件（经编标工具生成的文件直接打印），递交的纸质版文件内容确保与线上电子文件保持一致，不允许修改和补充。 3.中标（成交）供应商在中标（成交）结果公告发布后3个工作日内向采购人提交最终版《工程量清单表》，供应商最终版《工程量清单表》中的总报价应与最终磋商总报价保持一致。 4.关于印发中小企业划型标准规定的通知（工信部联企业〔2011〕300号），中小企业划型标准规定：（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须提供合法有效，具有独立承担民事责任能力的证明资料。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财务状况报告：提供具有财务审计资质单位出具的2025年度财务审计报告（成立时间至开标时间不足一年的可提供成立后任意时段的资产负债表）或响应文件递交截止时间前六个月内其基本账户银行出具的资信证明（附基本账户证明）或政府采购信用担保机构出具的投标担保函； 税收缴纳证明：提供响应文件递交截止时间前一年内任意一个月的缴费凭据；依法免税的应提供相关文件证明； 社会保障资金缴纳证明：提供响应文件递交截止时间前一年内任意一个月的社保缴费凭据或社保机构开具的社会保险参保缴费情况证明；依法不需要缴纳社会保障资金的供应商应提供相关文件证明；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三项内容可根据本磋商文件格式要求出具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参与的供应商（联合体）工程的施工单位全部为符合政策要求的中小企业。本项目所属行业：建筑业。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供应商须具备水利水电工程施工总承包三级（含三级）及以上资质，并具有有效的安全生产许可证；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拟派项目经理须具有水利水电工程二级及以上注册建造师资格并具有有效的安全生产考核合格证，且无在建工程；</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法定代表人身份证明书/法定代表人授权书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法定代表人参与磋商时需提供法定代表人身份证明书；被授权人参与磋商时需提供法定代表人身份证明书及法定代表人授权委托书；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磋商响应文件按竞争性磋商文件要求进行签章</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响应文件封面 项目管理机构组成表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技术服务合同条款及其他商务要求应答表.docx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供应商名称应与营业执照相一致</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响应文件封面 项目管理机构组成表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对采购内容响应程度</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响应文件封面 项目管理机构组成表 残疾人福利性单位声明函 报价函 标的清单 供应商类似项目业绩一览表 供应商资格证明文件.docx 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无其他无效磋商处理的情况</w:t>
            </w:r>
          </w:p>
        </w:tc>
        <w:tc>
          <w:tcPr>
            <w:tcW w:type="dxa" w:w="1661"/>
          </w:tcPr>
          <w:p>
            <w:pPr>
              <w:pStyle w:val="null3"/>
            </w:pPr>
            <w:r>
              <w:rPr>
                <w:rFonts w:ascii="仿宋_GB2312" w:hAnsi="仿宋_GB2312" w:cs="仿宋_GB2312" w:eastAsia="仿宋_GB2312"/>
              </w:rPr>
              <w:t>技术方案.docx 已标价工程量清单 技术服务合同条款及其他商务要求应答表.docx 中小企业声明函 强制优先采购产品承诺函 响应文件封面 项目管理机构组成表 残疾人福利性单位声明函 报价函 标的清单 供应商类似项目业绩一览表 供应商资格证明文件.docx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①施工总平面布置； ②施工阶段划分及施工顺序安排； ③资源配备计划：主要施工机械设备、劳动力等配备计划及主材进场计划；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①施工准备； ②施工方法及相关技术措施； ③重点难点工程分析及解决措施。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①施工进度计划及工期保障措施； ②各个进度衔接的保证措施。 （二）评审标准： （1）每项评审内容完整无缺陷得3分，满分6分；未提供得0分；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①质量管理体系； ②施工质量保障措施。 （二）评审标准： （1）每项评审内容完整无缺陷得3分，满分6分；未提供得0分；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①安全生产管理体系；②安全生产责任制度和安全教育培训制度；③各道工序安全技术措施。 （二）评审标准： （1）每项评审内容完整无缺陷得3分，满分9分；未提供得0分；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（一）评审内容：①环境卫生管理制度； ②文明施工及环境保护措施。 （二）评审标准： （1）每项评审内容完整无缺陷得3分，满分6分；未提供得0分； （2）每项评审内容每存在一处缺陷扣0.5分，扣完为止。(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（1）人员配备：拟投入的项目管理机构人员结构合理、岗位职责明确，除项目经理外，项目管理机构每配备1人得0.5分，本项最高得5分； （2）人员职称：项目管理人员中，除项目经理外，每具有一个工程类高级职称人员得1.5分，每具有一个工程类中级职称人员得1分,本项最高得5分。 注：须提供人员相关证件，不提供得0分。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供应商近三年（2023年6月至今）每具有1项类似业绩得1分，最多得5分，未提供得0分。（提供合同复印件加盖公章，以合同签订时间为准）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不高于最高限价，且经磋商小组评审不低于成本价的最终磋商报价为有效磋商报价。 (2) 满足竞争性磋商文件要求且磋商价格最低的最终磋商报价为磋商基准价，得满分40分； (3) 磋商报价得分=(磋商基准价／最终磋商报价)×40%×100。 备注：当磋商小组认为某个供应商的报价明显低于其他通过符合性审查供应商的报价，有可能影响工程质量和不能诚信履约的，可以要求该供应商提供书面说明，必要时提交相关证明材料；供应商不能证明其报价合理的，磋商小组可以将其作为无效磋商处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