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版本号：SZT2026-SN-SC-ZC-HW-057320260612001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连续性血液净化设备（CRRT）购置安装及售后服务项目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SZT2026-SN-SC-ZC-HW-0573</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连续性血液净化设备（CRRT）购置安装及售后服务项目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SZT2026-SN-SC-ZC-HW-0573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连续性血液净化设备（CRRT）购置安装及售后服务项目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连续性血液净化设备（CRRT）购置安装及售后服务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毛冠奇、肖娇娇、王馨、李文俊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联系电话：029-88364979-861</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连续性血液净化设备（CRRT）购置安装及售后服务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连续性血液净化设备（CRRT）购置安装及售后服务项目</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标的名称：连续性血液净化设备（CRRT）购置安装及售后服务项目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连续性血液净化设备（</w:t>
            </w:r>
            <w:r>
              <w:rPr>
                <w:rFonts w:ascii="仿宋_GB2312" w:hAnsi="仿宋_GB2312" w:cs="仿宋_GB2312" w:eastAsia="仿宋_GB2312"/>
                <w:sz w:val="36"/>
                <w:b/>
              </w:rPr>
              <w:t>CRRT</w:t>
            </w:r>
            <w:r>
              <w:rPr>
                <w:rFonts w:ascii="仿宋_GB2312" w:hAnsi="仿宋_GB2312" w:cs="仿宋_GB2312" w:eastAsia="仿宋_GB2312"/>
                <w:sz w:val="36"/>
                <w:b/>
              </w:rPr>
              <w:t>）</w:t>
            </w:r>
          </w:p>
          <w:p>
            <w:pPr>
              <w:pStyle w:val="null3"/>
              <w:numPr>
                <w:ilvl w:val="0"/>
                <w:numId w:val="1"/>
              </w:numPr>
              <w:spacing w:before="105" w:after="105"/>
              <w:jc w:val="left"/>
            </w:pPr>
            <w:r>
              <w:rPr>
                <w:rFonts w:ascii="仿宋_GB2312" w:hAnsi="仿宋_GB2312" w:cs="仿宋_GB2312" w:eastAsia="仿宋_GB2312"/>
                <w:sz w:val="21"/>
                <w:b/>
                <w:color w:val="303133"/>
                <w:shd w:fill="FFFFFF" w:val="clear"/>
              </w:rPr>
              <w:t>功能描述</w:t>
            </w:r>
          </w:p>
          <w:p>
            <w:pPr>
              <w:pStyle w:val="null3"/>
              <w:spacing w:before="105" w:after="105"/>
              <w:jc w:val="left"/>
            </w:pPr>
            <w:r>
              <w:rPr>
                <w:rFonts w:ascii="仿宋_GB2312" w:hAnsi="仿宋_GB2312" w:cs="仿宋_GB2312" w:eastAsia="仿宋_GB2312"/>
                <w:sz w:val="24"/>
              </w:rPr>
              <w:t>适用于患者进行连续性肾脏替代治疗和血浆置换。</w:t>
            </w:r>
          </w:p>
          <w:p>
            <w:pPr>
              <w:pStyle w:val="null3"/>
              <w:numPr>
                <w:ilvl w:val="0"/>
                <w:numId w:val="1"/>
              </w:numPr>
              <w:spacing w:before="105" w:after="105"/>
              <w:jc w:val="left"/>
            </w:pPr>
            <w:r>
              <w:rPr>
                <w:rFonts w:ascii="仿宋_GB2312" w:hAnsi="仿宋_GB2312" w:cs="仿宋_GB2312" w:eastAsia="仿宋_GB2312"/>
                <w:sz w:val="21"/>
                <w:b/>
                <w:color w:val="303133"/>
                <w:shd w:fill="FFFFFF" w:val="clear"/>
              </w:rPr>
              <w:t>硬件配置清单</w:t>
            </w:r>
          </w:p>
          <w:p>
            <w:pPr>
              <w:pStyle w:val="null3"/>
              <w:spacing w:before="105" w:after="105"/>
              <w:jc w:val="left"/>
            </w:pP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numPr>
                <w:ilvl w:val="0"/>
                <w:numId w:val="1"/>
              </w:numPr>
              <w:spacing w:before="105" w:after="105"/>
              <w:jc w:val="left"/>
            </w:pPr>
            <w:r>
              <w:rPr>
                <w:rFonts w:ascii="仿宋_GB2312" w:hAnsi="仿宋_GB2312" w:cs="仿宋_GB2312" w:eastAsia="仿宋_GB2312"/>
                <w:sz w:val="21"/>
                <w:b/>
                <w:color w:val="303133"/>
                <w:shd w:fill="FFFFFF" w:val="clear"/>
              </w:rPr>
              <w:t>耗材清单</w:t>
            </w:r>
          </w:p>
          <w:p>
            <w:pPr>
              <w:pStyle w:val="null3"/>
              <w:spacing w:before="105" w:after="105"/>
              <w:jc w:val="left"/>
            </w:pPr>
            <w:r>
              <w:rPr>
                <w:rFonts w:ascii="仿宋_GB2312" w:hAnsi="仿宋_GB2312" w:cs="仿宋_GB2312" w:eastAsia="仿宋_GB2312"/>
                <w:sz w:val="24"/>
              </w:rPr>
              <w:t>连续性血液净化管路、透析用废液袋、管路附件、血浆滤过器</w:t>
            </w:r>
          </w:p>
          <w:p>
            <w:pPr>
              <w:pStyle w:val="null3"/>
              <w:spacing w:before="105" w:after="105"/>
              <w:jc w:val="left"/>
            </w:pPr>
            <w:r>
              <w:rPr>
                <w:rFonts w:ascii="仿宋_GB2312" w:hAnsi="仿宋_GB2312" w:cs="仿宋_GB2312" w:eastAsia="仿宋_GB2312"/>
                <w:sz w:val="21"/>
                <w:b/>
                <w:color w:val="303133"/>
                <w:shd w:fill="FFFFFF" w:val="clear"/>
              </w:rPr>
              <w:t>三、技术</w:t>
            </w:r>
            <w:r>
              <w:rPr>
                <w:rFonts w:ascii="仿宋_GB2312" w:hAnsi="仿宋_GB2312" w:cs="仿宋_GB2312" w:eastAsia="仿宋_GB2312"/>
                <w:sz w:val="21"/>
                <w:b/>
                <w:color w:val="303133"/>
                <w:shd w:fill="FFFFFF" w:val="clear"/>
              </w:rPr>
              <w:t>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配置</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英</w:t>
            </w:r>
            <w:r>
              <w:rPr>
                <w:rFonts w:ascii="仿宋_GB2312" w:hAnsi="仿宋_GB2312" w:cs="仿宋_GB2312" w:eastAsia="仿宋_GB2312"/>
                <w:sz w:val="24"/>
              </w:rPr>
              <w:t>寸彩色液晶触摸屏，</w:t>
            </w:r>
            <w:r>
              <w:rPr>
                <w:rFonts w:ascii="仿宋_GB2312" w:hAnsi="仿宋_GB2312" w:cs="仿宋_GB2312" w:eastAsia="仿宋_GB2312"/>
                <w:sz w:val="24"/>
              </w:rPr>
              <w:t>具有</w:t>
            </w:r>
            <w:r>
              <w:rPr>
                <w:rFonts w:ascii="仿宋_GB2312" w:hAnsi="仿宋_GB2312" w:cs="仿宋_GB2312" w:eastAsia="仿宋_GB2312"/>
                <w:sz w:val="24"/>
              </w:rPr>
              <w:t>中文</w:t>
            </w:r>
            <w:r>
              <w:rPr>
                <w:rFonts w:ascii="仿宋_GB2312" w:hAnsi="仿宋_GB2312" w:cs="仿宋_GB2312" w:eastAsia="仿宋_GB2312"/>
                <w:sz w:val="24"/>
              </w:rPr>
              <w:t>界面，含操作指引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内置智能软件，可在线辅助操作。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可提供</w:t>
            </w:r>
            <w:r>
              <w:rPr>
                <w:rFonts w:ascii="仿宋_GB2312" w:hAnsi="仿宋_GB2312" w:cs="仿宋_GB2312" w:eastAsia="仿宋_GB2312"/>
                <w:sz w:val="24"/>
              </w:rPr>
              <w:t>≥7</w:t>
            </w:r>
            <w:r>
              <w:rPr>
                <w:rFonts w:ascii="仿宋_GB2312" w:hAnsi="仿宋_GB2312" w:cs="仿宋_GB2312" w:eastAsia="仿宋_GB2312"/>
                <w:sz w:val="24"/>
              </w:rPr>
              <w:t>种治疗方案</w:t>
            </w:r>
            <w:r>
              <w:rPr>
                <w:rFonts w:ascii="仿宋_GB2312" w:hAnsi="仿宋_GB2312" w:cs="仿宋_GB2312" w:eastAsia="仿宋_GB2312"/>
                <w:sz w:val="24"/>
              </w:rPr>
              <w:t>，至少包括：</w:t>
            </w:r>
            <w:r>
              <w:rPr>
                <w:rFonts w:ascii="仿宋_GB2312" w:hAnsi="仿宋_GB2312" w:cs="仿宋_GB2312" w:eastAsia="仿宋_GB2312"/>
                <w:sz w:val="24"/>
              </w:rPr>
              <w:t>前稀释连续性静</w:t>
            </w:r>
            <w:r>
              <w:rPr>
                <w:rFonts w:ascii="仿宋_GB2312" w:hAnsi="仿宋_GB2312" w:cs="仿宋_GB2312" w:eastAsia="仿宋_GB2312"/>
                <w:sz w:val="24"/>
              </w:rPr>
              <w:t>-静脉血液滤过(Pre-CVVH)</w:t>
            </w:r>
            <w:r>
              <w:rPr>
                <w:rFonts w:ascii="仿宋_GB2312" w:hAnsi="仿宋_GB2312" w:cs="仿宋_GB2312" w:eastAsia="仿宋_GB2312"/>
                <w:sz w:val="24"/>
              </w:rPr>
              <w:t>;</w:t>
            </w:r>
            <w:r>
              <w:rPr>
                <w:rFonts w:ascii="仿宋_GB2312" w:hAnsi="仿宋_GB2312" w:cs="仿宋_GB2312" w:eastAsia="仿宋_GB2312"/>
                <w:sz w:val="24"/>
              </w:rPr>
              <w:t>后稀释连续性静</w:t>
            </w:r>
            <w:r>
              <w:rPr>
                <w:rFonts w:ascii="仿宋_GB2312" w:hAnsi="仿宋_GB2312" w:cs="仿宋_GB2312" w:eastAsia="仿宋_GB2312"/>
                <w:sz w:val="24"/>
              </w:rPr>
              <w:t>-静脉血液滤过(Post-CVVH)</w:t>
            </w:r>
            <w:r>
              <w:rPr>
                <w:rFonts w:ascii="仿宋_GB2312" w:hAnsi="仿宋_GB2312" w:cs="仿宋_GB2312" w:eastAsia="仿宋_GB2312"/>
                <w:sz w:val="24"/>
              </w:rPr>
              <w:t>;</w:t>
            </w:r>
            <w:r>
              <w:rPr>
                <w:rFonts w:ascii="仿宋_GB2312" w:hAnsi="仿宋_GB2312" w:cs="仿宋_GB2312" w:eastAsia="仿宋_GB2312"/>
                <w:sz w:val="24"/>
              </w:rPr>
              <w:t>前</w:t>
            </w:r>
            <w:r>
              <w:rPr>
                <w:rFonts w:ascii="仿宋_GB2312" w:hAnsi="仿宋_GB2312" w:cs="仿宋_GB2312" w:eastAsia="仿宋_GB2312"/>
                <w:sz w:val="24"/>
              </w:rPr>
              <w:t>+后稀释连续性静-静脉血液滤过(Pre-Post CVVH)</w:t>
            </w:r>
            <w:r>
              <w:rPr>
                <w:rFonts w:ascii="仿宋_GB2312" w:hAnsi="仿宋_GB2312" w:cs="仿宋_GB2312" w:eastAsia="仿宋_GB2312"/>
                <w:sz w:val="24"/>
              </w:rPr>
              <w:t>;</w:t>
            </w:r>
            <w:r>
              <w:rPr>
                <w:rFonts w:ascii="仿宋_GB2312" w:hAnsi="仿宋_GB2312" w:cs="仿宋_GB2312" w:eastAsia="仿宋_GB2312"/>
                <w:sz w:val="24"/>
              </w:rPr>
              <w:t>连续性静</w:t>
            </w:r>
            <w:r>
              <w:rPr>
                <w:rFonts w:ascii="仿宋_GB2312" w:hAnsi="仿宋_GB2312" w:cs="仿宋_GB2312" w:eastAsia="仿宋_GB2312"/>
                <w:sz w:val="24"/>
              </w:rPr>
              <w:t>-静脉血液透析(CVVHD)</w:t>
            </w:r>
            <w:r>
              <w:rPr>
                <w:rFonts w:ascii="仿宋_GB2312" w:hAnsi="仿宋_GB2312" w:cs="仿宋_GB2312" w:eastAsia="仿宋_GB2312"/>
                <w:sz w:val="24"/>
              </w:rPr>
              <w:t>;</w:t>
            </w:r>
            <w:r>
              <w:rPr>
                <w:rFonts w:ascii="仿宋_GB2312" w:hAnsi="仿宋_GB2312" w:cs="仿宋_GB2312" w:eastAsia="仿宋_GB2312"/>
                <w:sz w:val="24"/>
              </w:rPr>
              <w:t>前稀释连续性静</w:t>
            </w:r>
            <w:r>
              <w:rPr>
                <w:rFonts w:ascii="仿宋_GB2312" w:hAnsi="仿宋_GB2312" w:cs="仿宋_GB2312" w:eastAsia="仿宋_GB2312"/>
                <w:sz w:val="24"/>
              </w:rPr>
              <w:t>-静脉血液透析滤过(Pre-CVVHDF)</w:t>
            </w:r>
            <w:r>
              <w:rPr>
                <w:rFonts w:ascii="仿宋_GB2312" w:hAnsi="仿宋_GB2312" w:cs="仿宋_GB2312" w:eastAsia="仿宋_GB2312"/>
                <w:sz w:val="24"/>
              </w:rPr>
              <w:t>;</w:t>
            </w:r>
            <w:r>
              <w:rPr>
                <w:rFonts w:ascii="仿宋_GB2312" w:hAnsi="仿宋_GB2312" w:cs="仿宋_GB2312" w:eastAsia="仿宋_GB2312"/>
                <w:sz w:val="24"/>
              </w:rPr>
              <w:t>后稀释连续性静</w:t>
            </w:r>
            <w:r>
              <w:rPr>
                <w:rFonts w:ascii="仿宋_GB2312" w:hAnsi="仿宋_GB2312" w:cs="仿宋_GB2312" w:eastAsia="仿宋_GB2312"/>
                <w:sz w:val="24"/>
              </w:rPr>
              <w:t>-静脉血液透析滤过(Post-CVVHDF)</w:t>
            </w:r>
            <w:r>
              <w:rPr>
                <w:rFonts w:ascii="仿宋_GB2312" w:hAnsi="仿宋_GB2312" w:cs="仿宋_GB2312" w:eastAsia="仿宋_GB2312"/>
                <w:sz w:val="24"/>
              </w:rPr>
              <w:t>;</w:t>
            </w:r>
            <w:r>
              <w:rPr>
                <w:rFonts w:ascii="仿宋_GB2312" w:hAnsi="仿宋_GB2312" w:cs="仿宋_GB2312" w:eastAsia="仿宋_GB2312"/>
                <w:sz w:val="24"/>
              </w:rPr>
              <w:t>治疗性血浆置换</w:t>
            </w:r>
            <w:r>
              <w:rPr>
                <w:rFonts w:ascii="仿宋_GB2312" w:hAnsi="仿宋_GB2312" w:cs="仿宋_GB2312" w:eastAsia="仿宋_GB2312"/>
                <w:sz w:val="24"/>
              </w:rPr>
              <w:t>(TPE)等模式。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标配</w:t>
            </w:r>
            <w:r>
              <w:rPr>
                <w:rFonts w:ascii="仿宋_GB2312" w:hAnsi="仿宋_GB2312" w:cs="仿宋_GB2312" w:eastAsia="仿宋_GB2312"/>
                <w:sz w:val="24"/>
              </w:rPr>
              <w:t>≥5</w:t>
            </w:r>
            <w:r>
              <w:rPr>
                <w:rFonts w:ascii="仿宋_GB2312" w:hAnsi="仿宋_GB2312" w:cs="仿宋_GB2312" w:eastAsia="仿宋_GB2312"/>
                <w:sz w:val="24"/>
              </w:rPr>
              <w:t>个泵：血泵、置换液泵、透析液泵、废液泵、肝素泵，所有泵有醒目的颜色标识，所有的泵不相互共用，并且与机器为一体化，由主机统一控制。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具备肝素抗凝、无抗凝及全自动枸橼酸抗凝治疗模式。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具备开机自检功能</w:t>
            </w:r>
            <w:r>
              <w:rPr>
                <w:rFonts w:ascii="仿宋_GB2312" w:hAnsi="仿宋_GB2312" w:cs="仿宋_GB2312" w:eastAsia="仿宋_GB2312"/>
                <w:sz w:val="24"/>
              </w:rPr>
              <w:t>，检查所有的运行、显示、监控和警报功能以确保其功能正常。部分测试也会在治疗期间定期进行。</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 xml:space="preserve"> </w:t>
            </w:r>
            <w:r>
              <w:rPr>
                <w:rFonts w:ascii="仿宋_GB2312" w:hAnsi="仿宋_GB2312" w:cs="仿宋_GB2312" w:eastAsia="仿宋_GB2312"/>
                <w:sz w:val="24"/>
              </w:rPr>
              <w:t>平衡系统：液体平衡秤：</w:t>
            </w:r>
            <w:r>
              <w:rPr>
                <w:rFonts w:ascii="仿宋_GB2312" w:hAnsi="仿宋_GB2312" w:cs="仿宋_GB2312" w:eastAsia="仿宋_GB2312"/>
                <w:sz w:val="24"/>
              </w:rPr>
              <w:t>≥</w:t>
            </w:r>
            <w:r>
              <w:rPr>
                <w:rFonts w:ascii="仿宋_GB2312" w:hAnsi="仿宋_GB2312" w:cs="仿宋_GB2312" w:eastAsia="仿宋_GB2312"/>
                <w:sz w:val="24"/>
              </w:rPr>
              <w:t>4个，</w:t>
            </w:r>
            <w:r>
              <w:rPr>
                <w:rFonts w:ascii="仿宋_GB2312" w:hAnsi="仿宋_GB2312" w:cs="仿宋_GB2312" w:eastAsia="仿宋_GB2312"/>
                <w:sz w:val="24"/>
              </w:rPr>
              <w:t>单</w:t>
            </w:r>
            <w:r>
              <w:rPr>
                <w:rFonts w:ascii="仿宋_GB2312" w:hAnsi="仿宋_GB2312" w:cs="仿宋_GB2312" w:eastAsia="仿宋_GB2312"/>
                <w:sz w:val="24"/>
              </w:rPr>
              <w:t>称</w:t>
            </w:r>
            <w:r>
              <w:rPr>
                <w:rFonts w:ascii="仿宋_GB2312" w:hAnsi="仿宋_GB2312" w:cs="仿宋_GB2312" w:eastAsia="仿宋_GB2312"/>
                <w:sz w:val="24"/>
              </w:rPr>
              <w:t>量程</w:t>
            </w:r>
            <w:r>
              <w:rPr>
                <w:rFonts w:ascii="仿宋_GB2312" w:hAnsi="仿宋_GB2312" w:cs="仿宋_GB2312" w:eastAsia="仿宋_GB2312"/>
                <w:sz w:val="24"/>
              </w:rPr>
              <w:t>0-11K</w:t>
            </w:r>
            <w:r>
              <w:rPr>
                <w:rFonts w:ascii="仿宋_GB2312" w:hAnsi="仿宋_GB2312" w:cs="仿宋_GB2312" w:eastAsia="仿宋_GB2312"/>
                <w:sz w:val="24"/>
              </w:rPr>
              <w:t>g</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8.</w:t>
            </w:r>
            <w:r>
              <w:rPr>
                <w:rFonts w:ascii="仿宋_GB2312" w:hAnsi="仿宋_GB2312" w:cs="仿宋_GB2312" w:eastAsia="仿宋_GB2312"/>
                <w:sz w:val="21"/>
              </w:rPr>
              <w:t xml:space="preserve"> </w:t>
            </w:r>
            <w:r>
              <w:rPr>
                <w:rFonts w:ascii="仿宋_GB2312" w:hAnsi="仿宋_GB2312" w:cs="仿宋_GB2312" w:eastAsia="仿宋_GB2312"/>
                <w:sz w:val="24"/>
              </w:rPr>
              <w:t>具</w:t>
            </w:r>
            <w:r>
              <w:rPr>
                <w:rFonts w:ascii="仿宋_GB2312" w:hAnsi="仿宋_GB2312" w:cs="仿宋_GB2312" w:eastAsia="仿宋_GB2312"/>
                <w:sz w:val="24"/>
              </w:rPr>
              <w:t>备机器一体化双加温器，可分别给置换液、透析液加温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w:t>
            </w:r>
            <w:r>
              <w:rPr>
                <w:rFonts w:ascii="仿宋_GB2312" w:hAnsi="仿宋_GB2312" w:cs="仿宋_GB2312" w:eastAsia="仿宋_GB2312"/>
                <w:sz w:val="24"/>
              </w:rPr>
              <w:t>备</w:t>
            </w:r>
            <w:r>
              <w:rPr>
                <w:rFonts w:ascii="仿宋_GB2312" w:hAnsi="仿宋_GB2312" w:cs="仿宋_GB2312" w:eastAsia="仿宋_GB2312"/>
                <w:sz w:val="24"/>
              </w:rPr>
              <w:t>≥4种安全</w:t>
            </w:r>
            <w:r>
              <w:rPr>
                <w:rFonts w:ascii="仿宋_GB2312" w:hAnsi="仿宋_GB2312" w:cs="仿宋_GB2312" w:eastAsia="仿宋_GB2312"/>
                <w:sz w:val="24"/>
              </w:rPr>
              <w:t>监测系统</w:t>
            </w:r>
            <w:r>
              <w:rPr>
                <w:rFonts w:ascii="仿宋_GB2312" w:hAnsi="仿宋_GB2312" w:cs="仿宋_GB2312" w:eastAsia="仿宋_GB2312"/>
                <w:sz w:val="24"/>
              </w:rPr>
              <w:t>包含：</w:t>
            </w:r>
            <w:r>
              <w:rPr>
                <w:rFonts w:ascii="仿宋_GB2312" w:hAnsi="仿宋_GB2312" w:cs="仿宋_GB2312" w:eastAsia="仿宋_GB2312"/>
                <w:sz w:val="24"/>
              </w:rPr>
              <w:t>空气监测安全报警系统，漏血监测安全报警系统、光学监测安全报警系统</w:t>
            </w:r>
            <w:r>
              <w:rPr>
                <w:rFonts w:ascii="仿宋_GB2312" w:hAnsi="仿宋_GB2312" w:cs="仿宋_GB2312" w:eastAsia="仿宋_GB2312"/>
                <w:sz w:val="24"/>
              </w:rPr>
              <w:t>，压力检测系统。</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泵流速参数：</w:t>
            </w:r>
          </w:p>
          <w:p>
            <w:pPr>
              <w:pStyle w:val="null3"/>
              <w:ind w:firstLine="240"/>
              <w:jc w:val="both"/>
            </w:pPr>
            <w:r>
              <w:rPr>
                <w:rFonts w:ascii="仿宋_GB2312" w:hAnsi="仿宋_GB2312" w:cs="仿宋_GB2312" w:eastAsia="仿宋_GB2312"/>
                <w:sz w:val="24"/>
              </w:rPr>
              <w:t>10.1</w:t>
            </w:r>
            <w:r>
              <w:rPr>
                <w:rFonts w:ascii="仿宋_GB2312" w:hAnsi="仿宋_GB2312" w:cs="仿宋_GB2312" w:eastAsia="仿宋_GB2312"/>
                <w:sz w:val="24"/>
              </w:rPr>
              <w:t>血流速：</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400 ml /min， ±10%</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10.2</w:t>
            </w:r>
            <w:r>
              <w:rPr>
                <w:rFonts w:ascii="仿宋_GB2312" w:hAnsi="仿宋_GB2312" w:cs="仿宋_GB2312" w:eastAsia="仿宋_GB2312"/>
                <w:sz w:val="24"/>
              </w:rPr>
              <w:t>置换液：</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70ml/min</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10.3</w:t>
            </w:r>
            <w:r>
              <w:rPr>
                <w:rFonts w:ascii="仿宋_GB2312" w:hAnsi="仿宋_GB2312" w:cs="仿宋_GB2312" w:eastAsia="仿宋_GB2312"/>
                <w:sz w:val="24"/>
              </w:rPr>
              <w:t>透析液：</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70ml/min</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10.4</w:t>
            </w:r>
            <w:r>
              <w:rPr>
                <w:rFonts w:ascii="仿宋_GB2312" w:hAnsi="仿宋_GB2312" w:cs="仿宋_GB2312" w:eastAsia="仿宋_GB2312"/>
                <w:sz w:val="24"/>
              </w:rPr>
              <w:t>净超滤率：</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800ml/h。</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压力监测参数：</w:t>
            </w:r>
          </w:p>
          <w:p>
            <w:pPr>
              <w:pStyle w:val="null3"/>
              <w:ind w:firstLine="240"/>
              <w:jc w:val="both"/>
            </w:pPr>
            <w:r>
              <w:rPr>
                <w:rFonts w:ascii="仿宋_GB2312" w:hAnsi="仿宋_GB2312" w:cs="仿宋_GB2312" w:eastAsia="仿宋_GB2312"/>
                <w:sz w:val="24"/>
              </w:rPr>
              <w:t>11.1</w:t>
            </w:r>
            <w:r>
              <w:rPr>
                <w:rFonts w:ascii="仿宋_GB2312" w:hAnsi="仿宋_GB2312" w:cs="仿宋_GB2312" w:eastAsia="仿宋_GB2312"/>
                <w:sz w:val="24"/>
              </w:rPr>
              <w:t>动脉流入管路压力：</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+200mmHg。</w:t>
            </w:r>
          </w:p>
          <w:p>
            <w:pPr>
              <w:pStyle w:val="null3"/>
              <w:ind w:firstLine="240"/>
              <w:jc w:val="both"/>
            </w:pPr>
            <w:r>
              <w:rPr>
                <w:rFonts w:ascii="仿宋_GB2312" w:hAnsi="仿宋_GB2312" w:cs="仿宋_GB2312" w:eastAsia="仿宋_GB2312"/>
                <w:sz w:val="24"/>
              </w:rPr>
              <w:t>11.2</w:t>
            </w:r>
            <w:r>
              <w:rPr>
                <w:rFonts w:ascii="仿宋_GB2312" w:hAnsi="仿宋_GB2312" w:cs="仿宋_GB2312" w:eastAsia="仿宋_GB2312"/>
                <w:sz w:val="24"/>
              </w:rPr>
              <w:t>静脉回流管路压力：</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+400mmHg：</w:t>
            </w:r>
          </w:p>
          <w:p>
            <w:pPr>
              <w:pStyle w:val="null3"/>
              <w:ind w:firstLine="240"/>
              <w:jc w:val="both"/>
            </w:pPr>
            <w:r>
              <w:rPr>
                <w:rFonts w:ascii="仿宋_GB2312" w:hAnsi="仿宋_GB2312" w:cs="仿宋_GB2312" w:eastAsia="仿宋_GB2312"/>
                <w:sz w:val="24"/>
              </w:rPr>
              <w:t>11.3</w:t>
            </w:r>
            <w:r>
              <w:rPr>
                <w:rFonts w:ascii="仿宋_GB2312" w:hAnsi="仿宋_GB2312" w:cs="仿宋_GB2312" w:eastAsia="仿宋_GB2312"/>
                <w:sz w:val="24"/>
              </w:rPr>
              <w:t>滤器前压力：</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+700mmHg</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11.4</w:t>
            </w:r>
            <w:r>
              <w:rPr>
                <w:rFonts w:ascii="仿宋_GB2312" w:hAnsi="仿宋_GB2312" w:cs="仿宋_GB2312" w:eastAsia="仿宋_GB2312"/>
                <w:sz w:val="24"/>
              </w:rPr>
              <w:t>跨膜压：</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+500mmHg。</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抗凝剂设置：连续注射流速范围：</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20ml/h，分辨率0.1ml/h</w:t>
            </w:r>
            <w:r>
              <w:rPr>
                <w:rFonts w:ascii="仿宋_GB2312" w:hAnsi="仿宋_GB2312" w:cs="仿宋_GB2312" w:eastAsia="仿宋_GB2312"/>
                <w:sz w:val="24"/>
              </w:rPr>
              <w:t>。</w:t>
            </w:r>
            <w:r>
              <w:rPr>
                <w:rFonts w:ascii="仿宋_GB2312" w:hAnsi="仿宋_GB2312" w:cs="仿宋_GB2312" w:eastAsia="仿宋_GB2312"/>
                <w:sz w:val="24"/>
              </w:rPr>
              <w:t>推注：</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5ml/推注，推注流速：20ml/min</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电气安全：</w:t>
            </w:r>
            <w:r>
              <w:rPr>
                <w:rFonts w:ascii="仿宋_GB2312" w:hAnsi="仿宋_GB2312" w:cs="仿宋_GB2312" w:eastAsia="仿宋_GB2312"/>
                <w:sz w:val="24"/>
              </w:rPr>
              <w:t>I类防电击类型，CF 型防电击等级。</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具备防止在移动患者或调整导管时产生不必要的警报的模式。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内置后备电源，在紧急断电的情况下维持</w:t>
            </w:r>
            <w:r>
              <w:rPr>
                <w:rFonts w:ascii="仿宋_GB2312" w:hAnsi="仿宋_GB2312" w:cs="仿宋_GB2312" w:eastAsia="仿宋_GB2312"/>
                <w:sz w:val="24"/>
              </w:rPr>
              <w:t>≥</w:t>
            </w:r>
            <w:r>
              <w:rPr>
                <w:rFonts w:ascii="仿宋_GB2312" w:hAnsi="仿宋_GB2312" w:cs="仿宋_GB2312" w:eastAsia="仿宋_GB2312"/>
                <w:sz w:val="24"/>
              </w:rPr>
              <w:t>15分钟，保证及时回血及患者的转运。</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内置数据交换接口</w:t>
            </w:r>
            <w:r>
              <w:rPr>
                <w:rFonts w:ascii="仿宋_GB2312" w:hAnsi="仿宋_GB2312" w:cs="仿宋_GB2312" w:eastAsia="仿宋_GB2312"/>
                <w:sz w:val="24"/>
              </w:rPr>
              <w:t>，</w:t>
            </w:r>
            <w:r>
              <w:rPr>
                <w:rFonts w:ascii="仿宋_GB2312" w:hAnsi="仿宋_GB2312" w:cs="仿宋_GB2312" w:eastAsia="仿宋_GB2312"/>
                <w:sz w:val="24"/>
              </w:rPr>
              <w:t>方便与</w:t>
            </w:r>
            <w:r>
              <w:rPr>
                <w:rFonts w:ascii="仿宋_GB2312" w:hAnsi="仿宋_GB2312" w:cs="仿宋_GB2312" w:eastAsia="仿宋_GB2312"/>
                <w:sz w:val="24"/>
              </w:rPr>
              <w:t>PDMS/HIS系统连接，用于数据传输。</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耗材为开放式</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进度款，合同签订后，所有设备安装、调试、验收合格(以甲方出具的书面验收合格文件为准)后一次性付清全款，达到付款条件起10个工作日内，支付合同总金额的100.0%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原厂质保3年：质保期内售后服务工作按合同约定执行。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因合同而发生的争议或纠纷，甲乙双方应先协商解决，协商不成时可向甲方所在地的人民法院提请诉讼。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1、为保证评审工作顺利进行，供应商需要在线提交所有通过电子化交易平台实施的政府采购项目的投标文件，同时，线下提交投标文件正本 壹 份、副本 壹 份（双面打印）。若系统电子投标文件与纸质投标文件不一致的，以系统电子投标文件为准。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maoguanqi@sxzjtc.com（邮件命名：项目编号）。保函必须由具有开具投标保函资格的单位开具；若供应商违约，开具保函单位承担连带责任；（3）供应商递交文件前，需在陕西省政府采购网电子化系统中完成保证金缴纳信息的填写及材料上传。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合同签订后，所有设备安装、调试、验收合格(以甲方出具的书面验收合格文件为准)后一次性付清全款，达到付款条件起 10 个工作日内，支付合同总金额的 100.00%。</w:t>
            </w:r>
          </w:p>
        </w:tc>
        <w:tc>
          <w:tcPr>
            <w:tcW w:type="dxa" w:w="1661"/>
          </w:tcPr>
          <w:p>
            <w:pPr>
              <w:pStyle w:val="null3"/>
            </w:pPr>
            <w:r>
              <w:rPr>
                <w:rFonts w:ascii="仿宋_GB2312" w:hAnsi="仿宋_GB2312" w:cs="仿宋_GB2312" w:eastAsia="仿宋_GB2312"/>
              </w:rPr>
              <w:t>投标文件封面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原厂质保3年： 质保期内售后服务工作按合同约定执行。</w:t>
            </w:r>
          </w:p>
        </w:tc>
        <w:tc>
          <w:tcPr>
            <w:tcW w:type="dxa" w:w="1661"/>
          </w:tcPr>
          <w:p>
            <w:pPr>
              <w:pStyle w:val="null3"/>
            </w:pPr>
            <w:r>
              <w:rPr>
                <w:rFonts w:ascii="仿宋_GB2312" w:hAnsi="仿宋_GB2312" w:cs="仿宋_GB2312" w:eastAsia="仿宋_GB2312"/>
              </w:rPr>
              <w:t>投标文件封面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合同签订之日起，接甲方通知后 30 日内完成交付、安装及调试。</w:t>
            </w:r>
          </w:p>
        </w:tc>
        <w:tc>
          <w:tcPr>
            <w:tcW w:type="dxa" w:w="1661"/>
          </w:tcPr>
          <w:p>
            <w:pPr>
              <w:pStyle w:val="null3"/>
            </w:pPr>
            <w:r>
              <w:rPr>
                <w:rFonts w:ascii="仿宋_GB2312" w:hAnsi="仿宋_GB2312" w:cs="仿宋_GB2312" w:eastAsia="仿宋_GB2312"/>
              </w:rPr>
              <w:t>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规格、技术参数偏离表.docx 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完全符合、响应招标文件的每一项要求，没有负偏离计25分；参数每负偏离一项扣1分。 注：完全复制招标文件技术指标要求，无明确、具体响应的，每个设备给予5分扣分，扣完为止。文字描述、国标、定制尺寸的技术指标除外。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软件兼容性、配置合理性说明；（3）设备的安全防护措施及设备维护保养等全生命周期成本控制措施等。 分析各项内容全面详细、阐述条理清晰详尽、符合本项目采购需求、能有效保障本项目实施，每有一个缺项扣3分，每有一处缺陷扣0.5分，扣完为止。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方案各项内容全面详细、阐述条理清晰详尽、符合本项目采购需求、能有效保障本项目实施，每有一个缺项扣1.5分，每有一处缺陷扣0.5分，扣完为止。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供应商针对本项目有具体的供货组织安排，方案包含（1）详细的人员、财力调配；（2）运输、派送、安装、检测、调试措施等。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配套耗材、选配件等产品</w:t>
            </w:r>
          </w:p>
        </w:tc>
        <w:tc>
          <w:tcPr>
            <w:tcW w:type="dxa" w:w="2492"/>
          </w:tcPr>
          <w:p>
            <w:pPr>
              <w:pStyle w:val="null3"/>
            </w:pPr>
            <w:r>
              <w:rPr>
                <w:rFonts w:ascii="仿宋_GB2312" w:hAnsi="仿宋_GB2312" w:cs="仿宋_GB2312" w:eastAsia="仿宋_GB2312"/>
              </w:rPr>
              <w:t>供应商针对本项目提供（1）耗材、选配件等产品技术响应；（2）耗材、选配件、消耗品的详细清单及报价。 清单各项内容完整详细、报价合理、符合本项目采购需求、能有效保障本项目实施，每有一个缺项扣3分，每有一处缺陷扣0.5分，扣完为止。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产品进货渠道正规，提供证明材料不限于销售协议或代理协议、厂家授权等相关资料。质量保证，确保生产供应的产品无假货、水货、翻新货且无产权纠纷，供应商提供质量控制措施及产品来源渠道证明材料。 1、质量控制方法和措施、流程，控制重点思路清晰明确，产品合法来源渠道证明文件详细完整得3分； 2、质量控制方法和措施内容简单、流程繁琐，产品合法来源渠道证明文件完整得2分； 3、质量控制措施内容无针对性，有缺陷得1分；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提供供应商2023年1月1日至今同类设备合同，每提供1个得1分，最高得5分。（以合同签订日期为准)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培训采购人指定的操作和维修人员，2-3人，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方案及承诺各项内容全面详细、阐述条理清晰详尽、符合本项目采购需求、能有效保障本项目实施，每有一个缺项扣2.5分，每有一处缺陷扣0.5分，扣完为止。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应急补救措施或方案；（3）质保期满后的设备维保报价清单。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