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版本号：SXJC-ZC-202601120260512001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提标扩容建设项目柴油发电机房及正负压机房工程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SXJC-ZC-2026011</w:t>
      </w:r>
      <w:r>
        <w:br/>
      </w:r>
      <w:r>
        <w:br/>
      </w:r>
      <w:r>
        <w:br/>
      </w:r>
    </w:p>
    <w:p>
      <w:pPr>
        <w:pStyle w:val="null3"/>
        <w:jc w:val="center"/>
        <w:outlineLvl w:val="2"/>
      </w:pPr>
      <w:r>
        <w:rPr>
          <w:rFonts w:ascii="仿宋_GB2312" w:hAnsi="仿宋_GB2312" w:cs="仿宋_GB2312" w:eastAsia="仿宋_GB2312"/>
          <w:sz w:val="28"/>
          <w:b/>
        </w:rPr>
        <w:t>洋县人民医院</w:t>
      </w:r>
    </w:p>
    <w:p>
      <w:pPr>
        <w:pStyle w:val="null3"/>
        <w:jc w:val="center"/>
        <w:outlineLvl w:val="2"/>
      </w:pPr>
      <w:r>
        <w:rPr>
          <w:rFonts w:ascii="仿宋_GB2312" w:hAnsi="仿宋_GB2312" w:cs="仿宋_GB2312" w:eastAsia="仿宋_GB2312"/>
          <w:sz w:val="28"/>
          <w:b/>
        </w:rPr>
        <w:t>陕西君诚项目管理有限公司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陕西君诚项目管理有限公司</w:t>
      </w:r>
      <w:r>
        <w:rPr>
          <w:rFonts w:ascii="仿宋_GB2312" w:hAnsi="仿宋_GB2312" w:cs="仿宋_GB2312" w:eastAsia="仿宋_GB2312"/>
        </w:rPr>
        <w:t>（以下简称“代理机构”）受</w:t>
      </w:r>
      <w:r>
        <w:rPr>
          <w:rFonts w:ascii="仿宋_GB2312" w:hAnsi="仿宋_GB2312" w:cs="仿宋_GB2312" w:eastAsia="仿宋_GB2312"/>
        </w:rPr>
        <w:t>洋县人民医院</w:t>
      </w:r>
      <w:r>
        <w:rPr>
          <w:rFonts w:ascii="仿宋_GB2312" w:hAnsi="仿宋_GB2312" w:cs="仿宋_GB2312" w:eastAsia="仿宋_GB2312"/>
        </w:rPr>
        <w:t>委托，拟对</w:t>
      </w:r>
      <w:r>
        <w:rPr>
          <w:rFonts w:ascii="仿宋_GB2312" w:hAnsi="仿宋_GB2312" w:cs="仿宋_GB2312" w:eastAsia="仿宋_GB2312"/>
        </w:rPr>
        <w:t>提标扩容建设项目柴油发电机房及正负压机房工程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SXJC-ZC-2026011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提标扩容建设项目柴油发电机房及正负压机房工程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一、项目概况：该工程内容主要为新建柴油发电机房建筑面积为113.40 m²，建筑层数为一层，结构类型为框剪结构，建筑层高为4.8m；新建正负压机房建筑面积为32.70m，建筑层数为一层，结构类型为砖混结构，建筑层高为3.30m，包含房屋建筑与装饰工程、电气工程、给排水工程等。（具体详见工程量清单） 二、工期：120日历天 三、质量标准：合格</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采购包1（洋县人民医院提标扩容建设项目柴油发电机房及正负压机房工程）：属于专门面向中小企业采购。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3、企业资质要求：供应商须具备建设行政主管部门颁发的建筑工程施工总承包三级（含三级）及以上资质，具有有效的安全生产许可证；</w:t>
      </w:r>
    </w:p>
    <w:p>
      <w:pPr>
        <w:pStyle w:val="null3"/>
      </w:pPr>
      <w:r>
        <w:rPr>
          <w:rFonts w:ascii="仿宋_GB2312" w:hAnsi="仿宋_GB2312" w:cs="仿宋_GB2312" w:eastAsia="仿宋_GB2312"/>
        </w:rPr>
        <w:t>4、项目经理资格要求：项目经理须具备建筑工程专业二级（含二级）及以上注册建造师资格、具有有效的安全考核合格证（B证），且无在建工程；</w:t>
      </w:r>
    </w:p>
    <w:p>
      <w:pPr>
        <w:pStyle w:val="null3"/>
      </w:pPr>
      <w:r>
        <w:rPr>
          <w:rFonts w:ascii="仿宋_GB2312" w:hAnsi="仿宋_GB2312" w:cs="仿宋_GB2312" w:eastAsia="仿宋_GB2312"/>
        </w:rPr>
        <w:t>5、汉中市政府采购供应商资格承诺函：供应商须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北环路东段581号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0916-8212146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陕西君诚项目管理有限公司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陕西省汉中市洋县陕西省汉中市洋县洋州街道办事处东二环洋州明珠商裙2-41号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采购包1：1,780,770.00元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开户名称：长安银行股份有限公司洋县支行</w:t>
            </w:r>
          </w:p>
          <w:p>
            <w:pPr>
              <w:pStyle w:val="null3"/>
            </w:pPr>
            <w:r>
              <w:rPr>
                <w:rFonts w:ascii="仿宋_GB2312" w:hAnsi="仿宋_GB2312" w:cs="仿宋_GB2312" w:eastAsia="仿宋_GB2312"/>
              </w:rPr>
              <w:t>开户银行：陕西君诚项目管理有限公司</w:t>
            </w:r>
          </w:p>
          <w:p>
            <w:pPr>
              <w:pStyle w:val="null3"/>
            </w:pPr>
            <w:r>
              <w:rPr>
                <w:rFonts w:ascii="仿宋_GB2312" w:hAnsi="仿宋_GB2312" w:cs="仿宋_GB2312" w:eastAsia="仿宋_GB2312"/>
              </w:rPr>
              <w:t>银行账号：806061501421002583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代理服务费收费标准：参照国家计委《招标代理服务收费管理暂行办法》(计价格[2002]1980号)、国家发展和改革委员会《国家发展 改革委办公厅关于招标代理服务收费有关问题的通知》(发改办价格[2003]857号)和《国家发展改革委关于降低 部分建设项目收费标准规范收费行为等有关问题的通知》(发改价格[2011]534号)文件的相关规定执行。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洋县人民医院</w:t>
      </w:r>
      <w:r>
        <w:rPr>
          <w:rFonts w:ascii="仿宋_GB2312" w:hAnsi="仿宋_GB2312" w:cs="仿宋_GB2312" w:eastAsia="仿宋_GB2312"/>
        </w:rPr>
        <w:t>和</w:t>
      </w:r>
      <w:r>
        <w:rPr>
          <w:rFonts w:ascii="仿宋_GB2312" w:hAnsi="仿宋_GB2312" w:cs="仿宋_GB2312" w:eastAsia="仿宋_GB2312"/>
        </w:rPr>
        <w:t>陕西君诚项目管理有限公司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陕西君诚项目管理有限公司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陕西君诚项目管理有限公司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按施工合同、设计图纸及规范标准完成全部工程内容；工期控制在 120 日历天内，工程质量达到合格等级，工程资料完整齐全，功能满足使用需求，符合履约验收标准。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联系人：商静</w:t>
      </w:r>
    </w:p>
    <w:p>
      <w:pPr>
        <w:pStyle w:val="null3"/>
      </w:pPr>
      <w:r>
        <w:rPr>
          <w:rFonts w:ascii="仿宋_GB2312" w:hAnsi="仿宋_GB2312" w:cs="仿宋_GB2312" w:eastAsia="仿宋_GB2312"/>
        </w:rPr>
        <w:t>联系电话：0916-8221800</w:t>
      </w:r>
    </w:p>
    <w:p>
      <w:pPr>
        <w:pStyle w:val="null3"/>
      </w:pPr>
      <w:r>
        <w:rPr>
          <w:rFonts w:ascii="仿宋_GB2312" w:hAnsi="仿宋_GB2312" w:cs="仿宋_GB2312" w:eastAsia="仿宋_GB2312"/>
        </w:rPr>
        <w:t>地址：陕西省汉中市洋县洋州街道办事处东二环洋州明珠商裙2-41号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1,780,770.00</w:t>
      </w:r>
    </w:p>
    <w:p>
      <w:pPr>
        <w:pStyle w:val="null3"/>
      </w:pPr>
      <w:r>
        <w:rPr>
          <w:rFonts w:ascii="仿宋_GB2312" w:hAnsi="仿宋_GB2312" w:cs="仿宋_GB2312" w:eastAsia="仿宋_GB2312"/>
        </w:rPr>
        <w:t>采购包最高限价（元）: 1,757,221.09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洋县人民医院提标扩容建设项目柴油发电机房及正负压机房工程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1,780,770.00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标的名称：洋县人民医院提标扩容建设项目柴油发电机房及正负压机房工程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项目概况：该工程内容主要为新建柴油发电机房建筑面积为</w:t>
            </w:r>
            <w:r>
              <w:rPr>
                <w:rFonts w:ascii="仿宋_GB2312" w:hAnsi="仿宋_GB2312" w:cs="仿宋_GB2312" w:eastAsia="仿宋_GB2312"/>
                <w:sz w:val="21"/>
              </w:rPr>
              <w:t>113.40 m²，建筑层数为一层，结构类型为框剪结构，建筑层高为4.8m；新建正负压机房建筑面积为32.70m，建筑层数为一层，结构类型为砖混结构，建筑层高为3.30m，包含房屋建筑与装饰工程、电气工程、给排水工程等。（具体详见工程量清单）</w:t>
            </w:r>
          </w:p>
          <w:p>
            <w:pPr>
              <w:pStyle w:val="null3"/>
              <w:jc w:val="left"/>
            </w:pPr>
            <w:r>
              <w:rPr>
                <w:rFonts w:ascii="仿宋_GB2312" w:hAnsi="仿宋_GB2312" w:cs="仿宋_GB2312" w:eastAsia="仿宋_GB2312"/>
                <w:sz w:val="21"/>
              </w:rPr>
              <w:t>二、工期：</w:t>
            </w:r>
            <w:r>
              <w:rPr>
                <w:rFonts w:ascii="仿宋_GB2312" w:hAnsi="仿宋_GB2312" w:cs="仿宋_GB2312" w:eastAsia="仿宋_GB2312"/>
                <w:sz w:val="21"/>
              </w:rPr>
              <w:t>120日历天</w:t>
            </w:r>
          </w:p>
          <w:p>
            <w:pPr>
              <w:pStyle w:val="null3"/>
              <w:jc w:val="left"/>
            </w:pPr>
            <w:r>
              <w:rPr>
                <w:rFonts w:ascii="仿宋_GB2312" w:hAnsi="仿宋_GB2312" w:cs="仿宋_GB2312" w:eastAsia="仿宋_GB2312"/>
                <w:sz w:val="21"/>
              </w:rPr>
              <w:t>三、质量标准：合格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响应文件签署人身份证明.docx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供应商须具备建设行政主管部门颁发的建筑工程施工总承包三级（含三级）及以上资质，具有有效的安全生产许可证；</w:t>
            </w:r>
          </w:p>
        </w:tc>
        <w:tc>
          <w:tcPr>
            <w:tcW w:type="dxa" w:w="1661"/>
          </w:tcPr>
          <w:p>
            <w:pPr>
              <w:pStyle w:val="null3"/>
            </w:pPr>
            <w:r>
              <w:rPr>
                <w:rFonts w:ascii="仿宋_GB2312" w:hAnsi="仿宋_GB2312" w:cs="仿宋_GB2312" w:eastAsia="仿宋_GB2312"/>
              </w:rPr>
              <w:t>企业资质要求.docx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项目经理须具备建筑工程专业二级（含二级）及以上注册建造师资格、具有有效的安全考核合格证（B证），且无在建工程；</w:t>
            </w:r>
          </w:p>
        </w:tc>
        <w:tc>
          <w:tcPr>
            <w:tcW w:type="dxa" w:w="1661"/>
          </w:tcPr>
          <w:p>
            <w:pPr>
              <w:pStyle w:val="null3"/>
            </w:pPr>
            <w:r>
              <w:rPr>
                <w:rFonts w:ascii="仿宋_GB2312" w:hAnsi="仿宋_GB2312" w:cs="仿宋_GB2312" w:eastAsia="仿宋_GB2312"/>
              </w:rPr>
              <w:t>项目经理资格要求.docx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1、磋商报价唯一；2、报价货币符合采购文件要求；3、未超出采购预算或采购文件规定的最高限价。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120日历天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技术方案.docx 已标价工程量清单 有效的主体资格证明.docx 中小企业声明函 汉中市政府采购供应商资格承诺函.docx 响应文件封面 项目管理机构组成表 企业资质要求.docx 残疾人福利性单位声明函 报价函 标的清单 供应商类似项目业绩一览表 响应函 主要人员简历表 响应文件签署人身份证明.docx 项目经理资格要求.docx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1、施工方案完整详细、有针对性，重难点分析精准，工序搭接、平面布置、资源配置科学可行，可直接指导施工，具有优化建议的得[8-10]分；2、施工方案完整，可行，有针对性，能满足项目实施的全部要求的得[5-8]分； 3、施工方案非专门针对本项目，存在逻辑漏洞或前后内容不一致的得[2-5]分；4、施工方案有较大缺陷，或完全套用其他项目且内容较少的得[0-2]分； 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1、措施计划详细齐全、合理且切实可行，完全满足采购人需求，具有优化建议的得[8-10]分；2、措施计划齐全、合理、切实可行，满足采购人需求得[5-8]分； 3、措施计划非专门针对本项目，存在逻辑漏洞或前后内容不一致的得[2-5]分； 4、措施计划有较大缺陷，或完全套用其他项目且内容较少的得[0-2]分；5、未提供得0分。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1、提供具体详细、有针对性的安全作业方案及安全配套措施，完全符合采购人安全作业要求且具有优化建议的，得[8-10]分； 2、提供安全作业方案及安全配套措施，符合采购人安全作业的要求，得[5-8]分；3、提供的安全作业方案及安全配套措施非专门针对本项目，套用其他项目内容，存在逻辑漏洞或前后内容不一致的得[2-5]分； 4、提供的安全作业方案及安全配套措施简陋，存在不利于采购人安全作业要求实现的，得[0-2]分。 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1、措施计划详细齐全、合理且切实可行，完全满足采购人需求，具有优化建议的得[8-10]分； 2、措施计划齐全、合理、切实可行，满足采购人需求得[5-8]分； 3、措施计划非专门针对本项目，存在逻辑漏洞或前后内容不一致的得[2-5]分； 4、措施计划有较大缺陷，或完全套用其他项目且内容较少的得[0-2]分；5、未提供得0分。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1、措施计划详细齐全、针对本项目特点制定扬尘、噪声、污水、现场管控措施，完全满足采购人需求，具有优化建议的得[8-10]分；2、文明施工与环保措施较完整，基本满足本项目现场及规范管理要求的得[5-8]分； 3、措施内容简单，针对性不强，现场管控不到位，存在逻辑漏洞或前后内容不一致的得[2-5]分；4、措施计划有较大缺陷，或完全套用其他项目且内容较少得[0-2]分； 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项目管理人员配备</w:t>
            </w:r>
          </w:p>
        </w:tc>
        <w:tc>
          <w:tcPr>
            <w:tcW w:type="dxa" w:w="2492"/>
          </w:tcPr>
          <w:p>
            <w:pPr>
              <w:pStyle w:val="null3"/>
            </w:pPr>
            <w:r>
              <w:rPr>
                <w:rFonts w:ascii="仿宋_GB2312" w:hAnsi="仿宋_GB2312" w:cs="仿宋_GB2312" w:eastAsia="仿宋_GB2312"/>
              </w:rPr>
              <w:t>1、机构设置合理完善，人员配备齐全，技术经验丰富，人员专业性强，完全满足项目需求得[8-10]分； 2、机构设置合理，人员配备齐全，且具备从业经验，满足项目需求得[5-8]分；3、机构设置非专门针对本项目，人员配备、技术经验有缺陷的得[2-5]分；4、机构设置、人员配备不完整，或无相关经验的得[0-2]分；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1、质量保修承诺完整、合理及后续服务条款具体、可行，得[3-5]分；2、质量保修承诺含糊及后续服务条款基本可行，得[2-3]分；3、保修内容简单，范围与期限不清晰，服务措施笼统、可操作性差，得[0-2]；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供应商提供2023年1月1日起至今已完成的类似业绩证明材料，每提供1项得2.5分，最多得5分。 评审依据：业绩以合同或（中标）成交通知书加盖公章的复印件为依据（时间以合同签订或（中标）成交通知书发出时间为准），未提供不得分。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满足磋商文件要求且磋商响应最低的报价（最后的响应报价）为评标基准价，其价格分为满分。其他磋商供应商的价格分统一按照下列公式计算：磋商报价得分=（评标基准价/磋商报价）×30。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详见附件：响应文件签署人身份证明.docx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详见附件：企业资质要求.docx</w:t>
      </w:r>
    </w:p>
    <w:p>
      <w:pPr>
        <w:pStyle w:val="null3"/>
        <w:ind w:firstLine="960"/>
      </w:pPr>
      <w:r>
        <w:rPr>
          <w:rFonts w:ascii="仿宋_GB2312" w:hAnsi="仿宋_GB2312" w:cs="仿宋_GB2312" w:eastAsia="仿宋_GB2312"/>
        </w:rPr>
        <w:t>详见附件：项目经理资格要求.docx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