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51B2"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val="en-US" w:eastAsia="zh-CN"/>
        </w:rPr>
        <w:t>供应商须具备建设行政主管部门颁发的建筑工程施工总承包三级（含三级）及以上资质，具有有效的安全生产许可证。</w:t>
      </w:r>
      <w:bookmarkStart w:id="0" w:name="_GoBack"/>
      <w:bookmarkEnd w:id="0"/>
    </w:p>
    <w:p w14:paraId="545326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014E2"/>
    <w:rsid w:val="38B2575B"/>
    <w:rsid w:val="453E69AF"/>
    <w:rsid w:val="511735F3"/>
    <w:rsid w:val="6D87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2025-12-24T13:54:00Z</dcterms:created>
  <dc:creator>Administrator</dc:creator>
  <cp:lastModifiedBy>゛汐颜 °゛</cp:lastModifiedBy>
  <dcterms:modified xsi:type="dcterms:W3CDTF">2026-05-09T03:30:07Z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eyJoZGlkIjoiMTBlYmJiNjdiY2IzMDY2NTMyMWZiYTM2MzUxMTMyZTkiLCJ1c2VySWQiOiIzODc5NzU3OTkifQ==</vt:lpwstr>
  </property>
  <property fmtid="{D5CDD505-2E9C-101B-9397-08002B2CF9AE}" pid="4" name="ICV">
    <vt:lpwstr>BD85F8A7F474463BB1E62319EF8A6D4C_12</vt:lpwstr>
  </property>
</Properties>
</file>