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版本号：GD-2026-01220260428001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郭杜校区操场库房建设项目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GD-2026-012</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郭杜校区操场库房建设项目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郭杜校区操场库房建设项目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沿郭杜校区南围墙，建设一排单层预制装配式钢框架结构库房。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采购包1（郭杜校区操场库房建设项目）：属于专门面向中小企业采购。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2、供应商资质：供应商具备建筑工程施工总承包三级及以上资质，且具有合格有效的安全生产许可证；</w:t>
      </w:r>
    </w:p>
    <w:p>
      <w:pPr>
        <w:pStyle w:val="null3"/>
      </w:pPr>
      <w:r>
        <w:rPr>
          <w:rFonts w:ascii="仿宋_GB2312" w:hAnsi="仿宋_GB2312" w:cs="仿宋_GB2312" w:eastAsia="仿宋_GB2312"/>
        </w:rPr>
        <w:t>3、拟派项目负责人资质要求：项目经理需具备建筑工程专业二级及以上注册建造师资格证书和有效的安全生产考核合格B证注册任职在本单位，且无在建项目（提供有效证件及无在建项目承诺书）；</w:t>
      </w:r>
    </w:p>
    <w:p>
      <w:pPr>
        <w:pStyle w:val="null3"/>
      </w:pPr>
      <w:r>
        <w:rPr>
          <w:rFonts w:ascii="仿宋_GB2312" w:hAnsi="仿宋_GB2312" w:cs="仿宋_GB2312" w:eastAsia="仿宋_GB2312"/>
        </w:rPr>
        <w:t>4、供应商及项目经理信息查询：供应商及拟派项目经理应提供“陕西省住房和城乡建设厅（http://js.shaanxi.gov.cn/）”网站信息查询截图（以陕西省住房和城乡建设厅官网信息为准）。</w:t>
      </w:r>
    </w:p>
    <w:p>
      <w:pPr>
        <w:pStyle w:val="null3"/>
      </w:pPr>
      <w:r>
        <w:rPr>
          <w:rFonts w:ascii="仿宋_GB2312" w:hAnsi="仿宋_GB2312" w:cs="仿宋_GB2312" w:eastAsia="仿宋_GB2312"/>
        </w:rPr>
        <w:t>5、法定代表人授权委托书：供应商应授权合法的人员参加磋商全过程，其中法定代表人直接参加磋商的，须提供法定代表人身份证，并与营业执照上信息一致。法定代表人授权代表参加磋商的，须提供法定代表人授权书及授权代表身份证；</w:t>
      </w:r>
    </w:p>
    <w:p>
      <w:pPr>
        <w:pStyle w:val="null3"/>
      </w:pPr>
      <w:r>
        <w:rPr>
          <w:rFonts w:ascii="仿宋_GB2312" w:hAnsi="仿宋_GB2312" w:cs="仿宋_GB2312" w:eastAsia="仿宋_GB2312"/>
        </w:rPr>
        <w:t>6、财务状况报告：提供 2024年度或2025年度经第三方审计的财务报告，至少包括三表一注，即资产负债表、利润表、现金流量表及其附注 (成立时间至提交响应文件截止时间不足一年的可提供成立后任意时段的资产负债表) ；或其谈判响应文件递交截止时间前三个月内基本存款账户开户银行出具的资信证明及开户银行许可证 (或开户行出具的基本户证明材料)；或信用担保机构出具的投标担保函 (复印件或扫描件加盖申请）。(以上三种形式的资料提供任何一种即可)；</w:t>
      </w:r>
    </w:p>
    <w:p>
      <w:pPr>
        <w:pStyle w:val="null3"/>
      </w:pPr>
      <w:r>
        <w:rPr>
          <w:rFonts w:ascii="仿宋_GB2312" w:hAnsi="仿宋_GB2312" w:cs="仿宋_GB2312" w:eastAsia="仿宋_GB2312"/>
        </w:rPr>
        <w:t>7、社会保障资金缴纳证明：提供截止至响应文件递交截止时间前六个月内任一个月份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8、税收缴纳证明：提供截止至响应文件递交时间前六个月内任一个月份的纳税证明或完税证明，纳税证明或完税证明上应有代收机构或税务机关的公章或业务专用章。依法免税的供应商应提供相关文件证明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9、信用查询：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不得被财政部门在中国政府采购网（www.ccgp.gov.cn）政府采购严重违法失信行为记录名单中禁止参加政府采购活动，提供网页截图。对列入失信行为、政府采购严重违法失信行为记录名单的供应商，拒绝参与本项目政府采购活动。</w:t>
      </w:r>
    </w:p>
    <w:p>
      <w:pPr>
        <w:pStyle w:val="null3"/>
      </w:pPr>
      <w:r>
        <w:rPr>
          <w:rFonts w:ascii="仿宋_GB2312" w:hAnsi="仿宋_GB2312" w:cs="仿宋_GB2312" w:eastAsia="仿宋_GB2312"/>
        </w:rPr>
        <w:t>10、具有履行本合同所必需的设备和专业技术能力：具有履行本合同所必需的设备和专业技术能力的书面声明</w:t>
      </w:r>
    </w:p>
    <w:p>
      <w:pPr>
        <w:pStyle w:val="null3"/>
      </w:pPr>
      <w:r>
        <w:rPr>
          <w:rFonts w:ascii="仿宋_GB2312" w:hAnsi="仿宋_GB2312" w:cs="仿宋_GB2312" w:eastAsia="仿宋_GB2312"/>
        </w:rPr>
        <w:t>11、本项目专门面向中小企业：提供中小企业声明函</w:t>
      </w:r>
    </w:p>
    <w:p>
      <w:pPr>
        <w:pStyle w:val="null3"/>
      </w:pPr>
      <w:r>
        <w:rPr>
          <w:rFonts w:ascii="仿宋_GB2312" w:hAnsi="仿宋_GB2312" w:cs="仿宋_GB2312" w:eastAsia="仿宋_GB2312"/>
        </w:rPr>
        <w:t>12、本项目不接受联合体：本项目不接受联合体参与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开户名称：广达咨询有限公司</w:t>
            </w:r>
          </w:p>
          <w:p>
            <w:pPr>
              <w:pStyle w:val="null3"/>
            </w:pPr>
            <w:r>
              <w:rPr>
                <w:rFonts w:ascii="仿宋_GB2312" w:hAnsi="仿宋_GB2312" w:cs="仿宋_GB2312" w:eastAsia="仿宋_GB2312"/>
              </w:rPr>
              <w:t>开户银行：中国建设银行股份有限公司西安雁翔广场支行</w:t>
            </w:r>
          </w:p>
          <w:p>
            <w:pPr>
              <w:pStyle w:val="null3"/>
            </w:pPr>
            <w:r>
              <w:rPr>
                <w:rFonts w:ascii="仿宋_GB2312" w:hAnsi="仿宋_GB2312" w:cs="仿宋_GB2312" w:eastAsia="仿宋_GB2312"/>
              </w:rPr>
              <w:t>银行账号：61050110669000000415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采购代理服务收费管理暂行办法》（计价格〔2002〕1980号）和国家发展和改革委员会办公厅颁发的《关于采购代理服务收费有关问题的通知》（发改办价格〔2003〕857号）的有关规定标准计取。 供应商将招标代理服务费计入投标报价但不单独列明，中标单位在领取中标通知书前，须向采购代理机构一次性支付招标代理服务费；代理服务费以转账、电汇或现金等形式交纳。 代理费缴纳账号信息： 公司名称：广达咨询有限公司 开户行：中国建设银行西安雁翔广场支行账号：61050110669000000415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11）按照合同约定执行，详见合同附 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联系人：广达咨询有限公司</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958,256.84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新建库房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标的名称：新建库房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项目要求</w:t>
            </w:r>
            <w:r>
              <w:rPr>
                <w:rFonts w:ascii="仿宋_GB2312" w:hAnsi="仿宋_GB2312" w:cs="仿宋_GB2312" w:eastAsia="仿宋_GB2312"/>
                <w:sz w:val="24"/>
              </w:rPr>
              <w:t>:</w:t>
            </w:r>
            <w:r>
              <w:rPr>
                <w:rFonts w:ascii="仿宋_GB2312" w:hAnsi="仿宋_GB2312" w:cs="仿宋_GB2312" w:eastAsia="仿宋_GB2312"/>
                <w:sz w:val="24"/>
              </w:rPr>
              <w:t>沿郭杜校区南围墙，建设一排单层预制装配式钢框架结构库房。</w:t>
            </w:r>
          </w:p>
          <w:p>
            <w:pPr>
              <w:pStyle w:val="null3"/>
              <w:ind w:firstLine="480"/>
              <w:jc w:val="both"/>
            </w:pPr>
            <w:r>
              <w:rPr>
                <w:rFonts w:ascii="仿宋_GB2312" w:hAnsi="仿宋_GB2312" w:cs="仿宋_GB2312" w:eastAsia="仿宋_GB2312"/>
                <w:sz w:val="24"/>
              </w:rPr>
              <w:t>1、沿南围墙长度约172米，宽度4.5米空间范围建设库房;</w:t>
            </w:r>
          </w:p>
          <w:p>
            <w:pPr>
              <w:pStyle w:val="null3"/>
              <w:ind w:firstLine="480"/>
              <w:jc w:val="both"/>
            </w:pPr>
            <w:r>
              <w:rPr>
                <w:rFonts w:ascii="仿宋_GB2312" w:hAnsi="仿宋_GB2312" w:cs="仿宋_GB2312" w:eastAsia="仿宋_GB2312"/>
                <w:sz w:val="24"/>
              </w:rPr>
              <w:t>2、建筑面积约631.7m。库房最低高度3米;</w:t>
            </w:r>
          </w:p>
          <w:p>
            <w:pPr>
              <w:pStyle w:val="null3"/>
              <w:ind w:firstLine="480"/>
              <w:jc w:val="both"/>
            </w:pPr>
            <w:r>
              <w:rPr>
                <w:rFonts w:ascii="仿宋_GB2312" w:hAnsi="仿宋_GB2312" w:cs="仿宋_GB2312" w:eastAsia="仿宋_GB2312"/>
                <w:sz w:val="24"/>
              </w:rPr>
              <w:t>3、按照临建20年使用标准设计、施工，满足通风、照明、防水防潮等基本使用功能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1"/>
              </w:rPr>
              <w:t>4、工期要求：45日历天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详见采购内容及要求。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1.成交供应商在领取成交通知书时须提供响应文件纸质版2份以作存档（系统导出打印版胶装即可，封面加盖鲜章）。若系统电子响应文件与纸质响应文件不一致的，以系统电子响应文件为准。 2.定标环节采购人有权对响应文件承诺响应的内容进行复核，如有虚假响应，一经发现，取消成交资格并上报财政主管部门，列入政府采购黑名单。 3.各供应商的磋商报价均不得高于本工程的最高限价，如高于或等于最高限价则视为不响应磋商文件要求。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供应商具备建筑工程施工总承包三级及以上资质，且具有合格有效的安全生产许可证；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项目经理需具备建筑工程专业二级及以上注册建造师资格证书和有效的安全生产考核合格B证注册任职在本单位，且无在建项目（提供有效证件及无在建项目承诺书）；</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供应商及项目经理信息查询</w:t>
            </w:r>
          </w:p>
        </w:tc>
        <w:tc>
          <w:tcPr>
            <w:tcW w:type="dxa" w:w="3322"/>
          </w:tcPr>
          <w:p>
            <w:pPr>
              <w:pStyle w:val="null3"/>
            </w:pPr>
            <w:r>
              <w:rPr>
                <w:rFonts w:ascii="仿宋_GB2312" w:hAnsi="仿宋_GB2312" w:cs="仿宋_GB2312" w:eastAsia="仿宋_GB2312"/>
              </w:rPr>
              <w:t>供应商及拟派项目经理应提供“陕西省住房和城乡建设厅（http://js.shaanxi.gov.cn/）”网站信息查询截图（以陕西省住房和城乡建设厅官网信息为准）。</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供应商应授权合法的人员参加磋商全过程，其中法定代表人直接参加磋商的，须提供法定代表人身份证，并与营业执照上信息一致。法定代表人授权代表参加磋商的，须提供法定代表人授权书及授权代表身份证；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2024年度或2025年度经第三方审计的财务报告，至少包括三表一注，即资产负债表、利润表、现金流量表及其附注 (成立时间至提交响应文件截止时间不足一年的可提供成立后任意时段的资产负债表) ；或其谈判响应文件递交截止时间前三个月内基本存款账户开户银行出具的资信证明及开户银行许可证 (或开户行出具的基本户证明材料)；或信用担保机构出具的投标担保函 (复印件或扫描件加盖申请）。(以上三种形式的资料提供任何一种即可)；</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提供截止至响应文件递交截止时间前六个月内任一个月份的社会保障资金缴存单据或社保机构开具的社会保险参保缴费情况证明，依法不需要缴纳社会保障资金的单位应提供相关证明材料。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提供截止至响应文件递交时间前六个月内任一个月份的纳税证明或完税证明，纳税证明或完税证明上应有代收机构或税务机关的公章或业务专用章。依法免税的供应商应提供相关文件证明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不得被财政部门在中国政府采购网（www.ccgp.gov.cn）政府采购严重违法失信行为记录名单中禁止参加政府采购活动，提供网页截图。对列入失信行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资格审查内容.docx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响应文件封面 技术服务合同条款及其他商务要求应答表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按磋商文件要求缴纳</w:t>
            </w:r>
          </w:p>
        </w:tc>
        <w:tc>
          <w:tcPr>
            <w:tcW w:type="dxa" w:w="1661"/>
          </w:tcPr>
          <w:p>
            <w:pPr>
              <w:pStyle w:val="null3"/>
            </w:pPr>
            <w:r>
              <w:rPr>
                <w:rFonts w:ascii="仿宋_GB2312" w:hAnsi="仿宋_GB2312" w:cs="仿宋_GB2312" w:eastAsia="仿宋_GB2312"/>
              </w:rPr>
              <w:t>响应文件封面 资格审查内容.docx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拟派技术负责人无其它在建工程的证明或承诺。（格式自拟）</w:t>
            </w:r>
          </w:p>
        </w:tc>
        <w:tc>
          <w:tcPr>
            <w:tcW w:type="dxa" w:w="1661"/>
          </w:tcPr>
          <w:p>
            <w:pPr>
              <w:pStyle w:val="null3"/>
            </w:pPr>
            <w:r>
              <w:rPr>
                <w:rFonts w:ascii="仿宋_GB2312" w:hAnsi="仿宋_GB2312" w:cs="仿宋_GB2312" w:eastAsia="仿宋_GB2312"/>
              </w:rPr>
              <w:t>响应文件封面 资格审查内容.docx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响应文件封面 资格审查内容.docx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项目总体实施方案（15分） 实施方案完整详细、有针对性，完全满足项目实施，具有优化建议的得(10-15]分； 实施方案完整，可行，能满足项目实施的全部要求的得(5-10]分； 实施方案非专门针对本项目，存在少量逻辑漏洞或前后内容不一致的得(2-5]分； 实施方案有较大缺陷，或完全套用其他项目且内容较少的得(0-2]分;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工程质量保证措施（10分）根据供应商针对本项目特点制定切实可行的质量控制目标和保证措施进行评审。 措施中有严格的质量标准要求、对于施工过程中有严格的质量监督制度及发现和纠正质量问题的具体方案的得(7-10]分； 措施中有质量标准要求、有质量监督制度及发现和纠正质量问题的方案，但整体内容不够详细且粗略，与本项目实际情况有差异的得(2-7]分； 措施中质量标准要求、质量监督制度、发现和纠正质量问题的方案有缺项，且整体内容简略的得(0-2]分； 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施工安全作业管理</w:t>
            </w:r>
          </w:p>
        </w:tc>
        <w:tc>
          <w:tcPr>
            <w:tcW w:type="dxa" w:w="2492"/>
          </w:tcPr>
          <w:p>
            <w:pPr>
              <w:pStyle w:val="null3"/>
            </w:pPr>
            <w:r>
              <w:rPr>
                <w:rFonts w:ascii="仿宋_GB2312" w:hAnsi="仿宋_GB2312" w:cs="仿宋_GB2312" w:eastAsia="仿宋_GB2312"/>
              </w:rPr>
              <w:t>施工安全作业管理（10分）针对本项目提供具体的安全作业方案及安全配套措施进行综合评审。 提供具体详细、有针对性的安全作业方案及安全配套措施，完全符合采购人安全作业要求且具有优化建议的，得(7-10]分； 提供安全作业方案及安全配套措施，符合采购人安全作业的要求，得(4-7]分； 提供的安全作业方案及安全配套措施非专门针对本项目，套用其他项目内容，存在少量逻辑漏洞或前后内容不一致的得(2-4]分； 提供的安全作业方案及安全配套措施简陋，存在影响采购人安全作业要求实现的，得(0-2]分。未提供得0分。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文明施工措施计划（5分） 针对本项目提供的文明施工措施计划进行综合评审。 措施计划详细齐全、合理且切实可行，完全满足采购人需求，具有优化建议的得(3-5]分； 方案措施内容简单，或措施计划非专门针对本项目，存在少量逻辑漏洞或前后内容不一致，或完全套用其他项目的得(0-3]分；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确保工期的方案及措施</w:t>
            </w:r>
          </w:p>
        </w:tc>
        <w:tc>
          <w:tcPr>
            <w:tcW w:type="dxa" w:w="2492"/>
          </w:tcPr>
          <w:p>
            <w:pPr>
              <w:pStyle w:val="null3"/>
            </w:pPr>
            <w:r>
              <w:rPr>
                <w:rFonts w:ascii="仿宋_GB2312" w:hAnsi="仿宋_GB2312" w:cs="仿宋_GB2312" w:eastAsia="仿宋_GB2312"/>
              </w:rPr>
              <w:t>确保工期的方案及措施（5分） 根据供应商制定的确保工期的技术组织措施进行综合评审。 措施计划详细齐全、合理且切实可行，完全满足采购人需求，具有优化建议的得(3-5]分； 措施计划非专门针对本项目，存在少量逻辑漏洞或前后内容不一致，或完全套用其他项目且内容较少的得(0-3]分；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施工机械配备、材料及劳动力投入计划</w:t>
            </w:r>
          </w:p>
        </w:tc>
        <w:tc>
          <w:tcPr>
            <w:tcW w:type="dxa" w:w="2492"/>
          </w:tcPr>
          <w:p>
            <w:pPr>
              <w:pStyle w:val="null3"/>
            </w:pPr>
            <w:r>
              <w:rPr>
                <w:rFonts w:ascii="仿宋_GB2312" w:hAnsi="仿宋_GB2312" w:cs="仿宋_GB2312" w:eastAsia="仿宋_GB2312"/>
              </w:rPr>
              <w:t>施工机械配备、材料及劳动力投入计划（5分） 根据供应商投入的施工机械配备、材料及劳动力投入计划等进行评审。 施工机械配备合理并提供设备来源证明材料，证明材料齐全且投入材料环保性符合国家标准、劳动力安排合理的得(3-5]分；施工机械配备、材料、劳动力投入计划较差，影响本项目实施的得(0-3]分；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售后服务及质保期服务承诺</w:t>
            </w:r>
          </w:p>
        </w:tc>
        <w:tc>
          <w:tcPr>
            <w:tcW w:type="dxa" w:w="2492"/>
          </w:tcPr>
          <w:p>
            <w:pPr>
              <w:pStyle w:val="null3"/>
            </w:pPr>
            <w:r>
              <w:rPr>
                <w:rFonts w:ascii="仿宋_GB2312" w:hAnsi="仿宋_GB2312" w:cs="仿宋_GB2312" w:eastAsia="仿宋_GB2312"/>
              </w:rPr>
              <w:t>售后服务及质保期服务承诺（10分）根据供应商提供满足采购文件要求的质保期服务承诺和售后服务方案进行评审。 有明确的质保期服务承诺，且方案中具备有效服务方案、故障解决方案、响应时间、人员保障、售后服务电话等详细完整内容的得(7-10]分； 有质保期服务承诺但内容简略，服务方案内容不够全面的得(2-7]分； 无质保期服务承诺或是方案中缺少内容较多的得(0-2]分； 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1、拟派项目经理的职称： 具备高级及以上职称，得2分，中级职称得1分，其余情况不得分。 评审依据：以供应商提供的加盖供应商公章的拟派项目经理职称证书的扫描件或复印件为准，并提供近三个月内任意一月的社保证明，未提供的不得分。 2、拟派项目部人员配备，除拟派项目经理及拟派项目技术负责人以外，至少应包括：施工员1人、资料员1人、材料员1人、安全员1人、质量员1人、造价员1人。 满足以上全部要求的得4分，每少一人扣1分，扣完为止；（评审依据：提供人员近三个月内任意一月的社保证明、身份证和相应专业证书或注册证书，其中安全员必须提供安全员C证，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项目组织管理机构.docx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供应商提供自2023年1月1日至本项目响应文件递交截止时间前完成的类似业绩证明材料，提供1项得2分，满分4分。 评审依据：提供业绩证明材料的复印件或扫描件（证明材料包括合同和中标通知书），时间以合同签订时间为准，类似业绩指合同价100万元（含）以上的房建类或房屋改造类相关业绩。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文件，其最终报价为有效报价。本项目专门面向中小企业采购，根据财政部发布《政府采购促进中小企业发展政策问答》的规定，专门面向中小企业采购的项目或者采购包，不再执行价格评审优惠的扶持政策。 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详见附件：资格审查内容.docx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详见附件：项目组织管理机构.docx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