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版本号：LZBC2026-34920260715002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机关干部职工灶外包服务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LZBC2026-349</w:t>
      </w:r>
      <w:r>
        <w:br/>
      </w:r>
      <w:r>
        <w:br/>
      </w:r>
      <w:r>
        <w:br/>
      </w:r>
    </w:p>
    <w:p>
      <w:pPr>
        <w:pStyle w:val="null3"/>
        <w:jc w:val="center"/>
        <w:outlineLvl w:val="2"/>
      </w:pPr>
      <w:r>
        <w:rPr>
          <w:rFonts w:ascii="仿宋_GB2312" w:hAnsi="仿宋_GB2312" w:cs="仿宋_GB2312" w:eastAsia="仿宋_GB2312"/>
          <w:sz w:val="28"/>
          <w:b/>
        </w:rPr>
        <w:t>西安市自然资源和规划局高陵分局</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西安市自然资源和规划局高陵分局</w:t>
      </w:r>
      <w:r>
        <w:rPr>
          <w:rFonts w:ascii="仿宋_GB2312" w:hAnsi="仿宋_GB2312" w:cs="仿宋_GB2312" w:eastAsia="仿宋_GB2312"/>
        </w:rPr>
        <w:t>委托，拟对</w:t>
      </w:r>
      <w:r>
        <w:rPr>
          <w:rFonts w:ascii="仿宋_GB2312" w:hAnsi="仿宋_GB2312" w:cs="仿宋_GB2312" w:eastAsia="仿宋_GB2312"/>
        </w:rPr>
        <w:t>机关干部职工灶外包服务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LZBC2026-349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机关干部职工灶外包服务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本项目拟对机关干部职工灶外包服务进行采购，具体详见采购文件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采购包1（机关干部职工灶外包服务）：属于专门面向中小企业采购。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法人需提供合法有效的营业执照，其他组织需提供合法有效的营业执照（或事业单位法人证书）等证明资料，自然人须提供身份证明。供应商需在项目电子化交易系统中按要求上传相应证明文件并进行电子签章。</w:t>
      </w:r>
    </w:p>
    <w:p>
      <w:pPr>
        <w:pStyle w:val="null3"/>
      </w:pPr>
      <w:r>
        <w:rPr>
          <w:rFonts w:ascii="仿宋_GB2312" w:hAnsi="仿宋_GB2312" w:cs="仿宋_GB2312" w:eastAsia="仿宋_GB2312"/>
        </w:rPr>
        <w:t>2、供应商具有有效的食品经营许可证：供应商具有有效的食品经营许可证。供应商需在项目电子化交易系统中按要求上传相应证明文件并进行电子签章。</w:t>
      </w:r>
    </w:p>
    <w:p>
      <w:pPr>
        <w:pStyle w:val="null3"/>
      </w:pPr>
      <w:r>
        <w:rPr>
          <w:rFonts w:ascii="仿宋_GB2312" w:hAnsi="仿宋_GB2312" w:cs="仿宋_GB2312" w:eastAsia="仿宋_GB2312"/>
        </w:rPr>
        <w:t>3、税收缴纳凭证及社会保险缴纳的凭证：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p>
      <w:pPr>
        <w:pStyle w:val="null3"/>
      </w:pPr>
      <w:r>
        <w:rPr>
          <w:rFonts w:ascii="仿宋_GB2312" w:hAnsi="仿宋_GB2312" w:cs="仿宋_GB2312" w:eastAsia="仿宋_GB2312"/>
        </w:rPr>
        <w:t>4、财务状况报告：供应商2025年经审计的财务报告（事业法人可提供部门决算报告）或基本开户银行出具的资信证明或专业担保机构出具的投标担保函，供应商需在项目电子化交易系统中按要求上传相应证明文件并进行电子签章。</w:t>
      </w:r>
    </w:p>
    <w:p>
      <w:pPr>
        <w:pStyle w:val="null3"/>
      </w:pPr>
      <w:r>
        <w:rPr>
          <w:rFonts w:ascii="仿宋_GB2312" w:hAnsi="仿宋_GB2312" w:cs="仿宋_GB2312" w:eastAsia="仿宋_GB2312"/>
        </w:rPr>
        <w:t>5、参加政府采购活动前3年内在经营活动中没有重大违法记录的书面声明； 其中：重大违法记录是指供应商因违法经营受到刑事处罚或者责令停产停业、吊销许可证或者执照、较大数额罚款等行政处罚：参加政府采购活动前3年内在经营活动中没有重大违法记录的书面声明，重大违法记录是指供应商因违法经营受到刑事处罚或者责令停产停业、吊销许可证或者执照、较大数额罚款等行政处罚。供应商需在项目电子化交易系统中按要求上传相应证明文件并进行电子签章。</w:t>
      </w:r>
    </w:p>
    <w:p>
      <w:pPr>
        <w:pStyle w:val="null3"/>
      </w:pPr>
      <w:r>
        <w:rPr>
          <w:rFonts w:ascii="仿宋_GB2312" w:hAnsi="仿宋_GB2312" w:cs="仿宋_GB2312" w:eastAsia="仿宋_GB2312"/>
        </w:rPr>
        <w:t>6、履行合同所必需的设备和专业技术能力书面声明函：供应商应提供履行合同所必需的设备和专业技术能力书面声明函，供应商需在项目电子化交易系统中按要求上传相应证明文件并进行电子签章。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7、信用状况：供应商未被列入《信用中国》失信被执行人、重大税收违法失信主体、政府采购严重违法失信行为记录名单和《中国政府采购网》政府采购严重违法失信行为记录名单。以响应文件上传截止时间后当日内采购人或采购代理机构的查询结果为准。</w:t>
      </w:r>
    </w:p>
    <w:p>
      <w:pPr>
        <w:pStyle w:val="null3"/>
      </w:pPr>
      <w:r>
        <w:rPr>
          <w:rFonts w:ascii="仿宋_GB2312" w:hAnsi="仿宋_GB2312" w:cs="仿宋_GB2312" w:eastAsia="仿宋_GB2312"/>
        </w:rPr>
        <w:t>8、本项目专门面向中小企业采购：本项目专门面向中小企业采购（残疾人福利性单位、监狱企业视同小型、微型企业）。</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西安市自然资源和规划局高陵分局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高陵区环城东路165号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029-86910384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陕西省西安市高新区太白南路181号A座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李昕宇、王申午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029-88228899-638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西安市高陵区采购管理科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药咪</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86919290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文以及『2011』534号文中规定的标准执行，在成交通知书发出后合同签订前向采购代理机构缴纳。计费基数为本项目预算金额。</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西安市自然资源和规划局高陵分局</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西安市自然资源和规划局高陵分局</w:t>
      </w:r>
      <w:r>
        <w:rPr>
          <w:rFonts w:ascii="仿宋_GB2312" w:hAnsi="仿宋_GB2312" w:cs="仿宋_GB2312" w:eastAsia="仿宋_GB2312"/>
        </w:rPr>
        <w:t>负责解释。除上述磋商文件内容，其他内容由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西安市自然资源和规划局高陵分局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以最终签订合同为准</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联系人：李昕宇</w:t>
      </w:r>
    </w:p>
    <w:p>
      <w:pPr>
        <w:pStyle w:val="null3"/>
      </w:pPr>
      <w:r>
        <w:rPr>
          <w:rFonts w:ascii="仿宋_GB2312" w:hAnsi="仿宋_GB2312" w:cs="仿宋_GB2312" w:eastAsia="仿宋_GB2312"/>
        </w:rPr>
        <w:t>联系电话：029-88228899-638</w:t>
      </w:r>
    </w:p>
    <w:p>
      <w:pPr>
        <w:pStyle w:val="null3"/>
      </w:pPr>
      <w:r>
        <w:rPr>
          <w:rFonts w:ascii="仿宋_GB2312" w:hAnsi="仿宋_GB2312" w:cs="仿宋_GB2312" w:eastAsia="仿宋_GB2312"/>
        </w:rPr>
        <w:t>地址：陕西省西安市高新区太白南路181号A座A区501</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本项目拟对机关干部职工灶外包服务进行采购，具体详见采购文件。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职工食堂餐饮服务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标的名称：职工食堂餐饮服务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服务内容及对象：提供</w:t>
            </w:r>
            <w:r>
              <w:rPr>
                <w:rFonts w:ascii="仿宋_GB2312" w:hAnsi="仿宋_GB2312" w:cs="仿宋_GB2312" w:eastAsia="仿宋_GB2312"/>
              </w:rPr>
              <w:t>机关干</w:t>
            </w:r>
            <w:r>
              <w:rPr>
                <w:rFonts w:ascii="仿宋_GB2312" w:hAnsi="仿宋_GB2312" w:cs="仿宋_GB2312" w:eastAsia="仿宋_GB2312"/>
              </w:rPr>
              <w:t>部职工</w:t>
            </w:r>
            <w:r>
              <w:rPr>
                <w:rFonts w:ascii="仿宋_GB2312" w:hAnsi="仿宋_GB2312" w:cs="仿宋_GB2312" w:eastAsia="仿宋_GB2312"/>
              </w:rPr>
              <w:t>工作日</w:t>
            </w:r>
            <w:r>
              <w:rPr>
                <w:rFonts w:ascii="仿宋_GB2312" w:hAnsi="仿宋_GB2312" w:cs="仿宋_GB2312" w:eastAsia="仿宋_GB2312"/>
              </w:rPr>
              <w:t>每</w:t>
            </w:r>
            <w:r>
              <w:rPr>
                <w:rFonts w:ascii="仿宋_GB2312" w:hAnsi="仿宋_GB2312" w:cs="仿宋_GB2312" w:eastAsia="仿宋_GB2312"/>
              </w:rPr>
              <w:t>日</w:t>
            </w:r>
            <w:r>
              <w:rPr>
                <w:rFonts w:ascii="仿宋_GB2312" w:hAnsi="仿宋_GB2312" w:cs="仿宋_GB2312" w:eastAsia="仿宋_GB2312"/>
              </w:rPr>
              <w:t>早餐、午餐</w:t>
            </w:r>
          </w:p>
          <w:p>
            <w:pPr>
              <w:pStyle w:val="null3"/>
            </w:pPr>
            <w:r>
              <w:rPr>
                <w:rFonts w:ascii="仿宋_GB2312" w:hAnsi="仿宋_GB2312" w:cs="仿宋_GB2312" w:eastAsia="仿宋_GB2312"/>
              </w:rPr>
              <w:t>★服务期：合同签订之日起一年</w:t>
            </w:r>
          </w:p>
          <w:p>
            <w:pPr>
              <w:pStyle w:val="null3"/>
            </w:pPr>
            <w:r>
              <w:rPr>
                <w:rFonts w:ascii="仿宋_GB2312" w:hAnsi="仿宋_GB2312" w:cs="仿宋_GB2312" w:eastAsia="仿宋_GB2312"/>
              </w:rPr>
              <w:t>★</w:t>
            </w:r>
            <w:r>
              <w:rPr>
                <w:rFonts w:ascii="仿宋_GB2312" w:hAnsi="仿宋_GB2312" w:cs="仿宋_GB2312" w:eastAsia="仿宋_GB2312"/>
              </w:rPr>
              <w:t>单价限价：</w:t>
            </w:r>
            <w:r>
              <w:rPr>
                <w:rFonts w:ascii="仿宋_GB2312" w:hAnsi="仿宋_GB2312" w:cs="仿宋_GB2312" w:eastAsia="仿宋_GB2312"/>
              </w:rPr>
              <w:t>4</w:t>
            </w:r>
            <w:r>
              <w:rPr>
                <w:rFonts w:ascii="仿宋_GB2312" w:hAnsi="仿宋_GB2312" w:cs="仿宋_GB2312" w:eastAsia="仿宋_GB2312"/>
              </w:rPr>
              <w:t>34</w:t>
            </w:r>
            <w:r>
              <w:rPr>
                <w:rFonts w:ascii="仿宋_GB2312" w:hAnsi="仿宋_GB2312" w:cs="仿宋_GB2312" w:eastAsia="仿宋_GB2312"/>
              </w:rPr>
              <w:t>元</w:t>
            </w:r>
            <w:r>
              <w:rPr>
                <w:rFonts w:ascii="仿宋_GB2312" w:hAnsi="仿宋_GB2312" w:cs="仿宋_GB2312" w:eastAsia="仿宋_GB2312"/>
              </w:rPr>
              <w:t>/月/人</w:t>
            </w:r>
          </w:p>
          <w:p>
            <w:pPr>
              <w:pStyle w:val="null3"/>
            </w:pPr>
            <w:r>
              <w:rPr>
                <w:rFonts w:ascii="仿宋_GB2312" w:hAnsi="仿宋_GB2312" w:cs="仿宋_GB2312" w:eastAsia="仿宋_GB2312"/>
              </w:rPr>
              <w:t>人数约</w:t>
            </w:r>
            <w:r>
              <w:rPr>
                <w:rFonts w:ascii="仿宋_GB2312" w:hAnsi="仿宋_GB2312" w:cs="仿宋_GB2312" w:eastAsia="仿宋_GB2312"/>
              </w:rPr>
              <w:t>120人</w:t>
            </w:r>
          </w:p>
          <w:p>
            <w:pPr>
              <w:pStyle w:val="null3"/>
            </w:pPr>
            <w:r>
              <w:rPr>
                <w:rFonts w:ascii="仿宋_GB2312" w:hAnsi="仿宋_GB2312" w:cs="仿宋_GB2312" w:eastAsia="仿宋_GB2312"/>
              </w:rPr>
              <w:t>结算方式：因系统设置原因无法正确表述，实际支付方式如下：</w:t>
            </w:r>
          </w:p>
          <w:p>
            <w:pPr>
              <w:pStyle w:val="null3"/>
            </w:pPr>
            <w:r>
              <w:rPr>
                <w:rFonts w:ascii="仿宋_GB2312" w:hAnsi="仿宋_GB2312" w:cs="仿宋_GB2312" w:eastAsia="仿宋_GB2312"/>
              </w:rPr>
              <w:t>合同签订后，达到付款条件起</w:t>
            </w:r>
            <w:r>
              <w:rPr>
                <w:rFonts w:ascii="仿宋_GB2312" w:hAnsi="仿宋_GB2312" w:cs="仿宋_GB2312" w:eastAsia="仿宋_GB2312"/>
              </w:rPr>
              <w:t>30个工作日内，支付预算总金额的40.00%。</w:t>
            </w:r>
          </w:p>
          <w:p>
            <w:pPr>
              <w:pStyle w:val="null3"/>
            </w:pPr>
            <w:r>
              <w:rPr>
                <w:rFonts w:ascii="仿宋_GB2312" w:hAnsi="仿宋_GB2312" w:cs="仿宋_GB2312" w:eastAsia="仿宋_GB2312"/>
              </w:rPr>
              <w:t>剩余款项按照实际就餐人数按月据实结算，结算上限为本项目预算金额</w:t>
            </w:r>
            <w:r>
              <w:rPr>
                <w:rFonts w:ascii="仿宋_GB2312" w:hAnsi="仿宋_GB2312" w:cs="仿宋_GB2312" w:eastAsia="仿宋_GB2312"/>
              </w:rPr>
              <w:t>。</w:t>
            </w:r>
          </w:p>
          <w:p>
            <w:pPr>
              <w:pStyle w:val="null3"/>
            </w:pPr>
            <w:r>
              <w:rPr>
                <w:rFonts w:ascii="仿宋_GB2312" w:hAnsi="仿宋_GB2312" w:cs="仿宋_GB2312" w:eastAsia="仿宋_GB2312"/>
              </w:rPr>
              <w:t>二、服务内容</w:t>
            </w:r>
          </w:p>
          <w:p>
            <w:pPr>
              <w:pStyle w:val="null3"/>
            </w:pPr>
            <w:r>
              <w:rPr>
                <w:rFonts w:ascii="仿宋_GB2312" w:hAnsi="仿宋_GB2312" w:cs="仿宋_GB2312" w:eastAsia="仿宋_GB2312"/>
              </w:rPr>
              <w:t>(一)餐饮服务</w:t>
            </w:r>
          </w:p>
          <w:p>
            <w:pPr>
              <w:pStyle w:val="null3"/>
            </w:pPr>
            <w:r>
              <w:rPr>
                <w:rFonts w:ascii="仿宋_GB2312" w:hAnsi="仿宋_GB2312" w:cs="仿宋_GB2312" w:eastAsia="仿宋_GB2312"/>
              </w:rPr>
              <w:t>1.菜品供应：每日提供早、中两餐(按需调整),菜品荤素搭配、营养均衡，每周制定食谱并公示，兼顾清淡、少油少盐及不同口味需求，每月菜品更新率≥30%,可按需提供加班餐、工作餐。</w:t>
            </w:r>
          </w:p>
          <w:p>
            <w:pPr>
              <w:pStyle w:val="null3"/>
            </w:pPr>
            <w:r>
              <w:rPr>
                <w:rFonts w:ascii="仿宋_GB2312" w:hAnsi="仿宋_GB2312" w:cs="仿宋_GB2312" w:eastAsia="仿宋_GB2312"/>
              </w:rPr>
              <w:t>2.食材管理：食材从正规渠道采购，索证索票齐全，建立采购台账(含供应商信息、食材名称、数量、生产日期、检验报告等); 生熟食材分开储存、加工，冷藏冷冻食材分类摆放，无过期、变质食材。</w:t>
            </w:r>
          </w:p>
          <w:p>
            <w:pPr>
              <w:pStyle w:val="null3"/>
            </w:pPr>
            <w:r>
              <w:rPr>
                <w:rFonts w:ascii="仿宋_GB2312" w:hAnsi="仿宋_GB2312" w:cs="仿宋_GB2312" w:eastAsia="仿宋_GB2312"/>
              </w:rPr>
              <w:t>3. 食品留样：每餐每样食品单独留样，留样量≥125g,标注留样日期、菜品名称，在专用留样冰箱保存≥48小时，建立留样台账。</w:t>
            </w:r>
          </w:p>
          <w:p>
            <w:pPr>
              <w:pStyle w:val="null3"/>
            </w:pPr>
            <w:r>
              <w:rPr>
                <w:rFonts w:ascii="仿宋_GB2312" w:hAnsi="仿宋_GB2312" w:cs="仿宋_GB2312" w:eastAsia="仿宋_GB2312"/>
              </w:rPr>
              <w:t>4.餐食质量：菜品新鲜、口味适宜、温度达标(热食中心温度 ≥60℃), 主食种类丰富，按需提供汤品、小菜，杜绝生冷、不洁、变质餐食。</w:t>
            </w:r>
          </w:p>
          <w:p>
            <w:pPr>
              <w:pStyle w:val="null3"/>
            </w:pPr>
            <w:r>
              <w:rPr>
                <w:rFonts w:ascii="仿宋_GB2312" w:hAnsi="仿宋_GB2312" w:cs="仿宋_GB2312" w:eastAsia="仿宋_GB2312"/>
              </w:rPr>
              <w:t>(二)人员服务</w:t>
            </w:r>
          </w:p>
          <w:p>
            <w:pPr>
              <w:pStyle w:val="null3"/>
            </w:pPr>
            <w:r>
              <w:rPr>
                <w:rFonts w:ascii="仿宋_GB2312" w:hAnsi="仿宋_GB2312" w:cs="仿宋_GB2312" w:eastAsia="仿宋_GB2312"/>
              </w:rPr>
              <w:t>1.从业人员持有效健康证、食品安全知识培训合格证上岗，每年体检1次，无传染病、皮肤病等不适宜从业疾病；上岗时穿戴整洁工作衣帽、口罩、手套，个人卫生良好。</w:t>
            </w:r>
          </w:p>
          <w:p>
            <w:pPr>
              <w:pStyle w:val="null3"/>
            </w:pPr>
            <w:r>
              <w:rPr>
                <w:rFonts w:ascii="仿宋_GB2312" w:hAnsi="仿宋_GB2312" w:cs="仿宋_GB2312" w:eastAsia="仿宋_GB2312"/>
              </w:rPr>
              <w:t>2. 服务人员态度热情、文明用语，及时响应职工就餐需求，主动清理就餐区餐桌、地面，保持就餐环境整洁；高峰期合理疏导就餐秩序，提高就餐效率。</w:t>
            </w:r>
          </w:p>
          <w:p>
            <w:pPr>
              <w:pStyle w:val="null3"/>
            </w:pPr>
            <w:r>
              <w:rPr>
                <w:rFonts w:ascii="仿宋_GB2312" w:hAnsi="仿宋_GB2312" w:cs="仿宋_GB2312" w:eastAsia="仿宋_GB2312"/>
              </w:rPr>
              <w:t>3. 配备食品安全管理员，负责日常卫生检查、食材管控、设备维护，及时处理就餐人员的意见和投诉，24小时内反馈处理结果。</w:t>
            </w:r>
          </w:p>
          <w:p>
            <w:pPr>
              <w:pStyle w:val="null3"/>
            </w:pPr>
            <w:r>
              <w:rPr>
                <w:rFonts w:ascii="仿宋_GB2312" w:hAnsi="仿宋_GB2312" w:cs="仿宋_GB2312" w:eastAsia="仿宋_GB2312"/>
              </w:rPr>
              <w:t>(三)日常运营服务</w:t>
            </w:r>
          </w:p>
          <w:p>
            <w:pPr>
              <w:pStyle w:val="null3"/>
            </w:pPr>
            <w:r>
              <w:rPr>
                <w:rFonts w:ascii="仿宋_GB2312" w:hAnsi="仿宋_GB2312" w:cs="仿宋_GB2312" w:eastAsia="仿宋_GB2312"/>
              </w:rPr>
              <w:t>1.卫生清洁：每日对烹饪区、备餐区、洗消区、就餐区进行全  面清洁消毒，餐具、厨具经“一刮、二洗、三冲、四消毒、五保洁” 处理，消毒后存放于密闭保洁柜；每周进行一次深度清洁，每月进行  一次全面消杀。</w:t>
            </w:r>
          </w:p>
          <w:p>
            <w:pPr>
              <w:pStyle w:val="null3"/>
            </w:pPr>
            <w:r>
              <w:rPr>
                <w:rFonts w:ascii="仿宋_GB2312" w:hAnsi="仿宋_GB2312" w:cs="仿宋_GB2312" w:eastAsia="仿宋_GB2312"/>
              </w:rPr>
              <w:t>2.设备维护：定期对烹饪、冷藏、消毒、排烟等设备进行检查、 保养和维修，建立设备维护台账，发现故障立即停机检修，确保设备  正常运行，不影响正常就餐。</w:t>
            </w:r>
          </w:p>
          <w:p>
            <w:pPr>
              <w:pStyle w:val="null3"/>
            </w:pPr>
            <w:r>
              <w:rPr>
                <w:rFonts w:ascii="仿宋_GB2312" w:hAnsi="仿宋_GB2312" w:cs="仿宋_GB2312" w:eastAsia="仿宋_GB2312"/>
              </w:rPr>
              <w:t>3.应急服务：制定食品安全突发事件、设备故障、停水停电等 应急预案；在发生食品安全问题时，立即停止供餐，启动应急预案， 配合相关部门调查处理。</w:t>
            </w:r>
          </w:p>
          <w:p>
            <w:pPr>
              <w:pStyle w:val="null3"/>
            </w:pPr>
            <w:r>
              <w:rPr>
                <w:rFonts w:ascii="仿宋_GB2312" w:hAnsi="仿宋_GB2312" w:cs="仿宋_GB2312" w:eastAsia="仿宋_GB2312"/>
              </w:rPr>
              <w:t>三、技术要求</w:t>
            </w:r>
          </w:p>
          <w:p>
            <w:pPr>
              <w:pStyle w:val="null3"/>
            </w:pPr>
            <w:r>
              <w:rPr>
                <w:rFonts w:ascii="仿宋_GB2312" w:hAnsi="仿宋_GB2312" w:cs="仿宋_GB2312" w:eastAsia="仿宋_GB2312"/>
              </w:rPr>
              <w:t xml:space="preserve">(一)场地与设施布局                               </w:t>
            </w:r>
          </w:p>
          <w:p>
            <w:pPr>
              <w:pStyle w:val="null3"/>
            </w:pPr>
            <w:r>
              <w:rPr>
                <w:rFonts w:ascii="仿宋_GB2312" w:hAnsi="仿宋_GB2312" w:cs="仿宋_GB2312" w:eastAsia="仿宋_GB2312"/>
              </w:rPr>
              <w:t>1.职工灶功能分区清晰，设烹饪区、备餐区、洗消区、储物区、 就餐区，各区域独立分隔，符合《餐饮服务食品安全操作规范》,总面积适配机关干部职工就餐规模。</w:t>
            </w:r>
          </w:p>
          <w:p>
            <w:pPr>
              <w:pStyle w:val="null3"/>
            </w:pPr>
            <w:r>
              <w:rPr>
                <w:rFonts w:ascii="仿宋_GB2312" w:hAnsi="仿宋_GB2312" w:cs="仿宋_GB2312" w:eastAsia="仿宋_GB2312"/>
              </w:rPr>
              <w:t>2.地面采用防滑、耐污、易清洁的防滑地砖，墙面贴304不锈钢板或防水瓷砖至顶，天花板为防潮、防霉、易清洁的吊顶材料，无卫生死角。</w:t>
            </w:r>
          </w:p>
          <w:p>
            <w:pPr>
              <w:pStyle w:val="null3"/>
            </w:pPr>
            <w:r>
              <w:rPr>
                <w:rFonts w:ascii="仿宋_GB2312" w:hAnsi="仿宋_GB2312" w:cs="仿宋_GB2312" w:eastAsia="仿宋_GB2312"/>
              </w:rPr>
              <w:t>(二)烹饪设备</w:t>
            </w:r>
          </w:p>
          <w:p>
            <w:pPr>
              <w:pStyle w:val="null3"/>
            </w:pPr>
            <w:r>
              <w:rPr>
                <w:rFonts w:ascii="仿宋_GB2312" w:hAnsi="仿宋_GB2312" w:cs="仿宋_GB2312" w:eastAsia="仿宋_GB2312"/>
              </w:rPr>
              <w:t>1.主烹饪设备为节能型燃气炒灶、煲汤灶，配套排烟净化系统 (油烟净化效率≥95%,符合国家排放标准),设备均为304不锈钢 材质，具备熄火保护、漏电保护功能。</w:t>
            </w:r>
          </w:p>
          <w:p>
            <w:pPr>
              <w:pStyle w:val="null3"/>
            </w:pPr>
            <w:r>
              <w:rPr>
                <w:rFonts w:ascii="仿宋_GB2312" w:hAnsi="仿宋_GB2312" w:cs="仿宋_GB2312" w:eastAsia="仿宋_GB2312"/>
              </w:rPr>
              <w:t>2.配备冷藏冷冻柜(冷藏0-4℃、冷冻≤-18℃)、保温售饭台、 消毒柜、留样冰箱(专用，温度0-4℃)、不锈钢操作台、洗池(生熟分开、荤素分开)等，设备型号适配就餐人数，运行稳定无故障。</w:t>
            </w:r>
          </w:p>
          <w:p>
            <w:pPr>
              <w:pStyle w:val="null3"/>
            </w:pPr>
            <w:r>
              <w:rPr>
                <w:rFonts w:ascii="仿宋_GB2312" w:hAnsi="仿宋_GB2312" w:cs="仿宋_GB2312" w:eastAsia="仿宋_GB2312"/>
              </w:rPr>
              <w:t>(三)辅助设施</w:t>
            </w:r>
          </w:p>
          <w:p>
            <w:pPr>
              <w:pStyle w:val="null3"/>
            </w:pPr>
            <w:r>
              <w:rPr>
                <w:rFonts w:ascii="仿宋_GB2312" w:hAnsi="仿宋_GB2312" w:cs="仿宋_GB2312" w:eastAsia="仿宋_GB2312"/>
              </w:rPr>
              <w:t>1.供水、供电、供气系统独立稳定，配备应急供水、供电装置 (如备用发电机),满足突发情况下基本运营。</w:t>
            </w:r>
          </w:p>
          <w:p>
            <w:pPr>
              <w:pStyle w:val="null3"/>
            </w:pPr>
            <w:r>
              <w:rPr>
                <w:rFonts w:ascii="仿宋_GB2312" w:hAnsi="仿宋_GB2312" w:cs="仿宋_GB2312" w:eastAsia="仿宋_GB2312"/>
              </w:rPr>
              <w:t>2.就餐区配备餐桌椅、空调、通风设施、垃圾分类桶，餐桌椅 为耐用易清洁材质，人均就餐空间符合舒适要求；配套洗手池(含洗 手液、干手器),标识清晰。</w:t>
            </w:r>
          </w:p>
          <w:p>
            <w:pPr>
              <w:pStyle w:val="null3"/>
            </w:pPr>
            <w:r>
              <w:rPr>
                <w:rFonts w:ascii="仿宋_GB2312" w:hAnsi="仿宋_GB2312" w:cs="仿宋_GB2312" w:eastAsia="仿宋_GB2312"/>
              </w:rPr>
              <w:t>(四)卫生与安防设施</w:t>
            </w:r>
          </w:p>
          <w:p>
            <w:pPr>
              <w:pStyle w:val="null3"/>
            </w:pPr>
            <w:r>
              <w:rPr>
                <w:rFonts w:ascii="仿宋_GB2312" w:hAnsi="仿宋_GB2312" w:cs="仿宋_GB2312" w:eastAsia="仿宋_GB2312"/>
              </w:rPr>
              <w:t>1.配备紫外线消毒灯(烹饪区、备餐区、就餐区按需布置)、 防鼠防蝇防蟑设施(纱窗、挡鼠板、粘捕板等),设施完好有效。</w:t>
            </w:r>
          </w:p>
          <w:p>
            <w:pPr>
              <w:pStyle w:val="null3"/>
            </w:pPr>
            <w:r>
              <w:rPr>
                <w:rFonts w:ascii="仿宋_GB2312" w:hAnsi="仿宋_GB2312" w:cs="仿宋_GB2312" w:eastAsia="仿宋_GB2312"/>
              </w:rPr>
              <w:t>2.安装消防设施(灭火器、消防栓、烟感报警器),符合消防 规范；烹饪区配备灭火毯、燃气泄漏报警器，安防监控覆盖所有功能区域，录像保存≥30天。</w:t>
            </w:r>
          </w:p>
          <w:p>
            <w:pPr>
              <w:pStyle w:val="null3"/>
            </w:pPr>
            <w:r>
              <w:rPr>
                <w:rFonts w:ascii="仿宋_GB2312" w:hAnsi="仿宋_GB2312" w:cs="仿宋_GB2312" w:eastAsia="仿宋_GB2312"/>
              </w:rPr>
              <w:t>四</w:t>
            </w:r>
            <w:r>
              <w:rPr>
                <w:rFonts w:ascii="仿宋_GB2312" w:hAnsi="仿宋_GB2312" w:cs="仿宋_GB2312" w:eastAsia="仿宋_GB2312"/>
              </w:rPr>
              <w:t>、服务要求</w:t>
            </w:r>
          </w:p>
          <w:p>
            <w:pPr>
              <w:pStyle w:val="null3"/>
            </w:pPr>
            <w:r>
              <w:rPr>
                <w:rFonts w:ascii="仿宋_GB2312" w:hAnsi="仿宋_GB2312" w:cs="仿宋_GB2312" w:eastAsia="仿宋_GB2312"/>
              </w:rPr>
              <w:t>干部职工灶就餐人数</w:t>
            </w:r>
            <w:r>
              <w:rPr>
                <w:rFonts w:ascii="仿宋_GB2312" w:hAnsi="仿宋_GB2312" w:cs="仿宋_GB2312" w:eastAsia="仿宋_GB2312"/>
              </w:rPr>
              <w:t>约</w:t>
            </w:r>
            <w:r>
              <w:rPr>
                <w:rFonts w:ascii="仿宋_GB2312" w:hAnsi="仿宋_GB2312" w:cs="仿宋_GB2312" w:eastAsia="仿宋_GB2312"/>
              </w:rPr>
              <w:t>120人，需厨房大厨1名，面点厨师1名，4名帮厨。</w:t>
            </w:r>
          </w:p>
          <w:p>
            <w:pPr>
              <w:pStyle w:val="null3"/>
            </w:pPr>
            <w:r>
              <w:rPr>
                <w:rFonts w:ascii="仿宋_GB2312" w:hAnsi="仿宋_GB2312" w:cs="仿宋_GB2312" w:eastAsia="仿宋_GB2312"/>
              </w:rPr>
              <w:t>如未按磋商文件及响应文件承诺配齐合格服务人员的，每缺岗</w:t>
            </w:r>
            <w:r>
              <w:rPr>
                <w:rFonts w:ascii="仿宋_GB2312" w:hAnsi="仿宋_GB2312" w:cs="仿宋_GB2312" w:eastAsia="仿宋_GB2312"/>
              </w:rPr>
              <w:t>1人每日扣除当月应付服务费的2%；擅自更换核心厨师人员未征得甲方同意的，每次扣除当月应付服务费的20%。</w:t>
            </w:r>
          </w:p>
          <w:p>
            <w:pPr>
              <w:pStyle w:val="null3"/>
            </w:pPr>
            <w:r>
              <w:rPr>
                <w:rFonts w:ascii="仿宋_GB2312" w:hAnsi="仿宋_GB2312" w:cs="仿宋_GB2312" w:eastAsia="仿宋_GB2312"/>
              </w:rPr>
              <w:t>五、其他</w:t>
            </w:r>
          </w:p>
          <w:p>
            <w:pPr>
              <w:pStyle w:val="null3"/>
            </w:pPr>
            <w:r>
              <w:rPr>
                <w:rFonts w:ascii="仿宋_GB2312" w:hAnsi="仿宋_GB2312" w:cs="仿宋_GB2312" w:eastAsia="仿宋_GB2312"/>
              </w:rPr>
              <w:t>(一)违约责任</w:t>
            </w:r>
          </w:p>
          <w:p>
            <w:pPr>
              <w:pStyle w:val="null3"/>
            </w:pPr>
            <w:r>
              <w:rPr>
                <w:rFonts w:ascii="仿宋_GB2312" w:hAnsi="仿宋_GB2312" w:cs="仿宋_GB2312" w:eastAsia="仿宋_GB2312"/>
              </w:rPr>
              <w:t xml:space="preserve">1. </w:t>
            </w:r>
            <w:r>
              <w:rPr>
                <w:rFonts w:ascii="仿宋_GB2312" w:hAnsi="仿宋_GB2312" w:cs="仿宋_GB2312" w:eastAsia="仿宋_GB2312"/>
              </w:rPr>
              <w:t>供应商未按约定标准提供菜品、按时开餐、保障就餐服务的，采购人有权责令整改，每次应按当月服务费总额的【</w:t>
            </w:r>
            <w:r>
              <w:rPr>
                <w:rFonts w:ascii="仿宋_GB2312" w:hAnsi="仿宋_GB2312" w:cs="仿宋_GB2312" w:eastAsia="仿宋_GB2312"/>
              </w:rPr>
              <w:t>5%】扣除违约金，具体扣除金额由采购人根据违约严重程度书面确定，多次违规可终止合同。</w:t>
            </w:r>
          </w:p>
          <w:p>
            <w:pPr>
              <w:pStyle w:val="null3"/>
            </w:pPr>
            <w:r>
              <w:rPr>
                <w:rFonts w:ascii="仿宋_GB2312" w:hAnsi="仿宋_GB2312" w:cs="仿宋_GB2312" w:eastAsia="仿宋_GB2312"/>
              </w:rPr>
              <w:t xml:space="preserve">2.  </w:t>
            </w:r>
            <w:r>
              <w:rPr>
                <w:rFonts w:ascii="仿宋_GB2312" w:hAnsi="仿宋_GB2312" w:cs="仿宋_GB2312" w:eastAsia="仿宋_GB2312"/>
              </w:rPr>
              <w:t>严格遵守食品安全相关规定，若出现卫生不达标、食材不合格、使用过期食材等问题，每次应向采购人支付人民币壹万元的违约金，并赔偿由此给采购人及第三方造成的全部损失；引发食品安全问题及相关事故的，供应商应承担由此产生的全部法律责任，并向采购人支付人民币伍万元的违约金，同时赔偿采购人因此遭受的全部损失（包括但不限于对就餐人员的赔偿、行政罚款、商誉损失及为处理事故所支出的所有费用），采购人有权直接解除合同。</w:t>
            </w:r>
          </w:p>
          <w:p>
            <w:pPr>
              <w:pStyle w:val="null3"/>
            </w:pPr>
            <w:r>
              <w:rPr>
                <w:rFonts w:ascii="仿宋_GB2312" w:hAnsi="仿宋_GB2312" w:cs="仿宋_GB2312" w:eastAsia="仿宋_GB2312"/>
              </w:rPr>
              <w:t xml:space="preserve">3.  </w:t>
            </w:r>
            <w:r>
              <w:rPr>
                <w:rFonts w:ascii="仿宋_GB2312" w:hAnsi="仿宋_GB2312" w:cs="仿宋_GB2312" w:eastAsia="仿宋_GB2312"/>
              </w:rPr>
              <w:t>食堂工作人员须持有效健康证上岗，服务态度恶劣、无故缺勤、擅自更换管理人员未征得甲方同意的，采购人有权要求其立即纠正，并按每人次人民币伍佰元的标准扣除违约金。擅自更换项目负责人或关键岗位人员未提前</w:t>
            </w:r>
            <w:r>
              <w:rPr>
                <w:rFonts w:ascii="仿宋_GB2312" w:hAnsi="仿宋_GB2312" w:cs="仿宋_GB2312" w:eastAsia="仿宋_GB2312"/>
              </w:rPr>
              <w:t>15日书面通知并获采购人同意的，每次应向采购人支付人民币贰仟元的违约金。</w:t>
            </w:r>
          </w:p>
          <w:p>
            <w:pPr>
              <w:pStyle w:val="null3"/>
            </w:pPr>
            <w:r>
              <w:rPr>
                <w:rFonts w:ascii="仿宋_GB2312" w:hAnsi="仿宋_GB2312" w:cs="仿宋_GB2312" w:eastAsia="仿宋_GB2312"/>
              </w:rPr>
              <w:t>4. 妥善爱护使用甲方提供的食堂场地、厨具、设施设备，人为损坏由供应商负责维修及全额赔偿。</w:t>
            </w:r>
          </w:p>
          <w:p>
            <w:pPr>
              <w:pStyle w:val="null3"/>
            </w:pPr>
            <w:r>
              <w:rPr>
                <w:rFonts w:ascii="仿宋_GB2312" w:hAnsi="仿宋_GB2312" w:cs="仿宋_GB2312" w:eastAsia="仿宋_GB2312"/>
              </w:rPr>
              <w:t>5.遇单位加班、重大活动等需保障就餐时，供应商须配合，未按要求落实的酌情扣减相关费用。</w:t>
            </w:r>
          </w:p>
          <w:p>
            <w:pPr>
              <w:pStyle w:val="null3"/>
            </w:pPr>
            <w:r>
              <w:rPr>
                <w:rFonts w:ascii="仿宋_GB2312" w:hAnsi="仿宋_GB2312" w:cs="仿宋_GB2312" w:eastAsia="仿宋_GB2312"/>
              </w:rPr>
              <w:t>6. 因一方无故违约造成合同无法正常履行的，违约方承担由此产生的全部损失。</w:t>
            </w:r>
          </w:p>
          <w:p>
            <w:pPr>
              <w:pStyle w:val="null3"/>
              <w:jc w:val="both"/>
            </w:pPr>
            <w:r>
              <w:rPr>
                <w:rFonts w:ascii="仿宋_GB2312" w:hAnsi="仿宋_GB2312" w:cs="仿宋_GB2312" w:eastAsia="仿宋_GB2312"/>
                <w:sz w:val="21"/>
              </w:rPr>
              <w:t>7. 所有违规扣款、违约金均从当月餐费中直接扣除。</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进度款，以技术参数与性能指标中的表述为准，达到付款条件起30个工作日内，支付合同总金额的60.0%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凡因本合同引起的或与本合同有关的争议，双方应友好协商解决。协商不成时，双方均同意采用以下第（1）种争议解决方式：（1）甲、乙双方均同意向（甲方所在地人民法院）提起诉讼。（2）甲、乙双方均同意向（仲裁委员会）提起仲裁。</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采购标的对应的中小企业划分标准所属行业为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 2、 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格式.docx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格式.docx 中小企业声明函 残疾人福利性单位声明函 商务应答表 服务方案 服务内容及服务要求应答表 标的清单 供应商应提交的相关资格证明材料 报价表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格式.docx 中小企业声明函 残疾人福利性单位声明函 商务应答表 服务方案 供应商应提交的相关资格证明材料 服务内容及服务要求应答表 标的清单 报价表 响应函 监狱企业的证明文件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格式.docx 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法人需提供合法有效的营业执照，其他组织需提供合法有效的营业执照（或事业单位法人证书）等证明资料，自然人须提供身份证明。供应商需在项目电子化交易系统中按要求上传相应证明文件并进行电子签章。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格式.docx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供应商具有有效的食品经营许可证</w:t>
            </w:r>
          </w:p>
        </w:tc>
        <w:tc>
          <w:tcPr>
            <w:tcW w:type="dxa" w:w="3322"/>
          </w:tcPr>
          <w:p>
            <w:pPr>
              <w:pStyle w:val="null3"/>
            </w:pPr>
            <w:r>
              <w:rPr>
                <w:rFonts w:ascii="仿宋_GB2312" w:hAnsi="仿宋_GB2312" w:cs="仿宋_GB2312" w:eastAsia="仿宋_GB2312"/>
              </w:rPr>
              <w:t>供应商具有有效的食品经营许可证。供应商需在项目电子化交易系统中按要求上传相应证明文件并进行电子签章。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格式.docx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格式.docx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供应商2025年经审计的财务报告（事业法人可提供部门决算报告）或基本开户银行出具的资信证明或专业担保机构出具的投标担保函，供应商需在项目电子化交易系统中按要求上传相应证明文件并进行电子签章。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格式.docx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参加政府采购活动前3年内在经营活动中没有重大违法记录的书面声明； 其中：重大违法记录是指供应商因违法经营受到刑事处罚或者责令停产停业、吊销许可证或者执照、较大数额罚款等行政处罚</w:t>
            </w:r>
          </w:p>
        </w:tc>
        <w:tc>
          <w:tcPr>
            <w:tcW w:type="dxa" w:w="3322"/>
          </w:tcPr>
          <w:p>
            <w:pPr>
              <w:pStyle w:val="null3"/>
            </w:pPr>
            <w:r>
              <w:rPr>
                <w:rFonts w:ascii="仿宋_GB2312" w:hAnsi="仿宋_GB2312" w:cs="仿宋_GB2312" w:eastAsia="仿宋_GB2312"/>
              </w:rPr>
              <w:t>参加政府采购活动前3年内在经营活动中没有重大违法记录的书面声明，重大违法记录是指供应商因违法经营受到刑事处罚或者责令停产停业、吊销许可证或者执照、较大数额罚款等行政处罚。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格式.docx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供应商应提供履行合同所必需的设备和专业技术能力书面声明函，供应商需在项目电子化交易系统中按要求上传相应证明文件并进行电子签章。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格式.docx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信用状况</w:t>
            </w:r>
          </w:p>
        </w:tc>
        <w:tc>
          <w:tcPr>
            <w:tcW w:type="dxa" w:w="3322"/>
          </w:tcPr>
          <w:p>
            <w:pPr>
              <w:pStyle w:val="null3"/>
            </w:pPr>
            <w:r>
              <w:rPr>
                <w:rFonts w:ascii="仿宋_GB2312" w:hAnsi="仿宋_GB2312" w:cs="仿宋_GB2312" w:eastAsia="仿宋_GB2312"/>
              </w:rPr>
              <w:t>供应商未被列入《信用中国》失信被执行人、重大税收违法失信主体、政府采购严重违法失信行为记录名单和《中国政府采购网》政府采购严重违法失信行为记录名单。以响应文件上传截止时间后当日内采购人或采购代理机构的查询结果为准。</w:t>
            </w:r>
          </w:p>
        </w:tc>
        <w:tc>
          <w:tcPr>
            <w:tcW w:type="dxa" w:w="1661"/>
          </w:tcPr>
          <w:p>
            <w:pPr>
              <w:pStyle w:val="null3"/>
            </w:pPr>
            <w:r>
              <w:rPr>
                <w:rFonts w:ascii="仿宋_GB2312" w:hAnsi="仿宋_GB2312" w:cs="仿宋_GB2312" w:eastAsia="仿宋_GB2312"/>
              </w:rPr>
              <w:t>响应文件封面 格式.docx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本项目专门面向中小企业采购</w:t>
            </w:r>
          </w:p>
        </w:tc>
        <w:tc>
          <w:tcPr>
            <w:tcW w:type="dxa" w:w="3322"/>
          </w:tcPr>
          <w:p>
            <w:pPr>
              <w:pStyle w:val="null3"/>
            </w:pPr>
            <w:r>
              <w:rPr>
                <w:rFonts w:ascii="仿宋_GB2312" w:hAnsi="仿宋_GB2312" w:cs="仿宋_GB2312" w:eastAsia="仿宋_GB2312"/>
              </w:rPr>
              <w:t>本项目专门面向中小企业采购（残疾人福利性单位、监狱企业视同小型、微型企业）。</w:t>
            </w:r>
          </w:p>
        </w:tc>
        <w:tc>
          <w:tcPr>
            <w:tcW w:type="dxa" w:w="1661"/>
          </w:tcPr>
          <w:p>
            <w:pPr>
              <w:pStyle w:val="null3"/>
            </w:pPr>
            <w:r>
              <w:rPr>
                <w:rFonts w:ascii="仿宋_GB2312" w:hAnsi="仿宋_GB2312" w:cs="仿宋_GB2312" w:eastAsia="仿宋_GB2312"/>
              </w:rPr>
              <w:t>响应文件封面 格式.docx 中小企业声明函 残疾人福利性单位声明函 商务应答表 服务方案 供应商应提交的相关资格证明材料 服务内容及服务要求应答表 标的清单 报价表 响应函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响应文件封面 格式.docx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磋商响应文件完整性</w:t>
            </w:r>
          </w:p>
        </w:tc>
        <w:tc>
          <w:tcPr>
            <w:tcW w:type="dxa" w:w="3322"/>
          </w:tcPr>
          <w:p>
            <w:pPr>
              <w:pStyle w:val="null3"/>
            </w:pPr>
            <w:r>
              <w:rPr>
                <w:rFonts w:ascii="仿宋_GB2312" w:hAnsi="仿宋_GB2312" w:cs="仿宋_GB2312" w:eastAsia="仿宋_GB2312"/>
              </w:rPr>
              <w:t>磋商响应文件构成无缺项，按照磋商响应文件要求编写响应文件。</w:t>
            </w:r>
          </w:p>
        </w:tc>
        <w:tc>
          <w:tcPr>
            <w:tcW w:type="dxa" w:w="1661"/>
          </w:tcPr>
          <w:p>
            <w:pPr>
              <w:pStyle w:val="null3"/>
            </w:pPr>
            <w:r>
              <w:rPr>
                <w:rFonts w:ascii="仿宋_GB2312" w:hAnsi="仿宋_GB2312" w:cs="仿宋_GB2312" w:eastAsia="仿宋_GB2312"/>
              </w:rPr>
              <w:t>响应文件封面 格式.docx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磋商响应文件报价</w:t>
            </w:r>
          </w:p>
        </w:tc>
        <w:tc>
          <w:tcPr>
            <w:tcW w:type="dxa" w:w="3322"/>
          </w:tcPr>
          <w:p>
            <w:pPr>
              <w:pStyle w:val="null3"/>
            </w:pPr>
            <w:r>
              <w:rPr>
                <w:rFonts w:ascii="仿宋_GB2312" w:hAnsi="仿宋_GB2312" w:cs="仿宋_GB2312" w:eastAsia="仿宋_GB2312"/>
              </w:rPr>
              <w:t>报价唯一且单价及总价均没有低于成本价或高于采购文件规定的限价。</w:t>
            </w:r>
          </w:p>
        </w:tc>
        <w:tc>
          <w:tcPr>
            <w:tcW w:type="dxa" w:w="1661"/>
          </w:tcPr>
          <w:p>
            <w:pPr>
              <w:pStyle w:val="null3"/>
            </w:pPr>
            <w:r>
              <w:rPr>
                <w:rFonts w:ascii="仿宋_GB2312" w:hAnsi="仿宋_GB2312" w:cs="仿宋_GB2312" w:eastAsia="仿宋_GB2312"/>
              </w:rPr>
              <w:t>响应文件封面 格式.docx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磋商响应文件有效性</w:t>
            </w:r>
          </w:p>
        </w:tc>
        <w:tc>
          <w:tcPr>
            <w:tcW w:type="dxa" w:w="3322"/>
          </w:tcPr>
          <w:p>
            <w:pPr>
              <w:pStyle w:val="null3"/>
            </w:pPr>
            <w:r>
              <w:rPr>
                <w:rFonts w:ascii="仿宋_GB2312" w:hAnsi="仿宋_GB2312" w:cs="仿宋_GB2312" w:eastAsia="仿宋_GB2312"/>
              </w:rPr>
              <w:t>磋商响应文件的签署、加盖印章是否合格、有效；提供的各种证明文件、数据、资料是否真实、有效。</w:t>
            </w:r>
          </w:p>
        </w:tc>
        <w:tc>
          <w:tcPr>
            <w:tcW w:type="dxa" w:w="1661"/>
          </w:tcPr>
          <w:p>
            <w:pPr>
              <w:pStyle w:val="null3"/>
            </w:pPr>
            <w:r>
              <w:rPr>
                <w:rFonts w:ascii="仿宋_GB2312" w:hAnsi="仿宋_GB2312" w:cs="仿宋_GB2312" w:eastAsia="仿宋_GB2312"/>
              </w:rPr>
              <w:t>响应文件封面 格式.docx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响应文件封面 格式.docx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响应文件封面 格式.docx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响应文件封面 格式.docx 中小企业声明函 残疾人福利性单位声明函 商务应答表 服务方案 供应商应提交的相关资格证明材料 服务内容及服务要求应答表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餐食制作方案</w:t>
            </w:r>
          </w:p>
        </w:tc>
        <w:tc>
          <w:tcPr>
            <w:tcW w:type="dxa" w:w="2492"/>
          </w:tcPr>
          <w:p>
            <w:pPr>
              <w:pStyle w:val="null3"/>
            </w:pPr>
            <w:r>
              <w:rPr>
                <w:rFonts w:ascii="仿宋_GB2312" w:hAnsi="仿宋_GB2312" w:cs="仿宋_GB2312" w:eastAsia="仿宋_GB2312"/>
              </w:rPr>
              <w:t>供应商提供针对本项目的餐食制作方案，内容至少包含：①食堂餐食制作流程；②饭菜安排品种方案；③饭菜营养搭配方案；④食品原材料验收方案；⑤食品原材料保管及存放方案；内容全面详细、阐述条理清晰①-⑤合计15分，方案①-⑤项每有一项缺项扣3分，每有一处内容存在缺陷，扣 1 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格式.docx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卫生管理方案</w:t>
            </w:r>
          </w:p>
        </w:tc>
        <w:tc>
          <w:tcPr>
            <w:tcW w:type="dxa" w:w="2492"/>
          </w:tcPr>
          <w:p>
            <w:pPr>
              <w:pStyle w:val="null3"/>
            </w:pPr>
            <w:r>
              <w:rPr>
                <w:rFonts w:ascii="仿宋_GB2312" w:hAnsi="仿宋_GB2312" w:cs="仿宋_GB2312" w:eastAsia="仿宋_GB2312"/>
              </w:rPr>
              <w:t>供应商提供针对本项目的卫生管理方案，内容至少包含：①食堂内及食堂周边的清洁方案；②食品卫生管理方案；③食材存放卫生管理制度；④炊具及餐具的清洁卫生制度。内容全面详细、阐述条理清晰①-④合计12分，方案①-④项每有一项缺项扣3 分，每有一处内容存在缺陷，扣 1 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安全管理方案</w:t>
            </w:r>
          </w:p>
        </w:tc>
        <w:tc>
          <w:tcPr>
            <w:tcW w:type="dxa" w:w="2492"/>
          </w:tcPr>
          <w:p>
            <w:pPr>
              <w:pStyle w:val="null3"/>
            </w:pPr>
            <w:r>
              <w:rPr>
                <w:rFonts w:ascii="仿宋_GB2312" w:hAnsi="仿宋_GB2312" w:cs="仿宋_GB2312" w:eastAsia="仿宋_GB2312"/>
              </w:rPr>
              <w:t>供应商提供针对本项目的安全管理方案，内容至少包含：①厨房安全管理要求；②设备设施的维护保养方案；③食品安全质量控制；④食品检验检查。内容全面详细、阐述条理清晰①-④合计12分，方案①-④项每有一项缺项扣3 分，每有一处内容存在缺陷，扣 1 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突发事件应急预案</w:t>
            </w:r>
          </w:p>
        </w:tc>
        <w:tc>
          <w:tcPr>
            <w:tcW w:type="dxa" w:w="2492"/>
          </w:tcPr>
          <w:p>
            <w:pPr>
              <w:pStyle w:val="null3"/>
            </w:pPr>
            <w:r>
              <w:rPr>
                <w:rFonts w:ascii="仿宋_GB2312" w:hAnsi="仿宋_GB2312" w:cs="仿宋_GB2312" w:eastAsia="仿宋_GB2312"/>
              </w:rPr>
              <w:t>供应商对本项目餐厅潜在的紧急突发事件具有足够的预见性，有完善的安全管理及突发事件应急预案，内容至少包含：①加班临时性用餐；②消防安全应急预案；③针对煤气泄漏、火灾、漏电、停水停电停气等突发事件应急措施。每提供一种预案得3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内部管理制度</w:t>
            </w:r>
          </w:p>
        </w:tc>
        <w:tc>
          <w:tcPr>
            <w:tcW w:type="dxa" w:w="2492"/>
          </w:tcPr>
          <w:p>
            <w:pPr>
              <w:pStyle w:val="null3"/>
            </w:pPr>
            <w:r>
              <w:rPr>
                <w:rFonts w:ascii="仿宋_GB2312" w:hAnsi="仿宋_GB2312" w:cs="仿宋_GB2312" w:eastAsia="仿宋_GB2312"/>
              </w:rPr>
              <w:t>供应商根据项目情况提供完整的内部管理服务措施，包括：①上岗人员管理制度；②日常管理制度；③服务标准考核制度；④内部监督考核制度。每提供一种制度得3分，满分12分。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人员能力</w:t>
            </w:r>
          </w:p>
        </w:tc>
        <w:tc>
          <w:tcPr>
            <w:tcW w:type="dxa" w:w="2492"/>
          </w:tcPr>
          <w:p>
            <w:pPr>
              <w:pStyle w:val="null3"/>
            </w:pPr>
            <w:r>
              <w:rPr>
                <w:rFonts w:ascii="仿宋_GB2312" w:hAnsi="仿宋_GB2312" w:cs="仿宋_GB2312" w:eastAsia="仿宋_GB2312"/>
              </w:rPr>
              <w:t>配备持有有效职业技能等级证书，三级以上一个证书得5分，四级一个证书得3分，五级一个证书得1分。满分10分。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服务承诺及管理措施</w:t>
            </w:r>
          </w:p>
        </w:tc>
        <w:tc>
          <w:tcPr>
            <w:tcW w:type="dxa" w:w="2492"/>
          </w:tcPr>
          <w:p>
            <w:pPr>
              <w:pStyle w:val="null3"/>
            </w:pPr>
            <w:r>
              <w:rPr>
                <w:rFonts w:ascii="仿宋_GB2312" w:hAnsi="仿宋_GB2312" w:cs="仿宋_GB2312" w:eastAsia="仿宋_GB2312"/>
              </w:rPr>
              <w:t>1、承诺：严格按照项目服务内容及要求，保证采购人规定的用餐时间安排员工就餐，得3 分。无承诺不得分。 2、承诺：服务人员有涉及食品安全病症的的立即离开工作岗位，经采购人同意后，及时安排补充其他健康的服务人员，确保服务岗位的正常工作，得3分。无承诺不得分。 3、有惩罚措施及相应的监督机制得3分。无措施及机制不得分。 4、对所配备的人员及其他工作人员定期进行业务及相关安全培训，有培训方案得3分。无方案不得分。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供应商自 2023年 1 月1 日至今类似项目业绩，每有一个类似业绩得2分，此项最多得8 分；（注:评审时以合同或中标通知书扫描件或复印件为准，时间以合同签约时间或中标通知书时间为准）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格式.docx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格式.docx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满足磋商文件要求,最终报价最低的为基准价，其价格分为满分。报价得分=（评审基准价／磋商报价单价）×10。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格式.docx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