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948E10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/>
        <w:jc w:val="center"/>
        <w:textAlignment w:val="auto"/>
        <w:rPr>
          <w:rFonts w:hint="default" w:ascii="仿宋_GB2312" w:hAnsi="仿宋_GB2312" w:eastAsia="仿宋_GB2312" w:cs="仿宋_GB2312"/>
          <w:b/>
          <w:bCs w:val="0"/>
          <w:sz w:val="32"/>
          <w:szCs w:val="28"/>
          <w:lang w:val="en-US" w:eastAsia="zh-CN"/>
        </w:rPr>
      </w:pPr>
      <w:bookmarkStart w:id="0" w:name="_GoBack"/>
      <w:r>
        <w:rPr>
          <w:rFonts w:hint="eastAsia" w:ascii="仿宋_GB2312" w:hAnsi="仿宋_GB2312" w:eastAsia="仿宋_GB2312" w:cs="仿宋_GB2312"/>
          <w:b/>
          <w:bCs w:val="0"/>
          <w:sz w:val="32"/>
          <w:szCs w:val="28"/>
          <w:lang w:val="en-US" w:eastAsia="zh-CN"/>
        </w:rPr>
        <w:t>采购需求</w:t>
      </w:r>
    </w:p>
    <w:bookmarkEnd w:id="0"/>
    <w:p w14:paraId="487EEF06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/>
        <w:textAlignment w:val="auto"/>
        <w:rPr>
          <w:rFonts w:ascii="仿宋_GB2312" w:hAnsi="仿宋_GB2312" w:eastAsia="仿宋_GB2312" w:cs="仿宋_GB2312"/>
          <w:b/>
          <w:bCs w:val="0"/>
          <w:sz w:val="24"/>
          <w:szCs w:val="22"/>
        </w:rPr>
      </w:pPr>
      <w:r>
        <w:rPr>
          <w:rFonts w:hint="eastAsia" w:ascii="仿宋_GB2312" w:hAnsi="仿宋_GB2312" w:eastAsia="仿宋_GB2312" w:cs="仿宋_GB2312"/>
          <w:b/>
          <w:bCs w:val="0"/>
          <w:sz w:val="24"/>
          <w:szCs w:val="22"/>
        </w:rPr>
        <w:t>2026年度市级农产品质量安全监督抽查项目（一标段）</w:t>
      </w:r>
    </w:p>
    <w:p w14:paraId="09D1350E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/>
        <w:textAlignment w:val="auto"/>
      </w:pPr>
      <w:r>
        <w:rPr>
          <w:rFonts w:ascii="仿宋_GB2312" w:hAnsi="仿宋_GB2312" w:eastAsia="仿宋_GB2312" w:cs="仿宋_GB2312"/>
          <w:b/>
          <w:sz w:val="21"/>
        </w:rPr>
        <w:t>一、项目概况</w:t>
      </w:r>
    </w:p>
    <w:p w14:paraId="26793598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00"/>
        <w:textAlignment w:val="auto"/>
      </w:pPr>
      <w:r>
        <w:rPr>
          <w:rFonts w:ascii="仿宋_GB2312" w:hAnsi="仿宋_GB2312" w:eastAsia="仿宋_GB2312" w:cs="仿宋_GB2312"/>
          <w:sz w:val="20"/>
        </w:rPr>
        <w:t>根据《西安市农业农村局关于印发2026年农产品质量安全监测方案的通知》（市农发〔2026〕33号）和《西安市农业农村局关于开展2026年全市农产品质量安全监督抽查的通知》要求，计划完成2026年度农产品质量安全监督抽查工作。</w:t>
      </w:r>
    </w:p>
    <w:p w14:paraId="35CA333D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/>
        <w:textAlignment w:val="auto"/>
      </w:pPr>
      <w:r>
        <w:rPr>
          <w:rFonts w:ascii="仿宋_GB2312" w:hAnsi="仿宋_GB2312" w:eastAsia="仿宋_GB2312" w:cs="仿宋_GB2312"/>
          <w:b/>
          <w:sz w:val="21"/>
        </w:rPr>
        <w:t>二、服务内容</w:t>
      </w:r>
    </w:p>
    <w:p w14:paraId="1ABF1FF2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00"/>
        <w:textAlignment w:val="auto"/>
      </w:pPr>
      <w:r>
        <w:rPr>
          <w:rFonts w:ascii="仿宋_GB2312" w:hAnsi="仿宋_GB2312" w:eastAsia="仿宋_GB2312" w:cs="仿宋_GB2312"/>
          <w:sz w:val="20"/>
        </w:rPr>
        <w:t>（一）抽查范围</w:t>
      </w:r>
    </w:p>
    <w:p w14:paraId="2793F93A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00"/>
        <w:jc w:val="both"/>
        <w:textAlignment w:val="auto"/>
      </w:pPr>
      <w:r>
        <w:rPr>
          <w:rFonts w:ascii="仿宋_GB2312" w:hAnsi="仿宋_GB2312" w:eastAsia="仿宋_GB2312" w:cs="仿宋_GB2312"/>
          <w:sz w:val="20"/>
        </w:rPr>
        <w:t>突出以商品生产为目的的种植基地、农业专业合作社、家庭农场、农户等主体，加大产地贮存、产地收购等主体抽查力度，种植业产品监督抽查全市所有区县（开发区）“全覆盖”。</w:t>
      </w:r>
    </w:p>
    <w:p w14:paraId="089A7CE4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00"/>
        <w:jc w:val="both"/>
        <w:textAlignment w:val="auto"/>
      </w:pPr>
      <w:r>
        <w:rPr>
          <w:rFonts w:ascii="仿宋_GB2312" w:hAnsi="仿宋_GB2312" w:eastAsia="仿宋_GB2312" w:cs="仿宋_GB2312"/>
          <w:sz w:val="20"/>
        </w:rPr>
        <w:t>（二）抽查品种</w:t>
      </w:r>
    </w:p>
    <w:p w14:paraId="7DE9D6BB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00"/>
        <w:textAlignment w:val="auto"/>
      </w:pPr>
      <w:r>
        <w:rPr>
          <w:rFonts w:ascii="仿宋_GB2312" w:hAnsi="仿宋_GB2312" w:eastAsia="仿宋_GB2312" w:cs="仿宋_GB2312"/>
          <w:sz w:val="20"/>
        </w:rPr>
        <w:t>重点抽查豇豆、芹菜、葱（大葱、细香葱等）、甘薯、辣椒等蔬菜品种和猕猴桃、葡萄、草莓、冬枣等特色水果。</w:t>
      </w:r>
    </w:p>
    <w:p w14:paraId="13F7AD6B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00"/>
        <w:textAlignment w:val="auto"/>
      </w:pPr>
      <w:r>
        <w:rPr>
          <w:rFonts w:ascii="仿宋_GB2312" w:hAnsi="仿宋_GB2312" w:eastAsia="仿宋_GB2312" w:cs="仿宋_GB2312"/>
          <w:sz w:val="20"/>
        </w:rPr>
        <w:t>（三）检测机构</w:t>
      </w:r>
    </w:p>
    <w:p w14:paraId="591102A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00"/>
        <w:textAlignment w:val="auto"/>
      </w:pPr>
      <w:r>
        <w:rPr>
          <w:rFonts w:ascii="仿宋_GB2312" w:hAnsi="仿宋_GB2312" w:eastAsia="仿宋_GB2312" w:cs="仿宋_GB2312"/>
          <w:color w:val="000000"/>
          <w:sz w:val="20"/>
        </w:rPr>
        <w:t>承担检测任务的检测机构要严格遵守抽样和检测方法，统一标准溶液、统一判定原则，检测过程要做试剂空白和加标回收，对检测不合格样品要做确认试验。报送结果时，检测不合格样品应提供原始记录、确证图谱、溯源情况等信息。</w:t>
      </w:r>
    </w:p>
    <w:p w14:paraId="4D2B3F8D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00"/>
        <w:textAlignment w:val="auto"/>
      </w:pPr>
      <w:r>
        <w:rPr>
          <w:rFonts w:ascii="仿宋_GB2312" w:hAnsi="仿宋_GB2312" w:eastAsia="仿宋_GB2312" w:cs="仿宋_GB2312"/>
          <w:sz w:val="20"/>
        </w:rPr>
        <w:t>（四）抽查原则</w:t>
      </w:r>
    </w:p>
    <w:p w14:paraId="42981100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00"/>
        <w:textAlignment w:val="auto"/>
      </w:pPr>
      <w:r>
        <w:rPr>
          <w:rFonts w:ascii="仿宋_GB2312" w:hAnsi="仿宋_GB2312" w:eastAsia="仿宋_GB2312" w:cs="仿宋_GB2312"/>
          <w:sz w:val="20"/>
        </w:rPr>
        <w:t>严格落实《国家农产品质量安全监督抽查主要程序与办法》要求，遵循抽样机构与检测机构相分离的原则，紧盯农产品采收上市关键期，省、市、县三级常态化开展重点问题农产品、特色优势农产品、直供学校农产品等开展监督抽查工作</w:t>
      </w:r>
    </w:p>
    <w:p w14:paraId="37194A74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00"/>
        <w:textAlignment w:val="auto"/>
      </w:pPr>
      <w:r>
        <w:rPr>
          <w:rFonts w:ascii="仿宋_GB2312" w:hAnsi="仿宋_GB2312" w:eastAsia="仿宋_GB2312" w:cs="仿宋_GB2312"/>
          <w:sz w:val="20"/>
        </w:rPr>
        <w:t>（五）抽查参数</w:t>
      </w:r>
    </w:p>
    <w:p w14:paraId="0BCA4BC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/>
        <w:jc w:val="both"/>
        <w:textAlignment w:val="auto"/>
      </w:pPr>
      <w:r>
        <w:rPr>
          <w:rFonts w:ascii="仿宋_GB2312" w:hAnsi="仿宋_GB2312" w:eastAsia="仿宋_GB2312" w:cs="仿宋_GB2312"/>
          <w:color w:val="000000"/>
          <w:sz w:val="20"/>
        </w:rPr>
        <w:t>重点抽查种植业产品中禁限用农药和风险监测发现的常规农药。抽查参数参照国家农产品质量安全监督抽查要求执行，各区县（开发区）农业农村部门可结合区域产业用药特点适度调整优化。</w:t>
      </w:r>
    </w:p>
    <w:p w14:paraId="08281997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00"/>
        <w:textAlignment w:val="auto"/>
      </w:pPr>
      <w:r>
        <w:rPr>
          <w:rFonts w:ascii="仿宋_GB2312" w:hAnsi="仿宋_GB2312" w:eastAsia="仿宋_GB2312" w:cs="仿宋_GB2312"/>
          <w:sz w:val="20"/>
        </w:rPr>
        <w:t>监督抽查检测参数</w:t>
      </w:r>
    </w:p>
    <w:tbl>
      <w:tblPr>
        <w:tblStyle w:val="2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8"/>
        <w:gridCol w:w="7038"/>
      </w:tblGrid>
      <w:tr w14:paraId="60A2D32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6548A4F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sz w:val="20"/>
              </w:rPr>
              <w:t>产品类别</w:t>
            </w:r>
          </w:p>
        </w:tc>
        <w:tc>
          <w:tcPr>
            <w:tcW w:w="703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9F2228D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firstLine="397"/>
              <w:jc w:val="center"/>
              <w:textAlignment w:val="auto"/>
            </w:pPr>
            <w:r>
              <w:rPr>
                <w:rFonts w:ascii="仿宋_GB2312" w:hAnsi="仿宋_GB2312" w:eastAsia="仿宋_GB2312" w:cs="仿宋_GB2312"/>
                <w:sz w:val="20"/>
              </w:rPr>
              <w:t>监测参数</w:t>
            </w:r>
          </w:p>
        </w:tc>
      </w:tr>
      <w:tr w14:paraId="7E932AD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5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1C574315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/>
              <w:jc w:val="center"/>
              <w:textAlignment w:val="auto"/>
            </w:pPr>
            <w:r>
              <w:rPr>
                <w:rFonts w:ascii="仿宋_GB2312" w:hAnsi="仿宋_GB2312" w:eastAsia="仿宋_GB2312" w:cs="仿宋_GB2312"/>
                <w:sz w:val="20"/>
              </w:rPr>
              <w:t>种植业产品</w:t>
            </w:r>
          </w:p>
        </w:tc>
        <w:tc>
          <w:tcPr>
            <w:tcW w:w="703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4CC08FB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/>
              <w:jc w:val="left"/>
              <w:textAlignment w:val="auto"/>
            </w:pPr>
            <w:r>
              <w:rPr>
                <w:rFonts w:ascii="仿宋_GB2312" w:hAnsi="仿宋_GB2312" w:eastAsia="仿宋_GB2312" w:cs="仿宋_GB2312"/>
                <w:sz w:val="20"/>
              </w:rPr>
              <w:t>甲胺磷、对硫磷、甲基对硫磷、甲拌磷、水胺硫磷、甲基异柳磷、氧乐果、克百威、涕灭威、灭多威、氟虫腈、毒死蜱、三唑磷、乐果、乙酰甲胺磷、氯唑磷、内吸磷、久效磷、灭线磷阿维菌素、吡虫啉、啶虫脒、噻虫嗪、苯醚甲环唑、氯氟氰菊酯、氯氰菊酯、溴氰菊酯、联苯菊酯、倍硫磷、辛硫磷、吡唑醚菌酯、多菌灵、咪鲜胺、除虫脲、戊唑醇、灭蝇胺、甲氨基阿维菌素苯甲酸盐、氯虫苯甲酰胺、氯吡脲、噻虫胺</w:t>
            </w:r>
          </w:p>
        </w:tc>
      </w:tr>
    </w:tbl>
    <w:p w14:paraId="780B3E03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/>
        <w:textAlignment w:val="auto"/>
      </w:pPr>
      <w:r>
        <w:rPr>
          <w:rFonts w:ascii="仿宋_GB2312" w:hAnsi="仿宋_GB2312" w:eastAsia="仿宋_GB2312" w:cs="仿宋_GB2312"/>
          <w:color w:val="000000"/>
          <w:sz w:val="20"/>
        </w:rPr>
        <w:t>（六）采购预算及抽检批次</w:t>
      </w:r>
    </w:p>
    <w:p w14:paraId="74746430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/>
        <w:textAlignment w:val="auto"/>
      </w:pPr>
      <w:r>
        <w:rPr>
          <w:rFonts w:ascii="仿宋_GB2312" w:hAnsi="仿宋_GB2312" w:eastAsia="仿宋_GB2312" w:cs="仿宋_GB2312"/>
          <w:color w:val="000000"/>
          <w:sz w:val="20"/>
        </w:rPr>
        <w:t>本标段预算64万元，包含灞桥区、临潼区、蓝田县、阎良区、高陵区、未央区共956批次。</w:t>
      </w:r>
    </w:p>
    <w:p w14:paraId="666D5BEC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/>
        <w:textAlignment w:val="auto"/>
      </w:pPr>
      <w:r>
        <w:rPr>
          <w:rFonts w:ascii="仿宋_GB2312" w:hAnsi="仿宋_GB2312" w:eastAsia="仿宋_GB2312" w:cs="仿宋_GB2312"/>
          <w:b/>
          <w:sz w:val="21"/>
        </w:rPr>
        <w:t>三、服务要求</w:t>
      </w:r>
    </w:p>
    <w:p w14:paraId="205C2A01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00" w:firstLineChars="200"/>
        <w:textAlignment w:val="auto"/>
      </w:pPr>
      <w:r>
        <w:rPr>
          <w:rFonts w:ascii="仿宋_GB2312" w:hAnsi="仿宋_GB2312" w:eastAsia="仿宋_GB2312" w:cs="仿宋_GB2312"/>
          <w:sz w:val="20"/>
        </w:rPr>
        <w:t>1</w:t>
      </w:r>
      <w:r>
        <w:rPr>
          <w:rFonts w:hint="eastAsia" w:ascii="仿宋_GB2312" w:hAnsi="仿宋_GB2312" w:eastAsia="仿宋_GB2312" w:cs="仿宋_GB2312"/>
          <w:sz w:val="20"/>
          <w:lang w:val="en-US" w:eastAsia="zh-CN"/>
        </w:rPr>
        <w:t>.</w:t>
      </w:r>
      <w:r>
        <w:rPr>
          <w:rFonts w:ascii="仿宋_GB2312" w:hAnsi="仿宋_GB2312" w:eastAsia="仿宋_GB2312" w:cs="仿宋_GB2312"/>
          <w:sz w:val="20"/>
        </w:rPr>
        <w:t>各任务承担单位每次抽样不低于两名专业工作人员，监督抽查过程必须现场制样并全程记录，确保程序合法合规。</w:t>
      </w:r>
    </w:p>
    <w:p w14:paraId="44219213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00" w:firstLineChars="200"/>
        <w:textAlignment w:val="auto"/>
      </w:pPr>
      <w:r>
        <w:rPr>
          <w:rFonts w:ascii="仿宋_GB2312" w:hAnsi="仿宋_GB2312" w:eastAsia="仿宋_GB2312" w:cs="仿宋_GB2312"/>
          <w:sz w:val="20"/>
        </w:rPr>
        <w:t>2</w:t>
      </w:r>
      <w:r>
        <w:rPr>
          <w:rFonts w:hint="eastAsia" w:ascii="仿宋_GB2312" w:hAnsi="仿宋_GB2312" w:eastAsia="仿宋_GB2312" w:cs="仿宋_GB2312"/>
          <w:sz w:val="20"/>
          <w:lang w:val="en-US" w:eastAsia="zh-CN"/>
        </w:rPr>
        <w:t>.</w:t>
      </w:r>
      <w:r>
        <w:rPr>
          <w:rFonts w:ascii="仿宋_GB2312" w:hAnsi="仿宋_GB2312" w:eastAsia="仿宋_GB2312" w:cs="仿宋_GB2312"/>
          <w:sz w:val="20"/>
        </w:rPr>
        <w:t>同一基地、同一品种只能抽取1个样品，抽取样品总量不超过2个。</w:t>
      </w:r>
    </w:p>
    <w:p w14:paraId="35BE1901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00" w:firstLineChars="200"/>
        <w:textAlignment w:val="auto"/>
        <w:rPr>
          <w:rFonts w:ascii="仿宋_GB2312" w:hAnsi="仿宋_GB2312" w:eastAsia="仿宋_GB2312" w:cs="仿宋_GB2312"/>
          <w:sz w:val="20"/>
        </w:rPr>
      </w:pPr>
      <w:r>
        <w:rPr>
          <w:rFonts w:ascii="仿宋_GB2312" w:hAnsi="仿宋_GB2312" w:eastAsia="仿宋_GB2312" w:cs="仿宋_GB2312"/>
          <w:sz w:val="20"/>
        </w:rPr>
        <w:t>3</w:t>
      </w:r>
      <w:r>
        <w:rPr>
          <w:rFonts w:hint="eastAsia" w:ascii="仿宋_GB2312" w:hAnsi="仿宋_GB2312" w:eastAsia="仿宋_GB2312" w:cs="仿宋_GB2312"/>
          <w:sz w:val="20"/>
          <w:lang w:val="en-US" w:eastAsia="zh-CN"/>
        </w:rPr>
        <w:t>.</w:t>
      </w:r>
      <w:r>
        <w:rPr>
          <w:rFonts w:ascii="仿宋_GB2312" w:hAnsi="仿宋_GB2312" w:eastAsia="仿宋_GB2312" w:cs="仿宋_GB2312"/>
          <w:sz w:val="20"/>
        </w:rPr>
        <w:t>任务承担单位抽取样品后要及时进行样品检测，抽检结果要“随检随报”，不合格样品检测结果要在 24 小时内通报采购方。</w:t>
      </w:r>
    </w:p>
    <w:p w14:paraId="661853B7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00"/>
        <w:textAlignment w:val="auto"/>
        <w:rPr>
          <w:rFonts w:ascii="仿宋_GB2312" w:hAnsi="仿宋_GB2312" w:eastAsia="仿宋_GB2312" w:cs="仿宋_GB2312"/>
          <w:sz w:val="21"/>
        </w:rPr>
      </w:pPr>
      <w:r>
        <w:rPr>
          <w:rFonts w:ascii="仿宋_GB2312" w:hAnsi="仿宋_GB2312" w:eastAsia="仿宋_GB2312" w:cs="仿宋_GB2312"/>
          <w:sz w:val="21"/>
        </w:rPr>
        <w:t>4.所有检测报告均出具电子版和纸质版，不合格样品需附完整复检记录。</w:t>
      </w:r>
    </w:p>
    <w:p w14:paraId="3B4FF15D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/>
        <w:textAlignment w:val="auto"/>
        <w:rPr>
          <w:rFonts w:hint="eastAsia" w:ascii="仿宋_GB2312" w:hAnsi="仿宋_GB2312" w:eastAsia="仿宋_GB2312" w:cs="仿宋_GB2312"/>
          <w:b/>
          <w:bCs w:val="0"/>
          <w:sz w:val="24"/>
          <w:szCs w:val="22"/>
        </w:rPr>
      </w:pPr>
      <w:r>
        <w:rPr>
          <w:rFonts w:hint="eastAsia" w:ascii="仿宋_GB2312" w:hAnsi="仿宋_GB2312" w:eastAsia="仿宋_GB2312" w:cs="仿宋_GB2312"/>
          <w:b/>
          <w:bCs w:val="0"/>
          <w:sz w:val="24"/>
          <w:szCs w:val="22"/>
        </w:rPr>
        <w:t>2026年度市级农产品质量安全监督抽查项目（二标段）</w:t>
      </w:r>
    </w:p>
    <w:p w14:paraId="5C1A943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/>
        <w:textAlignment w:val="auto"/>
      </w:pPr>
      <w:r>
        <w:rPr>
          <w:rFonts w:ascii="仿宋_GB2312" w:hAnsi="仿宋_GB2312" w:eastAsia="仿宋_GB2312" w:cs="仿宋_GB2312"/>
          <w:b/>
          <w:sz w:val="21"/>
        </w:rPr>
        <w:t>一、项目概况</w:t>
      </w:r>
    </w:p>
    <w:p w14:paraId="37AD58CD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00"/>
        <w:textAlignment w:val="auto"/>
      </w:pPr>
      <w:r>
        <w:rPr>
          <w:rFonts w:ascii="仿宋_GB2312" w:hAnsi="仿宋_GB2312" w:eastAsia="仿宋_GB2312" w:cs="仿宋_GB2312"/>
          <w:sz w:val="20"/>
        </w:rPr>
        <w:t>根据《西安市农业农村局关于印发2026年农产品质量安全监测方案的通知》（市农发〔2026〕33号）和《西安市农业农村局关于开展2026年全市农产品质量安全监督抽查的通知》要求，计划完成2026年度农产品质量安全监督抽查工作。</w:t>
      </w:r>
    </w:p>
    <w:p w14:paraId="17AA02E3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/>
        <w:textAlignment w:val="auto"/>
      </w:pPr>
      <w:r>
        <w:rPr>
          <w:rFonts w:ascii="仿宋_GB2312" w:hAnsi="仿宋_GB2312" w:eastAsia="仿宋_GB2312" w:cs="仿宋_GB2312"/>
          <w:b/>
          <w:sz w:val="21"/>
        </w:rPr>
        <w:t>二、服务内容</w:t>
      </w:r>
    </w:p>
    <w:p w14:paraId="7AE989B7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00"/>
        <w:textAlignment w:val="auto"/>
      </w:pPr>
      <w:r>
        <w:rPr>
          <w:rFonts w:ascii="仿宋_GB2312" w:hAnsi="仿宋_GB2312" w:eastAsia="仿宋_GB2312" w:cs="仿宋_GB2312"/>
          <w:sz w:val="20"/>
        </w:rPr>
        <w:t>（一）抽查范围</w:t>
      </w:r>
    </w:p>
    <w:p w14:paraId="4E173710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00"/>
        <w:jc w:val="both"/>
        <w:textAlignment w:val="auto"/>
      </w:pPr>
      <w:r>
        <w:rPr>
          <w:rFonts w:ascii="仿宋_GB2312" w:hAnsi="仿宋_GB2312" w:eastAsia="仿宋_GB2312" w:cs="仿宋_GB2312"/>
          <w:sz w:val="20"/>
        </w:rPr>
        <w:t>突出以商品生产为目的的种植基地、农业专业合作社、家庭农场、农户等主体，加大产地贮存、产地收购等主体抽查力度，种植业产品监督抽查全市所有区县（开发区）“全覆盖”。</w:t>
      </w:r>
    </w:p>
    <w:p w14:paraId="29F626F0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00"/>
        <w:jc w:val="both"/>
        <w:textAlignment w:val="auto"/>
      </w:pPr>
      <w:r>
        <w:rPr>
          <w:rFonts w:ascii="仿宋_GB2312" w:hAnsi="仿宋_GB2312" w:eastAsia="仿宋_GB2312" w:cs="仿宋_GB2312"/>
          <w:sz w:val="20"/>
        </w:rPr>
        <w:t>（二）抽查品种</w:t>
      </w:r>
    </w:p>
    <w:p w14:paraId="62CA6DA0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00"/>
        <w:textAlignment w:val="auto"/>
      </w:pPr>
      <w:r>
        <w:rPr>
          <w:rFonts w:ascii="仿宋_GB2312" w:hAnsi="仿宋_GB2312" w:eastAsia="仿宋_GB2312" w:cs="仿宋_GB2312"/>
          <w:sz w:val="20"/>
        </w:rPr>
        <w:t>重点抽查豇豆、芹菜、葱（大葱、细香葱等）、甘薯、辣椒等蔬菜品种和猕猴桃、葡萄、草莓、冬枣等特色水果。</w:t>
      </w:r>
    </w:p>
    <w:p w14:paraId="74045112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00"/>
        <w:textAlignment w:val="auto"/>
      </w:pPr>
      <w:r>
        <w:rPr>
          <w:rFonts w:ascii="仿宋_GB2312" w:hAnsi="仿宋_GB2312" w:eastAsia="仿宋_GB2312" w:cs="仿宋_GB2312"/>
          <w:sz w:val="20"/>
        </w:rPr>
        <w:t>（三）检测机构</w:t>
      </w:r>
    </w:p>
    <w:p w14:paraId="58634230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00"/>
        <w:textAlignment w:val="auto"/>
      </w:pPr>
      <w:r>
        <w:rPr>
          <w:rFonts w:ascii="仿宋_GB2312" w:hAnsi="仿宋_GB2312" w:eastAsia="仿宋_GB2312" w:cs="仿宋_GB2312"/>
          <w:color w:val="000000"/>
          <w:sz w:val="20"/>
        </w:rPr>
        <w:t>承担检测任务的检测机构要严格遵守抽样和检测方法，统一标准溶液、统一判定原则，检测过程要做试剂空白和加标回收，对检测不合格样品要做确认试验。报送结果时，检测不合格样品应提供原始记录、确证图谱、溯源情况等信息。</w:t>
      </w:r>
    </w:p>
    <w:p w14:paraId="4A6884D4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00"/>
        <w:textAlignment w:val="auto"/>
      </w:pPr>
      <w:r>
        <w:rPr>
          <w:rFonts w:ascii="仿宋_GB2312" w:hAnsi="仿宋_GB2312" w:eastAsia="仿宋_GB2312" w:cs="仿宋_GB2312"/>
          <w:sz w:val="20"/>
        </w:rPr>
        <w:t>（四）抽查原则</w:t>
      </w:r>
    </w:p>
    <w:p w14:paraId="52956DEC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00"/>
        <w:textAlignment w:val="auto"/>
      </w:pPr>
      <w:r>
        <w:rPr>
          <w:rFonts w:ascii="仿宋_GB2312" w:hAnsi="仿宋_GB2312" w:eastAsia="仿宋_GB2312" w:cs="仿宋_GB2312"/>
          <w:sz w:val="20"/>
        </w:rPr>
        <w:t>严格落实《国家农产品质量安全监督抽查主要程序与办法》要求，遵循抽样机构与检测机构相分离的原则，紧盯农产品采收上市关键期，省、市、县三级常态化开展重点问题农产品、特色优势农产品、直供学校农产品等开展监督抽查工作</w:t>
      </w:r>
    </w:p>
    <w:p w14:paraId="6791F63B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00"/>
        <w:textAlignment w:val="auto"/>
      </w:pPr>
      <w:r>
        <w:rPr>
          <w:rFonts w:ascii="仿宋_GB2312" w:hAnsi="仿宋_GB2312" w:eastAsia="仿宋_GB2312" w:cs="仿宋_GB2312"/>
          <w:sz w:val="20"/>
        </w:rPr>
        <w:t>（五）抽查参数</w:t>
      </w:r>
    </w:p>
    <w:p w14:paraId="595658EA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/>
        <w:jc w:val="both"/>
        <w:textAlignment w:val="auto"/>
      </w:pPr>
      <w:r>
        <w:rPr>
          <w:rFonts w:ascii="仿宋_GB2312" w:hAnsi="仿宋_GB2312" w:eastAsia="仿宋_GB2312" w:cs="仿宋_GB2312"/>
          <w:color w:val="000000"/>
          <w:sz w:val="20"/>
        </w:rPr>
        <w:t>重点抽查种植业产品中禁限用农药和风险监测发现的常规农药。抽查参数参照国家农产品质量安全监督抽查要求执行，各区县（开发区）农业农村部门可结合区域产业用药特点适度调整优化。</w:t>
      </w:r>
    </w:p>
    <w:p w14:paraId="545EEA8C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00"/>
        <w:textAlignment w:val="auto"/>
      </w:pPr>
      <w:r>
        <w:rPr>
          <w:rFonts w:ascii="仿宋_GB2312" w:hAnsi="仿宋_GB2312" w:eastAsia="仿宋_GB2312" w:cs="仿宋_GB2312"/>
          <w:sz w:val="20"/>
        </w:rPr>
        <w:t>监督抽查检测参数</w:t>
      </w:r>
    </w:p>
    <w:tbl>
      <w:tblPr>
        <w:tblStyle w:val="2"/>
        <w:tblW w:w="8711" w:type="dxa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3"/>
        <w:gridCol w:w="7188"/>
      </w:tblGrid>
      <w:tr w14:paraId="65A2576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0FCC242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/>
              <w:jc w:val="both"/>
              <w:textAlignment w:val="auto"/>
            </w:pPr>
            <w:r>
              <w:rPr>
                <w:rFonts w:ascii="仿宋_GB2312" w:hAnsi="仿宋_GB2312" w:eastAsia="仿宋_GB2312" w:cs="仿宋_GB2312"/>
                <w:sz w:val="20"/>
              </w:rPr>
              <w:t>产品类别</w:t>
            </w:r>
          </w:p>
        </w:tc>
        <w:tc>
          <w:tcPr>
            <w:tcW w:w="718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F4A724A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firstLine="397"/>
              <w:jc w:val="center"/>
              <w:textAlignment w:val="auto"/>
            </w:pPr>
            <w:r>
              <w:rPr>
                <w:rFonts w:ascii="仿宋_GB2312" w:hAnsi="仿宋_GB2312" w:eastAsia="仿宋_GB2312" w:cs="仿宋_GB2312"/>
                <w:sz w:val="20"/>
              </w:rPr>
              <w:t>监测参数</w:t>
            </w:r>
          </w:p>
        </w:tc>
      </w:tr>
      <w:tr w14:paraId="0471E11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FBC48BD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/>
              <w:jc w:val="center"/>
              <w:textAlignment w:val="auto"/>
            </w:pPr>
            <w:r>
              <w:rPr>
                <w:rFonts w:ascii="仿宋_GB2312" w:hAnsi="仿宋_GB2312" w:eastAsia="仿宋_GB2312" w:cs="仿宋_GB2312"/>
                <w:sz w:val="20"/>
              </w:rPr>
              <w:t>种植业产品</w:t>
            </w:r>
          </w:p>
        </w:tc>
        <w:tc>
          <w:tcPr>
            <w:tcW w:w="718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A167716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/>
              <w:jc w:val="left"/>
              <w:textAlignment w:val="auto"/>
            </w:pPr>
            <w:r>
              <w:rPr>
                <w:rFonts w:ascii="仿宋_GB2312" w:hAnsi="仿宋_GB2312" w:eastAsia="仿宋_GB2312" w:cs="仿宋_GB2312"/>
                <w:sz w:val="20"/>
              </w:rPr>
              <w:t>甲胺磷、对硫磷、甲基对硫磷、甲拌磷、水胺硫磷、甲基异柳磷、氧乐果、克百威、涕灭威、灭多威、氟虫腈、毒死蜱、三唑磷、乐果、乙酰甲胺磷、氯唑磷、内吸磷、久效磷、灭线磷阿维菌素、吡虫啉、啶虫脒、噻虫嗪、苯醚甲环唑、氯氟氰菊酯、氯氰菊酯、溴氰菊酯、联苯菊酯、倍硫磷、辛硫磷、吡唑醚菌酯、多菌灵、咪鲜胺、除虫脲、戊唑醇、灭蝇胺、甲氨基阿维菌素苯甲酸盐、氯虫苯甲酰胺、氯吡脲、噻虫胺</w:t>
            </w:r>
          </w:p>
        </w:tc>
      </w:tr>
    </w:tbl>
    <w:p w14:paraId="2B5DF0AD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00" w:firstLineChars="200"/>
        <w:textAlignment w:val="auto"/>
      </w:pPr>
      <w:r>
        <w:rPr>
          <w:rFonts w:ascii="仿宋_GB2312" w:hAnsi="仿宋_GB2312" w:eastAsia="仿宋_GB2312" w:cs="仿宋_GB2312"/>
          <w:sz w:val="20"/>
        </w:rPr>
        <w:t>（六）采购预算及抽检批次</w:t>
      </w:r>
    </w:p>
    <w:p w14:paraId="39235980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00" w:firstLineChars="200"/>
        <w:textAlignment w:val="auto"/>
      </w:pPr>
      <w:r>
        <w:rPr>
          <w:rFonts w:ascii="仿宋_GB2312" w:hAnsi="仿宋_GB2312" w:eastAsia="仿宋_GB2312" w:cs="仿宋_GB2312"/>
          <w:sz w:val="20"/>
        </w:rPr>
        <w:t>本标段预算66万元，包含鄠邑区、周至县、长安区、高新区、西咸新区共980批次。</w:t>
      </w:r>
    </w:p>
    <w:p w14:paraId="0567E28F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/>
        <w:textAlignment w:val="auto"/>
      </w:pPr>
      <w:r>
        <w:rPr>
          <w:rFonts w:ascii="仿宋_GB2312" w:hAnsi="仿宋_GB2312" w:eastAsia="仿宋_GB2312" w:cs="仿宋_GB2312"/>
          <w:b/>
          <w:sz w:val="21"/>
        </w:rPr>
        <w:t>三、服务要求</w:t>
      </w:r>
    </w:p>
    <w:p w14:paraId="18F94015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00" w:firstLineChars="200"/>
        <w:textAlignment w:val="auto"/>
      </w:pPr>
      <w:r>
        <w:rPr>
          <w:rFonts w:ascii="仿宋_GB2312" w:hAnsi="仿宋_GB2312" w:eastAsia="仿宋_GB2312" w:cs="仿宋_GB2312"/>
          <w:sz w:val="20"/>
        </w:rPr>
        <w:t>1</w:t>
      </w:r>
      <w:r>
        <w:rPr>
          <w:rFonts w:hint="eastAsia" w:ascii="仿宋_GB2312" w:hAnsi="仿宋_GB2312" w:eastAsia="仿宋_GB2312" w:cs="仿宋_GB2312"/>
          <w:sz w:val="20"/>
          <w:lang w:val="en-US" w:eastAsia="zh-CN"/>
        </w:rPr>
        <w:t>.</w:t>
      </w:r>
      <w:r>
        <w:rPr>
          <w:rFonts w:ascii="仿宋_GB2312" w:hAnsi="仿宋_GB2312" w:eastAsia="仿宋_GB2312" w:cs="仿宋_GB2312"/>
          <w:sz w:val="20"/>
        </w:rPr>
        <w:t>各任务承担单位每次抽样不低于两名专业工作人员，监督抽查过程必须现场制样并全程记录，确保程序合法合规。</w:t>
      </w:r>
    </w:p>
    <w:p w14:paraId="1F7E982B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00" w:firstLineChars="200"/>
        <w:textAlignment w:val="auto"/>
      </w:pPr>
      <w:r>
        <w:rPr>
          <w:rFonts w:ascii="仿宋_GB2312" w:hAnsi="仿宋_GB2312" w:eastAsia="仿宋_GB2312" w:cs="仿宋_GB2312"/>
          <w:sz w:val="20"/>
        </w:rPr>
        <w:t>2</w:t>
      </w:r>
      <w:r>
        <w:rPr>
          <w:rFonts w:hint="eastAsia" w:ascii="仿宋_GB2312" w:hAnsi="仿宋_GB2312" w:eastAsia="仿宋_GB2312" w:cs="仿宋_GB2312"/>
          <w:sz w:val="20"/>
          <w:lang w:val="en-US" w:eastAsia="zh-CN"/>
        </w:rPr>
        <w:t>.</w:t>
      </w:r>
      <w:r>
        <w:rPr>
          <w:rFonts w:ascii="仿宋_GB2312" w:hAnsi="仿宋_GB2312" w:eastAsia="仿宋_GB2312" w:cs="仿宋_GB2312"/>
          <w:sz w:val="20"/>
        </w:rPr>
        <w:t>同一基地、同一品种只能抽取1个样品，抽取样品总量不超过2个。</w:t>
      </w:r>
    </w:p>
    <w:p w14:paraId="00ED9D27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00" w:firstLineChars="200"/>
        <w:textAlignment w:val="auto"/>
      </w:pPr>
      <w:r>
        <w:rPr>
          <w:rFonts w:ascii="仿宋_GB2312" w:hAnsi="仿宋_GB2312" w:eastAsia="仿宋_GB2312" w:cs="仿宋_GB2312"/>
          <w:sz w:val="20"/>
        </w:rPr>
        <w:t>3</w:t>
      </w:r>
      <w:r>
        <w:rPr>
          <w:rFonts w:hint="eastAsia" w:ascii="仿宋_GB2312" w:hAnsi="仿宋_GB2312" w:eastAsia="仿宋_GB2312" w:cs="仿宋_GB2312"/>
          <w:sz w:val="20"/>
          <w:lang w:val="en-US" w:eastAsia="zh-CN"/>
        </w:rPr>
        <w:t>.</w:t>
      </w:r>
      <w:r>
        <w:rPr>
          <w:rFonts w:ascii="仿宋_GB2312" w:hAnsi="仿宋_GB2312" w:eastAsia="仿宋_GB2312" w:cs="仿宋_GB2312"/>
          <w:sz w:val="20"/>
        </w:rPr>
        <w:t>任务承担单位抽取样品后要及时进行样品检测，抽检结果要“随检随报”，不合格样品检测结果要在 24 小时内通报采购方。</w:t>
      </w:r>
    </w:p>
    <w:p w14:paraId="0F496A35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20" w:firstLineChars="200"/>
        <w:textAlignment w:val="auto"/>
        <w:rPr>
          <w:rFonts w:hint="eastAsia" w:ascii="仿宋_GB2312" w:hAnsi="仿宋_GB2312" w:eastAsia="仿宋_GB2312" w:cs="仿宋_GB2312"/>
          <w:b/>
          <w:bCs w:val="0"/>
          <w:sz w:val="24"/>
          <w:szCs w:val="22"/>
        </w:rPr>
      </w:pPr>
      <w:r>
        <w:rPr>
          <w:rFonts w:ascii="仿宋_GB2312" w:hAnsi="仿宋_GB2312" w:eastAsia="仿宋_GB2312" w:cs="仿宋_GB2312"/>
          <w:sz w:val="21"/>
        </w:rPr>
        <w:t>4.所有检测报告均出具电子版和纸质版，不合格样品需附完整复检记录。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60390A"/>
    <w:rsid w:val="2F60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2026-05-29T06:50:00Z</dcterms:created>
  <dc:creator>Patton</dc:creator>
  <cp:lastModifiedBy>Patton</cp:lastModifiedBy>
  <dcterms:modified xsi:type="dcterms:W3CDTF">2026-05-29T06:53:10Z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F9BD3B0A90DA4CB8B1DCF83ADDF12D57_11</vt:lpwstr>
  </property>
  <property fmtid="{D5CDD505-2E9C-101B-9397-08002B2CF9AE}" pid="4" name="KSOTemplateDocerSaveRecord">
    <vt:lpwstr>eyJoZGlkIjoiNjllMjU4NjNjOWJiNDI1NjZkZDc5NDJiOTVmODQzZmQiLCJ1c2VySWQiOiIxMDYzMTcxMDUxIn0=</vt:lpwstr>
  </property>
</Properties>
</file>