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版本号：SXZH-2026-06320260513001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提升学生垃圾分类意识能力</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SXZH-2026-063</w:t>
      </w:r>
      <w:r>
        <w:br/>
      </w:r>
      <w:r>
        <w:br/>
      </w:r>
      <w:r>
        <w:br/>
      </w:r>
    </w:p>
    <w:p>
      <w:pPr>
        <w:pStyle w:val="null3"/>
        <w:jc w:val="center"/>
        <w:outlineLvl w:val="2"/>
      </w:pPr>
      <w:r>
        <w:rPr>
          <w:rFonts w:ascii="仿宋_GB2312" w:hAnsi="仿宋_GB2312" w:cs="仿宋_GB2312" w:eastAsia="仿宋_GB2312"/>
          <w:sz w:val="28"/>
          <w:b/>
        </w:rPr>
        <w:t>西安市生活垃圾分类服务中心</w:t>
      </w:r>
    </w:p>
    <w:p>
      <w:pPr>
        <w:pStyle w:val="null3"/>
        <w:jc w:val="center"/>
        <w:outlineLvl w:val="2"/>
      </w:pPr>
      <w:r>
        <w:rPr>
          <w:rFonts w:ascii="仿宋_GB2312" w:hAnsi="仿宋_GB2312" w:cs="仿宋_GB2312" w:eastAsia="仿宋_GB2312"/>
          <w:sz w:val="28"/>
          <w:b/>
        </w:rPr>
        <w:t>陕西筑辉工程咨询有限公司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陕西筑辉工程咨询有限公司</w:t>
      </w:r>
      <w:r>
        <w:rPr>
          <w:rFonts w:ascii="仿宋_GB2312" w:hAnsi="仿宋_GB2312" w:cs="仿宋_GB2312" w:eastAsia="仿宋_GB2312"/>
        </w:rPr>
        <w:t>（以下简称“代理机构”）受</w:t>
      </w:r>
      <w:r>
        <w:rPr>
          <w:rFonts w:ascii="仿宋_GB2312" w:hAnsi="仿宋_GB2312" w:cs="仿宋_GB2312" w:eastAsia="仿宋_GB2312"/>
        </w:rPr>
        <w:t>西安市生活垃圾分类服务中心</w:t>
      </w:r>
      <w:r>
        <w:rPr>
          <w:rFonts w:ascii="仿宋_GB2312" w:hAnsi="仿宋_GB2312" w:cs="仿宋_GB2312" w:eastAsia="仿宋_GB2312"/>
        </w:rPr>
        <w:t>委托，拟对</w:t>
      </w:r>
      <w:r>
        <w:rPr>
          <w:rFonts w:ascii="仿宋_GB2312" w:hAnsi="仿宋_GB2312" w:cs="仿宋_GB2312" w:eastAsia="仿宋_GB2312"/>
        </w:rPr>
        <w:t>提升学生垃圾分类意识能力</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SXZH-2026-063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提升学生垃圾分类意识能力</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提升学生垃圾分类意识能力组织实施。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采购包1（提升学生垃圾分类意识能力）：属于专门面向中小企业采购。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西安市生活垃圾分类服务中心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西安市莲湖区太白北路320号华弘大厦4楼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029-89381575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陕西筑辉工程咨询有限公司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陕西省西安市雁塔区南二环东段22号凯森盛世1号B座2层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17392900503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计算方法：以成交金额为基数，参考《招标代理服务收费管理暂行办法》（计价格【2002】1980号）及《关于降低部分建设项目收费标准规范收费行为等有关问题的通知》（发改价格[2011]534号）规定按标准下浮5%收取。 2、采购代理服务费可以采取现金、支票、银行汇票、电汇、网银等方式缴纳。 3、招标代理服务费缴纳信息： 银行户名：陕西筑辉工程咨询有限公司 开户银行：北京银行股份有限公司西安经济技术开发区支行 账 号：20000041418600030109571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西安市生活垃圾分类服务中心</w:t>
      </w:r>
      <w:r>
        <w:rPr>
          <w:rFonts w:ascii="仿宋_GB2312" w:hAnsi="仿宋_GB2312" w:cs="仿宋_GB2312" w:eastAsia="仿宋_GB2312"/>
        </w:rPr>
        <w:t>和</w:t>
      </w:r>
      <w:r>
        <w:rPr>
          <w:rFonts w:ascii="仿宋_GB2312" w:hAnsi="仿宋_GB2312" w:cs="仿宋_GB2312" w:eastAsia="仿宋_GB2312"/>
        </w:rPr>
        <w:t>陕西筑辉工程咨询有限公司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西安市生活垃圾分类服务中心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陕西筑辉工程咨询有限公司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西安市生活垃圾分类服务中心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陕西筑辉工程咨询有限公司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和成交供应商共同对项目进行整体验收。其内容包括是否按照采购人要求进行服务、是否在规定时间内服务完毕、服务工作是否存在失误。验收合格后，填写政府采购项目验收单作为对本服务的最终认可。服务商向采购人提供服务过程中的所有相关资料，以便采购人日后管理。验收依据为竞争性磋商文件、磋商响应文件、澄清表（函）、政府采购合同及附件文本、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陕西筑辉工程咨询有限公司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陕西筑辉工程咨询有限公司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陕西筑辉工程咨询有限公司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联系人：孙誉</w:t>
      </w:r>
    </w:p>
    <w:p>
      <w:pPr>
        <w:pStyle w:val="null3"/>
      </w:pPr>
      <w:r>
        <w:rPr>
          <w:rFonts w:ascii="仿宋_GB2312" w:hAnsi="仿宋_GB2312" w:cs="仿宋_GB2312" w:eastAsia="仿宋_GB2312"/>
        </w:rPr>
        <w:t>联系电话：17392900503</w:t>
      </w:r>
    </w:p>
    <w:p>
      <w:pPr>
        <w:pStyle w:val="null3"/>
      </w:pPr>
      <w:r>
        <w:rPr>
          <w:rFonts w:ascii="仿宋_GB2312" w:hAnsi="仿宋_GB2312" w:cs="仿宋_GB2312" w:eastAsia="仿宋_GB2312"/>
        </w:rPr>
        <w:t>地址：西安市雁塔区南二环东段22号（凯森盛世1号）B座2层</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提升学生垃圾分类意识能力组织实施。</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提升学生垃圾分类意识能力</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标的名称：提升学生垃圾分类意识能力</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w:t>
            </w:r>
            <w:r>
              <w:rPr>
                <w:rFonts w:ascii="仿宋_GB2312" w:hAnsi="仿宋_GB2312" w:cs="仿宋_GB2312" w:eastAsia="仿宋_GB2312"/>
              </w:rPr>
              <w:t>组织开展</w:t>
            </w:r>
            <w:r>
              <w:rPr>
                <w:rFonts w:ascii="仿宋_GB2312" w:hAnsi="仿宋_GB2312" w:cs="仿宋_GB2312" w:eastAsia="仿宋_GB2312"/>
              </w:rPr>
              <w:t>8</w:t>
            </w:r>
            <w:r>
              <w:rPr>
                <w:rFonts w:ascii="仿宋_GB2312" w:hAnsi="仿宋_GB2312" w:cs="仿宋_GB2312" w:eastAsia="仿宋_GB2312"/>
              </w:rPr>
              <w:t>场生活垃圾分类进学校主题系列宣传活动，每场活动受众人数平均</w:t>
            </w:r>
            <w:r>
              <w:rPr>
                <w:rFonts w:ascii="仿宋_GB2312" w:hAnsi="仿宋_GB2312" w:cs="仿宋_GB2312" w:eastAsia="仿宋_GB2312"/>
              </w:rPr>
              <w:t>200</w:t>
            </w:r>
            <w:r>
              <w:rPr>
                <w:rFonts w:ascii="仿宋_GB2312" w:hAnsi="仿宋_GB2312" w:cs="仿宋_GB2312" w:eastAsia="仿宋_GB2312"/>
              </w:rPr>
              <w:t>人，活动采用发放资料、现场授课、节目表演、有奖问答、游戏互动等多种喜闻乐见的形式普及生活垃圾分类知识，提高在校师生生活垃圾分类知晓率和参与度。</w:t>
            </w:r>
          </w:p>
          <w:p>
            <w:pPr>
              <w:pStyle w:val="null3"/>
            </w:pPr>
            <w:r>
              <w:rPr>
                <w:rFonts w:ascii="仿宋_GB2312" w:hAnsi="仿宋_GB2312" w:cs="仿宋_GB2312" w:eastAsia="仿宋_GB2312"/>
              </w:rPr>
              <w:t>2.</w:t>
            </w:r>
            <w:r>
              <w:rPr>
                <w:rFonts w:ascii="仿宋_GB2312" w:hAnsi="仿宋_GB2312" w:cs="仿宋_GB2312" w:eastAsia="仿宋_GB2312"/>
              </w:rPr>
              <w:t>熟悉垃圾分类行业业务知识，具备相应的组织垃圾分类宣传活动能力和业绩。</w:t>
            </w:r>
          </w:p>
          <w:p>
            <w:pPr>
              <w:pStyle w:val="null3"/>
            </w:pPr>
            <w:r>
              <w:rPr>
                <w:rFonts w:ascii="仿宋_GB2312" w:hAnsi="仿宋_GB2312" w:cs="仿宋_GB2312" w:eastAsia="仿宋_GB2312"/>
              </w:rPr>
              <w:t>3.</w:t>
            </w:r>
            <w:r>
              <w:rPr>
                <w:rFonts w:ascii="仿宋_GB2312" w:hAnsi="仿宋_GB2312" w:cs="仿宋_GB2312" w:eastAsia="仿宋_GB2312"/>
              </w:rPr>
              <w:t>具备方案制定、节目设计、舞台搭建和现场统筹等能力。</w:t>
            </w:r>
          </w:p>
          <w:p>
            <w:pPr>
              <w:pStyle w:val="null3"/>
            </w:pPr>
            <w:r>
              <w:rPr>
                <w:rFonts w:ascii="仿宋_GB2312" w:hAnsi="仿宋_GB2312" w:cs="仿宋_GB2312" w:eastAsia="仿宋_GB2312"/>
              </w:rPr>
              <w:t>4.</w:t>
            </w:r>
            <w:r>
              <w:rPr>
                <w:rFonts w:ascii="仿宋_GB2312" w:hAnsi="仿宋_GB2312" w:cs="仿宋_GB2312" w:eastAsia="仿宋_GB2312"/>
              </w:rPr>
              <w:t>具有丰富的现场主持、控场经验和表演团队。</w:t>
            </w:r>
          </w:p>
          <w:p>
            <w:pPr>
              <w:pStyle w:val="null3"/>
            </w:pPr>
            <w:r>
              <w:rPr>
                <w:rFonts w:ascii="仿宋_GB2312" w:hAnsi="仿宋_GB2312" w:cs="仿宋_GB2312" w:eastAsia="仿宋_GB2312"/>
                <w:sz w:val="21"/>
              </w:rPr>
              <w:t>5.</w:t>
            </w:r>
            <w:r>
              <w:rPr>
                <w:rFonts w:ascii="仿宋_GB2312" w:hAnsi="仿宋_GB2312" w:cs="仿宋_GB2312" w:eastAsia="仿宋_GB2312"/>
                <w:sz w:val="21"/>
              </w:rPr>
              <w:t>具备编写新闻通稿的人员，并通过市级主流媒体进行宣传报道。</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根据采购内容自行配置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根据采购内容自行配置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所属行业：其他未列明行业，其划分标准为从业人员300人以下的为中小微型企业。其中，从业人员100人及以上的为中型企业；从业人员10人及以上的为小型企业；从业人员10人以下的为微型企业。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自合同签订之日起10日内完成项目方案策划、节目编排及相关物料制作，并提交甲方审核，审核通过后7日内开始实施，项目应于2026年10月30日前执行完毕。</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西安市生活垃圾分类服务中心甲方指定地点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和成交供应商共同对项目进行整体验收。其内容包括是否按照采购人要求进行服务、是否在规定时间内服务完毕、服务工作是否存在失误。验收合格后，填写政府采购项目验收单作为对本服务的最终认可。服务商向采购人提供服务过程中的所有相关资料，以便采购人日后管理。验收依据为竞争性磋商文件、磋商响应文件、澄清表（函）、政府采购合同及附件文本、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签订合同后支付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服务期限完成且无其他异议后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1、乙方应按合同约定时间完成各阶段合同义务，若发生延迟，乙方应向甲方支付合同总价款10%的违约金，且甲方有权单方解除本合同。但甲方书面同意延迟或因甲方原因导致延迟的，乙方不承担违约责任。 2、如甲方未能在本合同约定时间内支付款项，每延迟一天，甲方须向乙方承担迟延支付费用的0.5‰作为违约金，并将服务周期予以相应顺延。 3、本次活动因乙方原因导致侵害甲方或第三方合法权益的，应由乙方承担相应赔偿责任，并向甲方支付合同总价款10%的违约金。 4、若乙方未经甲方同意泄露本合同约定的任何秘密信息的，乙方应按照合同总价款的10%向甲方支付违约金，并赔偿因此给甲方造成的损失。 5、乙方保证向甲方开具发票的真实性、合法性，若乙方向甲方开具的发票存在真实性、合法性问题，给甲方造成损失的，乙方应按合同总价款的10%向甲方支付违约金，违约金不足以弥补损失的，乙方还应承担相应赔偿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领取成交通知书前，须向采购代理机构提供纸质版响应文件3套，且提供的响应文件必须与在陕西省政府采购综合管理平台的项目电子化交易系统中递交的电子响应文件内容一致，纸质版响应文件必须装订成册签字盖章。 2.如磋商文件中融资相关内容与新政策要求有出入，按照最新要求执行。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2024或2025年度经审计的财务报告（包括“四表一注”，即资产负债表、利润表、现金流量表、所有者权益变动表（如有）及其附注，或者提供响应文件截止时间三个月内其基本账户开户银行出具的资信证明，或信用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资格要求证明文件.docx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法定代表人直接参加磋商的，须出具法定代表人身份证明及法人身份证；法定代表人授权代表参加磋商的，须出具法定代表人授权委托书和被授权人身份证。</w:t>
            </w:r>
          </w:p>
        </w:tc>
        <w:tc>
          <w:tcPr>
            <w:tcW w:type="dxa" w:w="1661"/>
          </w:tcPr>
          <w:p>
            <w:pPr>
              <w:pStyle w:val="null3"/>
            </w:pPr>
            <w:r>
              <w:rPr>
                <w:rFonts w:ascii="仿宋_GB2312" w:hAnsi="仿宋_GB2312" w:cs="仿宋_GB2312" w:eastAsia="仿宋_GB2312"/>
              </w:rPr>
              <w:t>资格要求证明文件.docx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 3、未超出采购预算或磋商文件规定的最高限价。</w:t>
            </w:r>
          </w:p>
        </w:tc>
        <w:tc>
          <w:tcPr>
            <w:tcW w:type="dxa" w:w="1661"/>
          </w:tcPr>
          <w:p>
            <w:pPr>
              <w:pStyle w:val="null3"/>
            </w:pPr>
            <w:r>
              <w:rPr>
                <w:rFonts w:ascii="仿宋_GB2312" w:hAnsi="仿宋_GB2312" w:cs="仿宋_GB2312" w:eastAsia="仿宋_GB2312"/>
              </w:rPr>
              <w:t>分项报价表.docx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与所投项目名称、项目编号一致，且符合磋商文件签署盖章要求。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商务技术偏离表.docx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项目总体分析</w:t>
            </w:r>
          </w:p>
        </w:tc>
        <w:tc>
          <w:tcPr>
            <w:tcW w:type="dxa" w:w="2492"/>
          </w:tcPr>
          <w:p>
            <w:pPr>
              <w:pStyle w:val="null3"/>
            </w:pPr>
            <w:r>
              <w:rPr>
                <w:rFonts w:ascii="仿宋_GB2312" w:hAnsi="仿宋_GB2312" w:cs="仿宋_GB2312" w:eastAsia="仿宋_GB2312"/>
              </w:rPr>
              <w:t>项目分析针对项目背景、可行性与必要性分析、目标分析等全面、准确、合理，计(7-10]分； 分析内容基本符合项目背景，较为合理，计(4-7]分；分析空洞、无实质内容，计[1-4]分。 未提供方案不得分。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服务方案清晰、对本项目垃圾分类宣传活动具有明确针对性，有详细的活动策划计(14-20]分； 方案较清晰，对本项目针对性一般，活动策划较详细，计(8-14]分； 方案空洞、无实质性内容，计[1-8]分。 未提供方案不得分。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重点、难点分析及应对措施</w:t>
            </w:r>
          </w:p>
        </w:tc>
        <w:tc>
          <w:tcPr>
            <w:tcW w:type="dxa" w:w="2492"/>
          </w:tcPr>
          <w:p>
            <w:pPr>
              <w:pStyle w:val="null3"/>
            </w:pPr>
            <w:r>
              <w:rPr>
                <w:rFonts w:ascii="仿宋_GB2312" w:hAnsi="仿宋_GB2312" w:cs="仿宋_GB2312" w:eastAsia="仿宋_GB2312"/>
              </w:rPr>
              <w:t>针对本项目开展存在的重点、难点分析准确、充分，提出针对性强、科学合理的应对措施，计(5-10分；对项目开展存在的重点、难点分析较薄弱、无实质性内容，计[1-5]分。 未提供方案不得分。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管理与保障措施</w:t>
            </w:r>
          </w:p>
        </w:tc>
        <w:tc>
          <w:tcPr>
            <w:tcW w:type="dxa" w:w="2492"/>
          </w:tcPr>
          <w:p>
            <w:pPr>
              <w:pStyle w:val="null3"/>
            </w:pPr>
            <w:r>
              <w:rPr>
                <w:rFonts w:ascii="仿宋_GB2312" w:hAnsi="仿宋_GB2312" w:cs="仿宋_GB2312" w:eastAsia="仿宋_GB2312"/>
              </w:rPr>
              <w:t>针对本项目的管理与保障措施全面、可行，能够保障项目顺利实施，计(5-10]分； 管理与保障措施较薄弱、无实质性内容，计[1-5]分。未提供方案不得分。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根据本项目采购需求提供拟投入人员配备（包括但不限于人员分工、岗位配备及职责。 人员分工明确得当、岗位配备及职责阐述全面详细的计（7-10分]； 人员分工较明确、岗位配备及职责阐述较详细的计（3-7分]； 人员分工不明确、岗位配备及职责阐述不全面的计[1-3分]； 未提供，或明显存在不合理性的不得分。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舞台搭建预案</w:t>
            </w:r>
          </w:p>
        </w:tc>
        <w:tc>
          <w:tcPr>
            <w:tcW w:type="dxa" w:w="2492"/>
          </w:tcPr>
          <w:p>
            <w:pPr>
              <w:pStyle w:val="null3"/>
            </w:pPr>
            <w:r>
              <w:rPr>
                <w:rFonts w:ascii="仿宋_GB2312" w:hAnsi="仿宋_GB2312" w:cs="仿宋_GB2312" w:eastAsia="仿宋_GB2312"/>
              </w:rPr>
              <w:t>根据本项目采购需求提供拟投入设备设施及舞台搭建预案（包括但不限于设备设施列表、设备设施照片、舞台搭建预案等相关证明材料）。 设备设施列表齐全、舞台搭建预案全面详细、证明材料完整得（7-10分]； 设备设施列表较齐全、舞台搭建预案较详细、证明材料不全得（4-7分]； 设备设施列表不全、舞台搭建预案简单、证明材料不全得[1-4分]； 未提供证明材料不得分。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针对本项目具有详细科学的合理化建议。 合理化建议详细、针对性强得（5-10分]； 合理化建议内容简单不全得[1-5分]；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供应商具有近三年（2023年1月1 日至今，以合同签订时间为准）的类似本项目主题活动业绩，每提供一个得2分, 最高得10分。注：供应商响应文件中提供合同复印件加盖公章。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业绩相关证明材料.docx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详见附件：业绩相关证明材料.docx</w:t>
      </w:r>
    </w:p>
    <w:p>
      <w:pPr>
        <w:pStyle w:val="null3"/>
        <w:ind w:firstLine="960"/>
      </w:pPr>
      <w:r>
        <w:rPr>
          <w:rFonts w:ascii="仿宋_GB2312" w:hAnsi="仿宋_GB2312" w:cs="仿宋_GB2312" w:eastAsia="仿宋_GB2312"/>
        </w:rPr>
        <w:t>详见附件：商务技术偏离表.docx</w:t>
      </w:r>
    </w:p>
    <w:p>
      <w:pPr>
        <w:pStyle w:val="null3"/>
        <w:ind w:firstLine="960"/>
      </w:pPr>
      <w:r>
        <w:rPr>
          <w:rFonts w:ascii="仿宋_GB2312" w:hAnsi="仿宋_GB2312" w:cs="仿宋_GB2312" w:eastAsia="仿宋_GB2312"/>
        </w:rPr>
        <w:t>详见附件：资格要求证明文件.docx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