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版本号：SXJHZB-2026-0715-00320260717002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镇巴县2026年农村公路养护工程(S526茶巴线)</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SXJHZB-2026-0715-003</w:t>
      </w:r>
      <w:r>
        <w:br/>
      </w:r>
      <w:r>
        <w:br/>
      </w:r>
      <w:r>
        <w:br/>
      </w:r>
    </w:p>
    <w:p>
      <w:pPr>
        <w:pStyle w:val="null3"/>
        <w:jc w:val="center"/>
        <w:outlineLvl w:val="2"/>
      </w:pPr>
      <w:r>
        <w:rPr>
          <w:rFonts w:ascii="仿宋_GB2312" w:hAnsi="仿宋_GB2312" w:cs="仿宋_GB2312" w:eastAsia="仿宋_GB2312"/>
          <w:sz w:val="28"/>
          <w:b/>
        </w:rPr>
        <w:t>镇巴县农村公路事业发展中心</w:t>
      </w:r>
    </w:p>
    <w:p>
      <w:pPr>
        <w:pStyle w:val="null3"/>
        <w:jc w:val="center"/>
        <w:outlineLvl w:val="2"/>
      </w:pPr>
      <w:r>
        <w:rPr>
          <w:rFonts w:ascii="仿宋_GB2312" w:hAnsi="仿宋_GB2312" w:cs="仿宋_GB2312" w:eastAsia="仿宋_GB2312"/>
          <w:sz w:val="28"/>
          <w:b/>
        </w:rPr>
        <w:t>陕西巨和项目管理有限责任公司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陕西巨和项目管理有限责任公司</w:t>
      </w:r>
      <w:r>
        <w:rPr>
          <w:rFonts w:ascii="仿宋_GB2312" w:hAnsi="仿宋_GB2312" w:cs="仿宋_GB2312" w:eastAsia="仿宋_GB2312"/>
        </w:rPr>
        <w:t>（以下简称“代理机构”）受</w:t>
      </w:r>
      <w:r>
        <w:rPr>
          <w:rFonts w:ascii="仿宋_GB2312" w:hAnsi="仿宋_GB2312" w:cs="仿宋_GB2312" w:eastAsia="仿宋_GB2312"/>
        </w:rPr>
        <w:t>镇巴县农村公路事业发展中心</w:t>
      </w:r>
      <w:r>
        <w:rPr>
          <w:rFonts w:ascii="仿宋_GB2312" w:hAnsi="仿宋_GB2312" w:cs="仿宋_GB2312" w:eastAsia="仿宋_GB2312"/>
        </w:rPr>
        <w:t>委托，拟对</w:t>
      </w:r>
      <w:r>
        <w:rPr>
          <w:rFonts w:ascii="仿宋_GB2312" w:hAnsi="仿宋_GB2312" w:cs="仿宋_GB2312" w:eastAsia="仿宋_GB2312"/>
        </w:rPr>
        <w:t>镇巴县2026年农村公路养护工程(S526茶巴线)</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SXJHZB-2026-0715-003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镇巴县2026年农村公路养护工程(S526茶巴线)</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垮方清理：11351.20m³；M7.5浆砌片石：474.37m³；C25混凝土挡墙顶找补：11.20m³；20cm厚水泥混凝土面层：30㎡；18cm厚C20贫混凝土基层：30㎡；C25混凝土硬路肩：7.50m³，；C25混凝土排水沟：8.40m³；水沟挖基土方：16.50m³；波形梁护栏（Gr-C-4E）：24m。</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采购包1（镇巴县2026年农村公路养护工程(S526茶巴线)）：属于专门面向中小企业采购。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3、供应商资质：供应商具有行政主管部门核发的公路工程施工总承包三级（含三级）及以上资质，且具有有效的安全生产许可证，供应商需在项目电子化交易系统中按要求上传相应证明文件并进行电子签章；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4、项目负责人：拟派项目经理须具备公路工程专业二级（含二级）以上注册建造师资格和安全生产考核合格B证，且无在建项目，供应商需在项目电子化交易系统中按要求上传相应证明文件并进行电子签章；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6、中小企业声明函：本项目专门面向中小企业采购，投标人应提供中小企业声明函，供应商需在项目电子化交易系统中按要求上传相应证明文件并进行电子签章；</w:t>
      </w:r>
    </w:p>
    <w:p>
      <w:pPr>
        <w:pStyle w:val="null3"/>
      </w:pPr>
      <w:r>
        <w:rPr>
          <w:rFonts w:ascii="仿宋_GB2312" w:hAnsi="仿宋_GB2312" w:cs="仿宋_GB2312" w:eastAsia="仿宋_GB2312"/>
        </w:rPr>
        <w:t>7、联合体投标：本项目不接受联合体磋商，单位负责人为同一人或者存在直接控股、管理关系的不同单位，不得同时参加本项目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镇巴县农村公路事业发展中心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镇巴县泾洋街道办新街4号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镇巴县农村公路事业发展中心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0916-6712180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陕西巨和项目管理有限责任公司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陕西省汉中市镇巴县泾洋街道办河西路粮食局五楼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15332521029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采购包1：567,278.00元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2、采购代理服务费的缴纳方式:在领取《成交通知书》前向采购代理机均一次性全额缴纳采购代理服务费。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镇巴县农村公路事业发展中心</w:t>
      </w:r>
      <w:r>
        <w:rPr>
          <w:rFonts w:ascii="仿宋_GB2312" w:hAnsi="仿宋_GB2312" w:cs="仿宋_GB2312" w:eastAsia="仿宋_GB2312"/>
        </w:rPr>
        <w:t>和</w:t>
      </w:r>
      <w:r>
        <w:rPr>
          <w:rFonts w:ascii="仿宋_GB2312" w:hAnsi="仿宋_GB2312" w:cs="仿宋_GB2312" w:eastAsia="仿宋_GB2312"/>
        </w:rPr>
        <w:t>陕西巨和项目管理有限责任公司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镇巴县农村公路事业发展中心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陕西巨和项目管理有限责任公司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镇巴县农村公路事业发展中心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陕西巨和项目管理有限责任公司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联系电话：15332521029</w:t>
      </w:r>
    </w:p>
    <w:p>
      <w:pPr>
        <w:pStyle w:val="null3"/>
      </w:pPr>
      <w:r>
        <w:rPr>
          <w:rFonts w:ascii="仿宋_GB2312" w:hAnsi="仿宋_GB2312" w:cs="仿宋_GB2312" w:eastAsia="仿宋_GB2312"/>
        </w:rPr>
        <w:t>地址：汉中市镇巴县河西路粮食局五楼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567,278.00</w:t>
      </w:r>
    </w:p>
    <w:p>
      <w:pPr>
        <w:pStyle w:val="null3"/>
      </w:pPr>
      <w:r>
        <w:rPr>
          <w:rFonts w:ascii="仿宋_GB2312" w:hAnsi="仿宋_GB2312" w:cs="仿宋_GB2312" w:eastAsia="仿宋_GB2312"/>
        </w:rPr>
        <w:t>采购包最高限价（元）: 545,161.00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镇巴县2026年农村公路养护工程(S526茶巴线)</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567,278.00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标的名称：镇巴县2026年农村公路养护工程(S526茶巴线)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360" w:firstLine="157"/>
              <w:jc w:val="both"/>
            </w:pPr>
            <w:r>
              <w:rPr>
                <w:rFonts w:ascii="仿宋_GB2312" w:hAnsi="仿宋_GB2312" w:cs="仿宋_GB2312" w:eastAsia="仿宋_GB2312"/>
                <w:sz w:val="28"/>
                <w:b/>
              </w:rPr>
              <w:t>一、工程概况：</w:t>
            </w:r>
            <w:r>
              <w:rPr>
                <w:rFonts w:ascii="仿宋_GB2312" w:hAnsi="仿宋_GB2312" w:cs="仿宋_GB2312" w:eastAsia="仿宋_GB2312"/>
                <w:sz w:val="21"/>
              </w:rPr>
              <w:t xml:space="preserve"> </w:t>
            </w:r>
          </w:p>
          <w:p>
            <w:pPr>
              <w:pStyle w:val="null3"/>
              <w:ind w:firstLine="560"/>
              <w:jc w:val="both"/>
            </w:pPr>
            <w:r>
              <w:rPr>
                <w:rFonts w:ascii="仿宋_GB2312" w:hAnsi="仿宋_GB2312" w:cs="仿宋_GB2312" w:eastAsia="仿宋_GB2312"/>
                <w:sz w:val="28"/>
              </w:rPr>
              <w:t>本项目主要建设内容为：垮方清理：</w:t>
            </w:r>
            <w:r>
              <w:rPr>
                <w:rFonts w:ascii="仿宋_GB2312" w:hAnsi="仿宋_GB2312" w:cs="仿宋_GB2312" w:eastAsia="仿宋_GB2312"/>
                <w:sz w:val="28"/>
              </w:rPr>
              <w:t>11351.20m³；M7.5浆砌片石：474.37m³；C25混凝土挡墙顶找补：11.20m³；20cm厚水泥混凝土面层：30㎡；18cm厚C20贫混凝土基层：30㎡；C25混凝土硬路肩：7.50m³，；C25混凝土排水沟：8.40m³；水沟挖基土方：16.50m³；波形梁护栏（Gr-C-4E）：24m。</w:t>
            </w:r>
          </w:p>
          <w:p>
            <w:pPr>
              <w:pStyle w:val="null3"/>
              <w:ind w:left="360" w:firstLine="157"/>
              <w:jc w:val="both"/>
            </w:pPr>
            <w:r>
              <w:rPr>
                <w:rFonts w:ascii="仿宋_GB2312" w:hAnsi="仿宋_GB2312" w:cs="仿宋_GB2312" w:eastAsia="仿宋_GB2312"/>
                <w:sz w:val="28"/>
                <w:b/>
              </w:rPr>
              <w:t>二、</w:t>
            </w:r>
            <w:r>
              <w:rPr>
                <w:rFonts w:ascii="仿宋_GB2312" w:hAnsi="仿宋_GB2312" w:cs="仿宋_GB2312" w:eastAsia="仿宋_GB2312"/>
                <w:sz w:val="28"/>
                <w:b/>
              </w:rPr>
              <w:t>编制依据：</w:t>
            </w:r>
          </w:p>
          <w:p>
            <w:pPr>
              <w:pStyle w:val="null3"/>
              <w:ind w:firstLine="560"/>
              <w:jc w:val="left"/>
            </w:pPr>
            <w:r>
              <w:rPr>
                <w:rFonts w:ascii="仿宋_GB2312" w:hAnsi="仿宋_GB2312" w:cs="仿宋_GB2312" w:eastAsia="仿宋_GB2312"/>
                <w:sz w:val="28"/>
              </w:rPr>
              <w:t>1、设计施工图：汉中坤仪工程管理有限公司设计的《镇巴县2026年农村公路养护工程（S526茶巴线）》施工图设计文件。</w:t>
            </w:r>
          </w:p>
          <w:p>
            <w:pPr>
              <w:pStyle w:val="null3"/>
              <w:ind w:left="360" w:firstLine="156"/>
              <w:jc w:val="both"/>
            </w:pPr>
            <w:r>
              <w:rPr>
                <w:rFonts w:ascii="仿宋_GB2312" w:hAnsi="仿宋_GB2312" w:cs="仿宋_GB2312" w:eastAsia="仿宋_GB2312"/>
                <w:sz w:val="28"/>
              </w:rPr>
              <w:t>2、使用定额及相关规范：</w:t>
            </w:r>
          </w:p>
          <w:p>
            <w:pPr>
              <w:pStyle w:val="null3"/>
              <w:jc w:val="left"/>
            </w:pPr>
            <w:r>
              <w:rPr>
                <w:rFonts w:ascii="仿宋_GB2312" w:hAnsi="仿宋_GB2312" w:cs="仿宋_GB2312" w:eastAsia="仿宋_GB2312"/>
                <w:sz w:val="28"/>
              </w:rPr>
              <w:t>中华人民共和国行业标准《公路工程基本建设项目概算预算编制办法》（</w:t>
            </w:r>
            <w:r>
              <w:rPr>
                <w:rFonts w:ascii="仿宋_GB2312" w:hAnsi="仿宋_GB2312" w:cs="仿宋_GB2312" w:eastAsia="仿宋_GB2312"/>
                <w:sz w:val="28"/>
              </w:rPr>
              <w:t>JTG3830-2018）、《干线公路养护工程预算编制规范》（</w:t>
            </w:r>
            <w:r>
              <w:rPr>
                <w:rFonts w:ascii="仿宋_GB2312" w:hAnsi="仿宋_GB2312" w:cs="仿宋_GB2312" w:eastAsia="仿宋_GB2312"/>
                <w:sz w:val="28"/>
              </w:rPr>
              <w:t>DB61/T 1998</w:t>
            </w:r>
            <w:r>
              <w:rPr>
                <w:rFonts w:ascii="仿宋_GB2312" w:hAnsi="仿宋_GB2312" w:cs="仿宋_GB2312" w:eastAsia="仿宋_GB2312"/>
                <w:sz w:val="28"/>
              </w:rPr>
              <w:t>—</w:t>
            </w:r>
            <w:r>
              <w:rPr>
                <w:rFonts w:ascii="仿宋_GB2312" w:hAnsi="仿宋_GB2312" w:cs="仿宋_GB2312" w:eastAsia="仿宋_GB2312"/>
                <w:sz w:val="28"/>
              </w:rPr>
              <w:t>2025</w:t>
            </w:r>
            <w:r>
              <w:rPr>
                <w:rFonts w:ascii="仿宋_GB2312" w:hAnsi="仿宋_GB2312" w:cs="仿宋_GB2312" w:eastAsia="仿宋_GB2312"/>
                <w:sz w:val="28"/>
              </w:rPr>
              <w:t>）《公路养护工程量清单及计量规范》（</w:t>
            </w:r>
            <w:r>
              <w:rPr>
                <w:rFonts w:ascii="仿宋_GB2312" w:hAnsi="仿宋_GB2312" w:cs="仿宋_GB2312" w:eastAsia="仿宋_GB2312"/>
                <w:sz w:val="28"/>
              </w:rPr>
              <w:t>JTG/T 5620—2025）《公路工程建设项目安全生产费用清单及计量规范》（JTG/T 3841—2026）、陕西省交通厅关于执行交通部分《公路工程基本建设项目概算预算定额及编制办法补充规定》、陕西省交通运输厅关于执行交通运输部《公路工程营业税改增值税计价依据调整方案》的通知。</w:t>
            </w:r>
          </w:p>
          <w:p>
            <w:pPr>
              <w:pStyle w:val="null3"/>
              <w:ind w:left="360" w:firstLine="156"/>
              <w:jc w:val="both"/>
            </w:pPr>
            <w:r>
              <w:rPr>
                <w:rFonts w:ascii="仿宋_GB2312" w:hAnsi="仿宋_GB2312" w:cs="仿宋_GB2312" w:eastAsia="仿宋_GB2312"/>
                <w:sz w:val="28"/>
              </w:rPr>
              <w:t>三、计价取费说明</w:t>
            </w:r>
          </w:p>
          <w:p>
            <w:pPr>
              <w:pStyle w:val="null3"/>
              <w:ind w:left="540"/>
              <w:jc w:val="both"/>
            </w:pPr>
            <w:r>
              <w:rPr>
                <w:rFonts w:ascii="仿宋_GB2312" w:hAnsi="仿宋_GB2312" w:cs="仿宋_GB2312" w:eastAsia="仿宋_GB2312"/>
                <w:sz w:val="28"/>
              </w:rPr>
              <w:t>1、直接费</w:t>
            </w:r>
          </w:p>
          <w:p>
            <w:pPr>
              <w:pStyle w:val="null3"/>
              <w:ind w:left="360" w:firstLine="156"/>
              <w:jc w:val="both"/>
            </w:pPr>
            <w:r>
              <w:rPr>
                <w:rFonts w:ascii="仿宋_GB2312" w:hAnsi="仿宋_GB2312" w:cs="仿宋_GB2312" w:eastAsia="仿宋_GB2312"/>
                <w:sz w:val="28"/>
              </w:rPr>
              <w:t>(1).人工费：</w:t>
            </w:r>
          </w:p>
          <w:p>
            <w:pPr>
              <w:pStyle w:val="null3"/>
              <w:ind w:left="540"/>
              <w:jc w:val="both"/>
            </w:pPr>
            <w:r>
              <w:rPr>
                <w:rFonts w:ascii="仿宋_GB2312" w:hAnsi="仿宋_GB2312" w:cs="仿宋_GB2312" w:eastAsia="仿宋_GB2312"/>
                <w:sz w:val="28"/>
              </w:rPr>
              <w:t>按</w:t>
            </w:r>
            <w:r>
              <w:rPr>
                <w:rFonts w:ascii="仿宋_GB2312" w:hAnsi="仿宋_GB2312" w:cs="仿宋_GB2312" w:eastAsia="仿宋_GB2312"/>
                <w:sz w:val="28"/>
              </w:rPr>
              <w:t>105.89</w:t>
            </w:r>
            <w:r>
              <w:rPr>
                <w:rFonts w:ascii="仿宋_GB2312" w:hAnsi="仿宋_GB2312" w:cs="仿宋_GB2312" w:eastAsia="仿宋_GB2312"/>
                <w:sz w:val="28"/>
              </w:rPr>
              <w:t>元</w:t>
            </w:r>
            <w:r>
              <w:rPr>
                <w:rFonts w:ascii="仿宋_GB2312" w:hAnsi="仿宋_GB2312" w:cs="仿宋_GB2312" w:eastAsia="仿宋_GB2312"/>
                <w:sz w:val="28"/>
              </w:rPr>
              <w:t>/工日计算。</w:t>
            </w:r>
          </w:p>
          <w:p>
            <w:pPr>
              <w:pStyle w:val="null3"/>
              <w:ind w:left="360" w:firstLine="156"/>
              <w:jc w:val="both"/>
            </w:pPr>
            <w:r>
              <w:rPr>
                <w:rFonts w:ascii="仿宋_GB2312" w:hAnsi="仿宋_GB2312" w:cs="仿宋_GB2312" w:eastAsia="仿宋_GB2312"/>
                <w:sz w:val="28"/>
              </w:rPr>
              <w:t>(2).材料费:</w:t>
            </w:r>
          </w:p>
          <w:p>
            <w:pPr>
              <w:pStyle w:val="null3"/>
              <w:ind w:firstLine="537"/>
              <w:jc w:val="both"/>
            </w:pPr>
            <w:r>
              <w:rPr>
                <w:rFonts w:ascii="仿宋_GB2312" w:hAnsi="仿宋_GB2312" w:cs="仿宋_GB2312" w:eastAsia="仿宋_GB2312"/>
                <w:sz w:val="28"/>
              </w:rPr>
              <w:t>材料价格依据汉中市建设工程造价信息</w:t>
            </w:r>
            <w:r>
              <w:rPr>
                <w:rFonts w:ascii="仿宋_GB2312" w:hAnsi="仿宋_GB2312" w:cs="仿宋_GB2312" w:eastAsia="仿宋_GB2312"/>
                <w:sz w:val="28"/>
              </w:rPr>
              <w:t>2</w:t>
            </w:r>
            <w:r>
              <w:rPr>
                <w:rFonts w:ascii="仿宋_GB2312" w:hAnsi="仿宋_GB2312" w:cs="仿宋_GB2312" w:eastAsia="仿宋_GB2312"/>
                <w:sz w:val="28"/>
              </w:rPr>
              <w:t>026</w:t>
            </w:r>
            <w:r>
              <w:rPr>
                <w:rFonts w:ascii="仿宋_GB2312" w:hAnsi="仿宋_GB2312" w:cs="仿宋_GB2312" w:eastAsia="仿宋_GB2312"/>
                <w:sz w:val="28"/>
              </w:rPr>
              <w:t>年第</w:t>
            </w:r>
            <w:r>
              <w:rPr>
                <w:rFonts w:ascii="仿宋_GB2312" w:hAnsi="仿宋_GB2312" w:cs="仿宋_GB2312" w:eastAsia="仿宋_GB2312"/>
                <w:sz w:val="28"/>
              </w:rPr>
              <w:t>4</w:t>
            </w:r>
            <w:r>
              <w:rPr>
                <w:rFonts w:ascii="仿宋_GB2312" w:hAnsi="仿宋_GB2312" w:cs="仿宋_GB2312" w:eastAsia="仿宋_GB2312"/>
                <w:sz w:val="28"/>
              </w:rPr>
              <w:t>期</w:t>
            </w:r>
            <w:r>
              <w:rPr>
                <w:rFonts w:ascii="仿宋_GB2312" w:hAnsi="仿宋_GB2312" w:cs="仿宋_GB2312" w:eastAsia="仿宋_GB2312"/>
                <w:sz w:val="28"/>
              </w:rPr>
              <w:t>镇巴县</w:t>
            </w:r>
            <w:r>
              <w:rPr>
                <w:rFonts w:ascii="仿宋_GB2312" w:hAnsi="仿宋_GB2312" w:cs="仿宋_GB2312" w:eastAsia="仿宋_GB2312"/>
                <w:sz w:val="28"/>
              </w:rPr>
              <w:t>材料价格信息及市场询价</w:t>
            </w:r>
            <w:r>
              <w:rPr>
                <w:rFonts w:ascii="仿宋_GB2312" w:hAnsi="仿宋_GB2312" w:cs="仿宋_GB2312" w:eastAsia="仿宋_GB2312"/>
                <w:sz w:val="28"/>
              </w:rPr>
              <w:t>，</w:t>
            </w:r>
            <w:r>
              <w:rPr>
                <w:rFonts w:ascii="仿宋_GB2312" w:hAnsi="仿宋_GB2312" w:cs="仿宋_GB2312" w:eastAsia="仿宋_GB2312"/>
                <w:sz w:val="28"/>
              </w:rPr>
              <w:t>其中粗砂采用西乡砂，材料价含西乡至工地</w:t>
            </w:r>
            <w:r>
              <w:rPr>
                <w:rFonts w:ascii="仿宋_GB2312" w:hAnsi="仿宋_GB2312" w:cs="仿宋_GB2312" w:eastAsia="仿宋_GB2312"/>
                <w:sz w:val="28"/>
              </w:rPr>
              <w:t>85KM运距，，水泥含镇巴至工地45KM运距。</w:t>
            </w:r>
          </w:p>
          <w:p>
            <w:pPr>
              <w:pStyle w:val="null3"/>
              <w:ind w:firstLine="537"/>
              <w:jc w:val="both"/>
            </w:pPr>
            <w:r>
              <w:rPr>
                <w:rFonts w:ascii="仿宋_GB2312" w:hAnsi="仿宋_GB2312" w:cs="仿宋_GB2312" w:eastAsia="仿宋_GB2312"/>
                <w:sz w:val="28"/>
              </w:rPr>
              <w:t>2、其它直接费</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基本措施费按陕南地区计入</w:t>
            </w:r>
            <w:r>
              <w:rPr>
                <w:rFonts w:ascii="仿宋_GB2312" w:hAnsi="仿宋_GB2312" w:cs="仿宋_GB2312" w:eastAsia="仿宋_GB2312"/>
                <w:sz w:val="28"/>
                <w:color w:val="000000"/>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风沙地区施工不计</w:t>
            </w:r>
            <w:r>
              <w:rPr>
                <w:rFonts w:ascii="仿宋_GB2312" w:hAnsi="仿宋_GB2312" w:cs="仿宋_GB2312" w:eastAsia="仿宋_GB2312"/>
                <w:sz w:val="28"/>
                <w:color w:val="000000"/>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行车干扰按</w:t>
            </w:r>
            <w:r>
              <w:rPr>
                <w:rFonts w:ascii="仿宋_GB2312" w:hAnsi="仿宋_GB2312" w:cs="仿宋_GB2312" w:eastAsia="仿宋_GB2312"/>
                <w:sz w:val="28"/>
              </w:rPr>
              <w:t>500以下计入</w:t>
            </w:r>
            <w:r>
              <w:rPr>
                <w:rFonts w:ascii="仿宋_GB2312" w:hAnsi="仿宋_GB2312" w:cs="仿宋_GB2312" w:eastAsia="仿宋_GB2312"/>
                <w:sz w:val="28"/>
                <w:color w:val="000000"/>
              </w:rPr>
              <w:t>；</w:t>
            </w:r>
          </w:p>
          <w:p>
            <w:pPr>
              <w:pStyle w:val="null3"/>
              <w:ind w:firstLine="537"/>
              <w:jc w:val="both"/>
            </w:pPr>
            <w:r>
              <w:rPr>
                <w:rFonts w:ascii="仿宋_GB2312" w:hAnsi="仿宋_GB2312" w:cs="仿宋_GB2312" w:eastAsia="仿宋_GB2312"/>
                <w:sz w:val="28"/>
              </w:rPr>
              <w:t>3、间接费</w:t>
            </w:r>
          </w:p>
          <w:p>
            <w:pPr>
              <w:pStyle w:val="null3"/>
              <w:ind w:firstLine="537"/>
              <w:jc w:val="both"/>
            </w:pPr>
            <w:r>
              <w:rPr>
                <w:rFonts w:ascii="仿宋_GB2312" w:hAnsi="仿宋_GB2312" w:cs="仿宋_GB2312" w:eastAsia="仿宋_GB2312"/>
                <w:sz w:val="28"/>
              </w:rPr>
              <w:t>(1).规费：</w:t>
            </w:r>
            <w:r>
              <w:rPr>
                <w:rFonts w:ascii="仿宋_GB2312" w:hAnsi="仿宋_GB2312" w:cs="仿宋_GB2312" w:eastAsia="仿宋_GB2312"/>
                <w:sz w:val="28"/>
              </w:rPr>
              <w:t>按规定计取。</w:t>
            </w:r>
          </w:p>
          <w:p>
            <w:pPr>
              <w:pStyle w:val="null3"/>
              <w:ind w:firstLine="537"/>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).利润、税金按规定计取。</w:t>
            </w:r>
          </w:p>
          <w:p>
            <w:pPr>
              <w:pStyle w:val="null3"/>
            </w:pPr>
            <w:r>
              <w:rPr>
                <w:rFonts w:ascii="仿宋_GB2312" w:hAnsi="仿宋_GB2312" w:cs="仿宋_GB2312" w:eastAsia="仿宋_GB2312"/>
                <w:sz w:val="28"/>
              </w:rPr>
              <w:t xml:space="preserve">   （3）.增值税按照9%计取。</w:t>
            </w:r>
          </w:p>
          <w:p>
            <w:pPr>
              <w:pStyle w:val="null3"/>
              <w:ind w:firstLine="630"/>
              <w:jc w:val="both"/>
            </w:pPr>
            <w:r>
              <w:rPr>
                <w:rFonts w:ascii="仿宋_GB2312" w:hAnsi="仿宋_GB2312" w:cs="仿宋_GB2312" w:eastAsia="仿宋_GB2312"/>
                <w:sz w:val="28"/>
              </w:rPr>
              <w:t>四、有关情况说明</w:t>
            </w:r>
          </w:p>
          <w:p>
            <w:pPr>
              <w:pStyle w:val="null3"/>
              <w:ind w:firstLine="630"/>
              <w:jc w:val="both"/>
            </w:pPr>
            <w:r>
              <w:rPr>
                <w:rFonts w:ascii="仿宋_GB2312" w:hAnsi="仿宋_GB2312" w:cs="仿宋_GB2312" w:eastAsia="仿宋_GB2312"/>
                <w:sz w:val="28"/>
              </w:rPr>
              <w:t>1、建筑工程一切险按100-1100章合计(不含保险费及安全生产费)*0.3%计算；</w:t>
            </w:r>
          </w:p>
          <w:p>
            <w:pPr>
              <w:pStyle w:val="null3"/>
              <w:ind w:firstLine="630"/>
              <w:jc w:val="both"/>
            </w:pPr>
            <w:r>
              <w:rPr>
                <w:rFonts w:ascii="仿宋_GB2312" w:hAnsi="仿宋_GB2312" w:cs="仿宋_GB2312" w:eastAsia="仿宋_GB2312"/>
                <w:sz w:val="28"/>
              </w:rPr>
              <w:t>2、第三者责任险按100-1100章合计(不含保险费及安全生产费)*0.1%计算；</w:t>
            </w:r>
          </w:p>
          <w:p>
            <w:pPr>
              <w:pStyle w:val="null3"/>
              <w:ind w:firstLine="630"/>
              <w:jc w:val="both"/>
            </w:pPr>
            <w:r>
              <w:rPr>
                <w:rFonts w:ascii="仿宋_GB2312" w:hAnsi="仿宋_GB2312" w:cs="仿宋_GB2312" w:eastAsia="仿宋_GB2312"/>
                <w:sz w:val="28"/>
              </w:rPr>
              <w:t>3、人生意外险按100-1100章合计(不含保险费及安全生产费)*0.15%计算；</w:t>
            </w:r>
          </w:p>
          <w:p>
            <w:pPr>
              <w:pStyle w:val="null3"/>
              <w:ind w:firstLine="630"/>
              <w:jc w:val="both"/>
            </w:pPr>
            <w:r>
              <w:rPr>
                <w:rFonts w:ascii="仿宋_GB2312" w:hAnsi="仿宋_GB2312" w:cs="仿宋_GB2312" w:eastAsia="仿宋_GB2312"/>
                <w:sz w:val="28"/>
              </w:rPr>
              <w:t>4、安全生产费按100-1100章合计(不含保险费及安全生产费)*1.5%计算；</w:t>
            </w:r>
          </w:p>
          <w:p>
            <w:pPr>
              <w:pStyle w:val="null3"/>
              <w:jc w:val="both"/>
            </w:pPr>
            <w:r>
              <w:rPr>
                <w:rFonts w:ascii="仿宋_GB2312" w:hAnsi="仿宋_GB2312" w:cs="仿宋_GB2312" w:eastAsia="仿宋_GB2312"/>
                <w:sz w:val="28"/>
              </w:rPr>
              <w:t xml:space="preserve">  五</w:t>
            </w:r>
            <w:r>
              <w:rPr>
                <w:rFonts w:ascii="仿宋_GB2312" w:hAnsi="仿宋_GB2312" w:cs="仿宋_GB2312" w:eastAsia="仿宋_GB2312"/>
                <w:sz w:val="28"/>
              </w:rPr>
              <w:t>、</w:t>
            </w:r>
            <w:r>
              <w:rPr>
                <w:rFonts w:ascii="仿宋_GB2312" w:hAnsi="仿宋_GB2312" w:cs="仿宋_GB2312" w:eastAsia="仿宋_GB2312"/>
                <w:sz w:val="28"/>
              </w:rPr>
              <w:t>最高限价</w:t>
            </w:r>
          </w:p>
          <w:p>
            <w:pPr>
              <w:pStyle w:val="null3"/>
              <w:jc w:val="both"/>
            </w:pPr>
            <w:r>
              <w:rPr>
                <w:rFonts w:ascii="仿宋_GB2312" w:hAnsi="仿宋_GB2312" w:cs="仿宋_GB2312" w:eastAsia="仿宋_GB2312"/>
                <w:sz w:val="28"/>
              </w:rPr>
              <w:t xml:space="preserve">  最高限价</w:t>
            </w:r>
            <w:r>
              <w:rPr>
                <w:rFonts w:ascii="仿宋_GB2312" w:hAnsi="仿宋_GB2312" w:cs="仿宋_GB2312" w:eastAsia="仿宋_GB2312"/>
                <w:sz w:val="28"/>
              </w:rPr>
              <w:t>金额</w:t>
            </w:r>
            <w:r>
              <w:rPr>
                <w:rFonts w:ascii="仿宋_GB2312" w:hAnsi="仿宋_GB2312" w:cs="仿宋_GB2312" w:eastAsia="仿宋_GB2312"/>
                <w:sz w:val="28"/>
              </w:rPr>
              <w:t>：</w:t>
            </w:r>
            <w:r>
              <w:rPr>
                <w:rFonts w:ascii="仿宋_GB2312" w:hAnsi="仿宋_GB2312" w:cs="仿宋_GB2312" w:eastAsia="仿宋_GB2312"/>
                <w:sz w:val="28"/>
              </w:rPr>
              <w:t xml:space="preserve">545161.00 </w:t>
            </w:r>
            <w:r>
              <w:rPr>
                <w:rFonts w:ascii="仿宋_GB2312" w:hAnsi="仿宋_GB2312" w:cs="仿宋_GB2312" w:eastAsia="仿宋_GB2312"/>
                <w:sz w:val="28"/>
              </w:rPr>
              <w:t>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1、工期：90日历天； 2、质量：交工验收的质量评定：合格； 竣工验收的质量评定：合格； 其他技术要求详见本工程施工图纸和工程量清单。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提供汉中市政府采购供应商资格承诺函或相关证明文件，供应商需在项目电子化交易系统中按要求上传相应证明文件并进行电子签章。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报价函 响应函 供应商应提交的相关资格证明材料(1).pdf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供应商具有行政主管部门核发的公路工程施工总承包三级（含三级）及以上资质，且具有有效的安全生产许可证，供应商需在项目电子化交易系统中按要求上传相应证明文件并进行电子签章；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拟派项目经理须具备公路工程专业二级（含二级）以上注册建造师资格和安全生产考核合格B证，且无在建项目，供应商需在项目电子化交易系统中按要求上传相应证明文件并进行电子签章；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项目经理简历表.pdf 供应商应提交的相关资格证明材料(1).pdf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本项目专门面向中小企业采购，投标人应提供中小企业声明函，供应商需在项目电子化交易系统中按要求上传相应证明文件并进行电子签章；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工期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 xml:space="preserve"> 符合磋商文件的要求</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 xml:space="preserve"> 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 xml:space="preserve"> 由投标人的法定代表人或其委托代理人在正文内容有要求的位置按要求签字或盖章，并逐页加盖投标单位公章（本页正文内容已加盖单位公章的除外）</w:t>
            </w:r>
          </w:p>
        </w:tc>
        <w:tc>
          <w:tcPr>
            <w:tcW w:type="dxa" w:w="1661"/>
          </w:tcPr>
          <w:p>
            <w:pPr>
              <w:pStyle w:val="null3"/>
            </w:pPr>
            <w:r>
              <w:rPr>
                <w:rFonts w:ascii="仿宋_GB2312" w:hAnsi="仿宋_GB2312" w:cs="仿宋_GB2312" w:eastAsia="仿宋_GB2312"/>
              </w:rPr>
              <w:t>已标价工程量清单 中小企业声明函 供应商承诺书.pdf 供应商应提交的相关资格证明材料(1).pdf 响应文件封面 技术响应方案.docx 残疾人福利性单位声明函 报价函 项目经理简历表.pdf 标的清单 拟投入本项目人员配置情况表.pdf 供应商类似项目业绩一览表 响应函 供应商认为需要提供的其他内容.pdf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 xml:space="preserve"> 其他内容</w:t>
            </w:r>
          </w:p>
        </w:tc>
        <w:tc>
          <w:tcPr>
            <w:tcW w:type="dxa" w:w="3322"/>
          </w:tcPr>
          <w:p>
            <w:pPr>
              <w:pStyle w:val="null3"/>
            </w:pPr>
            <w:r>
              <w:rPr>
                <w:rFonts w:ascii="仿宋_GB2312" w:hAnsi="仿宋_GB2312" w:cs="仿宋_GB2312" w:eastAsia="仿宋_GB2312"/>
              </w:rPr>
              <w:t>法律、规章、规范性文件和磋商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已标价工程量清单 中小企业声明函 供应商承诺书.pdf 供应商应提交的相关资格证明材料(1).pdf 响应文件封面 技术响应方案.docx 残疾人福利性单位声明函 报价函 项目经理简历表.pdf 标的清单 拟投入本项目人员配置情况表.pdf 供应商类似项目业绩一览表 响应函 供应商认为需要提供的其他内容.pdf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②施工进度安排；③施工方法；④重点难点工程分析及解决措施；⑤影响正常施工外在因素分析及对应预案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图；②岗位安排及职责，班子人员需提供相关证书、身份证及本单位社保缴费证明（近六个月内任意3个月），未提供不得分；③相应的管理制度及措施。评审标准:各项内容全面详细、阐述条理清晰详尽、符合本项目采购需求、能有效保障本项目实施得6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项目经理简历表.pdf</w:t>
            </w:r>
          </w:p>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拟投入本项目人员配置情况表.pdf</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质量管理工作流程；②工程质量保障方案；③工程质量控制体系；④材料和构配件的质量控制等；⑤施工检测及工序交验方案等。评审标准:各项内容全面详细、阐述条理清晰详尽、符合本项目采购需求、能有效保障本项目实施得10分；每缺一项扣2分，每一项内容存在缺陷，扣1分，扣完为止。 备注:缺陷是指内容过于简单、不完善、前后表述不一致套用其他项目方案或与项目需求不匹配 、凭空编造、出现常识性错误及其他不利于项目实施等任意一种情形。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 能有效保障本项目实施得10分；每缺一项扣2分，每一项内容存在缺陷，扣1分，扣完为止。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内容包括但不限于①文明及环境保护体系及管理制度: ；②文明施工及环境保护相关措施 （防尘降噪、节能减排）等。评审标准：各项内容全面详细、阐述条理清晰详尽、符合本项目采购需求、能有效保障本项目实施得4分:每缺一项扣2分， 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内容包括但不限于①进度安排计划 ; ②工期目标控制；③确保工期的有效措施；④材料供应措施；⑤成品、半成品保护监管措施等。评审标准:各项内容全面详细、阐述条理清晰详尽、符合本项目采购需求、 能有效保障本项目实施得5分:每缺一项扣1分，每一项内容存在缺陷，扣0.5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施工机械设备和材料投入计划、劳动力安排计划</w:t>
            </w:r>
          </w:p>
        </w:tc>
        <w:tc>
          <w:tcPr>
            <w:tcW w:type="dxa" w:w="2492"/>
          </w:tcPr>
          <w:p>
            <w:pPr>
              <w:pStyle w:val="null3"/>
            </w:pPr>
            <w:r>
              <w:rPr>
                <w:rFonts w:ascii="仿宋_GB2312" w:hAnsi="仿宋_GB2312" w:cs="仿宋_GB2312" w:eastAsia="仿宋_GB2312"/>
              </w:rPr>
              <w:t>内容包括但不限于①施工机械设备和材料投入计划；②施工机械设备和材料保障措施；③劳动力投入计划；④劳动力保障措施等。评审标准：各项内容全面详细 、阐述条理清晰详尽、符合本项目采购需求、能有效保障本项目实施得4分；每缺一项扣1.0分，每一项内容存在缺陷，扣0.5分，扣完为止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拟投入本项目人员配置情况表.pdf</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 评审依据： 以申请人职称原件或电子证件为准 ； 2、具有3年（含）及以上类似工程施工工作经验得2分（以执业资格证或建造师注册证书发证时间为准），3年以下的得1分；评审依据：以申请人加盖公章的执业资格证或建造师注册证书发证时间为准； 3、至少提供2023年1月1日至今类似业绩证明，得2分。 (注：业绩须是供应商项目经理完成的公路工程同类施工业绩，提供中标通知书、协议书（合同）或完工证明或竣工验收证明原件或加盖公章的复印件等其他合法证明材料，否则不得分。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项目经理简历表.pdf</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月1日至今完成的类似业绩证明，每提供一份得2分，最高得5分； 注：业绩须是供应商完成的公路工程同类施工业绩，提供中标通知书、协议书（合同）或完工证明或竣工验收证明原件或加盖公章的复印件等其他合法证明材料，否则不作为加分项。其次 , 项目经理业绩不能同时作为企业业绩重复使用，否则不得分。如若重复，算作企业业绩得分。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即满足招标文件要求且投标价格最低(通过异常低价审查)的报价为评标基准价，其价格分为满分。其他供应商的价格分统一按照下列公式计算:价格分=(评标基准价/投标报价)x40 。注:本项目专门面向中小企业采购，评审时不再进行价格扣除。价格得分以供应商最后报价为计算依据，结果四舍五入保留小数点后两位。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详见附件：供应商应提交的相关资格证明材料(1).pdf</w:t>
      </w:r>
    </w:p>
    <w:p>
      <w:pPr>
        <w:pStyle w:val="null3"/>
        <w:ind w:firstLine="960"/>
      </w:pPr>
      <w:r>
        <w:rPr>
          <w:rFonts w:ascii="仿宋_GB2312" w:hAnsi="仿宋_GB2312" w:cs="仿宋_GB2312" w:eastAsia="仿宋_GB2312"/>
        </w:rPr>
        <w:t>详见附件：供应商承诺书.pdf</w:t>
      </w:r>
    </w:p>
    <w:p>
      <w:pPr>
        <w:pStyle w:val="null3"/>
        <w:ind w:firstLine="960"/>
      </w:pPr>
      <w:r>
        <w:rPr>
          <w:rFonts w:ascii="仿宋_GB2312" w:hAnsi="仿宋_GB2312" w:cs="仿宋_GB2312" w:eastAsia="仿宋_GB2312"/>
        </w:rPr>
        <w:t>详见附件：供应商认为需要提供的其他内容.pdf</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详见附件：拟投入本项目人员配置情况表.pdf</w:t>
      </w:r>
    </w:p>
    <w:p>
      <w:pPr>
        <w:pStyle w:val="null3"/>
        <w:ind w:firstLine="960"/>
      </w:pPr>
      <w:r>
        <w:rPr>
          <w:rFonts w:ascii="仿宋_GB2312" w:hAnsi="仿宋_GB2312" w:cs="仿宋_GB2312" w:eastAsia="仿宋_GB2312"/>
        </w:rPr>
        <w:t>详见附件：项目经理简历表.pdf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详见附件：公路采购合同.docx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