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版本号：HZ-J2026051C20260806001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2026-2027学年南郑区江南幼儿园等学校蔬菜、辅料等食材配送采购项目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HZ-J2026051C</w:t>
      </w:r>
      <w:r>
        <w:br/>
      </w:r>
      <w:r>
        <w:br/>
      </w:r>
      <w:r>
        <w:br/>
      </w:r>
    </w:p>
    <w:p>
      <w:pPr>
        <w:pStyle w:val="null3"/>
        <w:jc w:val="center"/>
        <w:outlineLvl w:val="2"/>
      </w:pPr>
      <w:r>
        <w:rPr>
          <w:rFonts w:ascii="仿宋_GB2312" w:hAnsi="仿宋_GB2312" w:cs="仿宋_GB2312" w:eastAsia="仿宋_GB2312"/>
          <w:sz w:val="28"/>
          <w:b/>
        </w:rPr>
        <w:t>汉中市南郑区江南幼儿园</w:t>
      </w:r>
    </w:p>
    <w:p>
      <w:pPr>
        <w:pStyle w:val="null3"/>
        <w:jc w:val="center"/>
        <w:outlineLvl w:val="2"/>
      </w:pPr>
      <w:r>
        <w:rPr>
          <w:rFonts w:ascii="仿宋_GB2312" w:hAnsi="仿宋_GB2312" w:cs="仿宋_GB2312" w:eastAsia="仿宋_GB2312"/>
          <w:sz w:val="28"/>
          <w:b/>
        </w:rPr>
        <w:t>陕西汉正项目管理有限公司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陕西汉正项目管理有限公司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汉中市南郑区江南幼儿园</w:t>
      </w:r>
      <w:r>
        <w:rPr>
          <w:rFonts w:ascii="仿宋_GB2312" w:hAnsi="仿宋_GB2312" w:cs="仿宋_GB2312" w:eastAsia="仿宋_GB2312"/>
        </w:rPr>
        <w:t>委托，拟对</w:t>
      </w:r>
      <w:r>
        <w:rPr>
          <w:rFonts w:ascii="仿宋_GB2312" w:hAnsi="仿宋_GB2312" w:cs="仿宋_GB2312" w:eastAsia="仿宋_GB2312"/>
        </w:rPr>
        <w:t>2026-2027学年南郑区江南幼儿园等学校蔬菜、辅料等食材配送采购项目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HZ-J2026051C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2026-2027学年南郑区江南幼儿园等学校蔬菜、辅料等食材配送采购项目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2026-2027学年南郑区江南幼儿园等学校蔬菜、辅料等食材配送采购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采购包1（2026-2027学年南郑区江南幼儿园等学校蔬菜、辅料等食材配送采购项目）：属于专门面向中小企业采购。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。供应商需提供《汉中市政府采购供应商资格承诺函》。（材料应清晰可辨并进行电子签章）</w:t>
      </w:r>
    </w:p>
    <w:p>
      <w:pPr>
        <w:pStyle w:val="null3"/>
      </w:pPr>
      <w:r>
        <w:rPr>
          <w:rFonts w:ascii="仿宋_GB2312" w:hAnsi="仿宋_GB2312" w:cs="仿宋_GB2312" w:eastAsia="仿宋_GB2312"/>
        </w:rPr>
        <w:t>3、供应商应授权合法的人员参加磋商全过程：法定代表人直接参加磋商的，须出具法人身份证（附法定代表人身份证复印件）；法定代表人授权代表参加磋商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4、供应商资格要求：供应商须提供有效期内的《食品经营许可证》。（材料应清晰可辨并进行电子签章）</w:t>
      </w:r>
    </w:p>
    <w:p>
      <w:pPr>
        <w:pStyle w:val="null3"/>
      </w:pPr>
      <w:r>
        <w:rPr>
          <w:rFonts w:ascii="仿宋_GB2312" w:hAnsi="仿宋_GB2312" w:cs="仿宋_GB2312" w:eastAsia="仿宋_GB2312"/>
        </w:rPr>
        <w:t>5、不接受联合体磋商：不接受联合体磋商，按照格式填写承诺书。（材料应清晰可辨并进行电子签章）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汉中市南郑区江南幼儿园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陕西省汉中市南郑区大河坎镇江南壹号小区南侧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15029773029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陕西汉正项目管理有限公司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 1706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029-81113631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依据《国家计委关于印发招标代理服务收费管理暂行办法的通知》（计价格〔2002〕1980号）和国家发改委办公厅颁发的《关于招标代理服务收费有关问题的通知》（发改办价格〔2003〕857号）文件规定标准收取；2.采购代理服务费缴纳账户：账户名称：陕西汉正项目管理有限公司；开户行：中国建设银行股份有限公司西安科技二路支行；账号：6105 0110 7710 0000 0926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汉中市南郑区江南幼儿园</w:t>
      </w:r>
      <w:r>
        <w:rPr>
          <w:rFonts w:ascii="仿宋_GB2312" w:hAnsi="仿宋_GB2312" w:cs="仿宋_GB2312" w:eastAsia="仿宋_GB2312"/>
        </w:rPr>
        <w:t>和</w:t>
      </w:r>
      <w:r>
        <w:rPr>
          <w:rFonts w:ascii="仿宋_GB2312" w:hAnsi="仿宋_GB2312" w:cs="仿宋_GB2312" w:eastAsia="仿宋_GB2312"/>
        </w:rPr>
        <w:t>陕西汉正项目管理有限公司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汉中市南郑区江南幼儿园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陕西汉正项目管理有限公司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汉中市南郑区江南幼儿园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陕西汉正项目管理有限公司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本项目实施过程中产生的所有知识产权归采购人所有。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按国家现行项目实施规范和合同规定的验收标准等要求进行验收。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联系人：马敏</w:t>
      </w:r>
    </w:p>
    <w:p>
      <w:pPr>
        <w:pStyle w:val="null3"/>
      </w:pPr>
      <w:r>
        <w:rPr>
          <w:rFonts w:ascii="仿宋_GB2312" w:hAnsi="仿宋_GB2312" w:cs="仿宋_GB2312" w:eastAsia="仿宋_GB2312"/>
        </w:rPr>
        <w:t>联系电话：029-81113631</w:t>
      </w:r>
    </w:p>
    <w:p>
      <w:pPr>
        <w:pStyle w:val="null3"/>
      </w:pPr>
      <w:r>
        <w:rPr>
          <w:rFonts w:ascii="仿宋_GB2312" w:hAnsi="仿宋_GB2312" w:cs="仿宋_GB2312" w:eastAsia="仿宋_GB2312"/>
        </w:rPr>
        <w:t>地址：陕西省西安市高新区科技二路71号竹园天寰国际 1706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2026-2027学年南郑区江南幼儿园等学校蔬菜、辅料等食材配送采购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学校蔬菜、辅料等食材配送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标的名称：学校蔬菜、辅料等食材配送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b/>
              </w:rPr>
              <w:t>一、项目概况</w:t>
            </w:r>
          </w:p>
          <w:p>
            <w:pPr>
              <w:pStyle w:val="null3"/>
              <w:ind w:firstLine="492"/>
              <w:jc w:val="both"/>
            </w:pPr>
            <w:r>
              <w:rPr>
                <w:rFonts w:ascii="仿宋_GB2312" w:hAnsi="仿宋_GB2312" w:cs="仿宋_GB2312" w:eastAsia="仿宋_GB2312"/>
                <w:sz w:val="24"/>
              </w:rPr>
              <w:t>供应商负责日常原材料的采购和配送，主要内容为学校所需蔬菜、辅料、水果、干杂等采购及配送服务。</w:t>
            </w:r>
          </w:p>
          <w:p>
            <w:pPr>
              <w:pStyle w:val="null3"/>
              <w:jc w:val="both"/>
            </w:pPr>
            <w:r>
              <w:rPr>
                <w:rFonts w:ascii="仿宋_GB2312" w:hAnsi="仿宋_GB2312" w:cs="仿宋_GB2312" w:eastAsia="仿宋_GB2312"/>
                <w:sz w:val="28"/>
                <w:b/>
              </w:rPr>
              <w:t>二、服务要求</w:t>
            </w:r>
          </w:p>
          <w:p>
            <w:pPr>
              <w:pStyle w:val="null3"/>
              <w:jc w:val="both"/>
            </w:pPr>
            <w:r>
              <w:rPr>
                <w:rFonts w:ascii="仿宋_GB2312" w:hAnsi="仿宋_GB2312" w:cs="仿宋_GB2312" w:eastAsia="仿宋_GB2312"/>
                <w:sz w:val="24"/>
                <w:b/>
              </w:rPr>
              <w:t>（一）配送区域信息</w:t>
            </w:r>
          </w:p>
          <w:tbl>
            <w:tblPr>
              <w:tblBorders>
                <w:top w:val="none" w:color="000000" w:sz="4"/>
                <w:left w:val="none" w:color="000000" w:sz="4"/>
                <w:bottom w:val="none" w:color="000000" w:sz="4"/>
                <w:right w:val="none" w:color="000000" w:sz="4"/>
                <w:insideH w:val="none"/>
                <w:insideV w:val="none"/>
              </w:tblBorders>
            </w:tblPr>
            <w:tblGrid>
              <w:gridCol w:w="640"/>
              <w:gridCol w:w="1908"/>
            </w:tblGrid>
            <w:tr>
              <w:tc>
                <w:tcPr>
                  <w:tcW w:type="dxa" w:w="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配送区域</w:t>
                  </w:r>
                </w:p>
              </w:tc>
              <w:tc>
                <w:tcPr>
                  <w:tcW w:type="dxa" w:w="19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汉中市南郑区江南幼儿园、汉中市南郑区金色蓝镇幼儿园、汉中市南郑区英郦庄园幼儿园、汉中市南郑区中所中心幼儿园</w:t>
                  </w:r>
                </w:p>
              </w:tc>
            </w:tr>
          </w:tbl>
          <w:p>
            <w:pPr>
              <w:pStyle w:val="null3"/>
              <w:jc w:val="both"/>
            </w:pPr>
            <w:r>
              <w:rPr>
                <w:rFonts w:ascii="仿宋_GB2312" w:hAnsi="仿宋_GB2312" w:cs="仿宋_GB2312" w:eastAsia="仿宋_GB2312"/>
                <w:sz w:val="24"/>
                <w:b/>
              </w:rPr>
              <w:t>（二）食材要求</w:t>
            </w:r>
          </w:p>
          <w:p>
            <w:pPr>
              <w:pStyle w:val="null3"/>
              <w:ind w:firstLine="481"/>
              <w:jc w:val="both"/>
            </w:pPr>
            <w:r>
              <w:rPr>
                <w:rFonts w:ascii="仿宋_GB2312" w:hAnsi="仿宋_GB2312" w:cs="仿宋_GB2312" w:eastAsia="仿宋_GB2312"/>
                <w:sz w:val="24"/>
                <w:b/>
              </w:rPr>
              <w:t>1</w:t>
            </w:r>
            <w:r>
              <w:rPr>
                <w:rFonts w:ascii="仿宋_GB2312" w:hAnsi="仿宋_GB2312" w:cs="仿宋_GB2312" w:eastAsia="仿宋_GB2312"/>
                <w:sz w:val="24"/>
                <w:b/>
              </w:rPr>
              <w:t>.原材料质量标准</w:t>
            </w:r>
          </w:p>
          <w:p>
            <w:pPr>
              <w:pStyle w:val="null3"/>
            </w:pPr>
            <w:r>
              <w:rPr>
                <w:rFonts w:ascii="仿宋_GB2312" w:hAnsi="仿宋_GB2312" w:cs="仿宋_GB2312" w:eastAsia="仿宋_GB2312"/>
                <w:sz w:val="24"/>
              </w:rPr>
              <w:t>（</w:t>
            </w:r>
            <w:r>
              <w:rPr>
                <w:rFonts w:ascii="仿宋_GB2312" w:hAnsi="仿宋_GB2312" w:cs="仿宋_GB2312" w:eastAsia="仿宋_GB2312"/>
                <w:sz w:val="24"/>
              </w:rPr>
              <w:t>1）采购预包装的食品时，禁止采购“三无”产品，即无“生产日期、保质期或有效食用截止日期、生产厂家”，三者缺一不可。</w:t>
            </w:r>
          </w:p>
          <w:p>
            <w:pPr>
              <w:pStyle w:val="null3"/>
            </w:pPr>
            <w:r>
              <w:rPr>
                <w:rFonts w:ascii="仿宋_GB2312" w:hAnsi="仿宋_GB2312" w:cs="仿宋_GB2312" w:eastAsia="仿宋_GB2312"/>
                <w:sz w:val="24"/>
              </w:rPr>
              <w:t>（</w:t>
            </w:r>
            <w:r>
              <w:rPr>
                <w:rFonts w:ascii="仿宋_GB2312" w:hAnsi="仿宋_GB2312" w:cs="仿宋_GB2312" w:eastAsia="仿宋_GB2312"/>
                <w:sz w:val="24"/>
              </w:rPr>
              <w:t>2）蔬菜类标准：</w:t>
            </w:r>
          </w:p>
          <w:p>
            <w:pPr>
              <w:pStyle w:val="null3"/>
              <w:ind w:firstLine="483"/>
              <w:jc w:val="left"/>
            </w:pPr>
            <w:r>
              <w:rPr>
                <w:rFonts w:ascii="仿宋_GB2312" w:hAnsi="仿宋_GB2312" w:cs="仿宋_GB2312" w:eastAsia="仿宋_GB2312"/>
                <w:sz w:val="24"/>
              </w:rPr>
              <w:t>①蔬菜要求为新鲜、安全、成熟度适中的无公害产品，无烂枯叶、黄叶、霉变、腐烂、异味、萎蔫、枯塌、损伤、病变、虫害侵蚀等；②按要求去皮、去壳、去叶、去泥等；③农残要求符合 GB 2763-2026《</w:t>
            </w:r>
            <w:r>
              <w:rPr>
                <w:rFonts w:ascii="仿宋_GB2312" w:hAnsi="仿宋_GB2312" w:cs="仿宋_GB2312" w:eastAsia="仿宋_GB2312"/>
                <w:sz w:val="24"/>
              </w:rPr>
              <w:t>食品安全国家标准</w:t>
            </w:r>
            <w:r>
              <w:rPr>
                <w:rFonts w:ascii="仿宋_GB2312" w:hAnsi="仿宋_GB2312" w:cs="仿宋_GB2312" w:eastAsia="仿宋_GB2312"/>
                <w:sz w:val="24"/>
                <w:b/>
              </w:rPr>
              <w:t xml:space="preserve"> </w:t>
            </w:r>
            <w:r>
              <w:rPr>
                <w:rFonts w:ascii="仿宋_GB2312" w:hAnsi="仿宋_GB2312" w:cs="仿宋_GB2312" w:eastAsia="仿宋_GB2312"/>
                <w:sz w:val="24"/>
              </w:rPr>
              <w:t>食品中农药最大残留限量》中最大</w:t>
            </w:r>
            <w:r>
              <w:rPr>
                <w:rFonts w:ascii="仿宋_GB2312" w:hAnsi="仿宋_GB2312" w:cs="仿宋_GB2312" w:eastAsia="仿宋_GB2312"/>
                <w:sz w:val="24"/>
              </w:rPr>
              <w:t>限量标准，重金属要求符合</w:t>
            </w:r>
            <w:r>
              <w:rPr>
                <w:rFonts w:ascii="仿宋_GB2312" w:hAnsi="仿宋_GB2312" w:cs="仿宋_GB2312" w:eastAsia="仿宋_GB2312"/>
                <w:sz w:val="24"/>
              </w:rPr>
              <w:t>GB 2762-2022/2025《</w:t>
            </w:r>
            <w:r>
              <w:rPr>
                <w:rFonts w:ascii="仿宋_GB2312" w:hAnsi="仿宋_GB2312" w:cs="仿宋_GB2312" w:eastAsia="仿宋_GB2312"/>
                <w:sz w:val="24"/>
              </w:rPr>
              <w:t>食品安全国家标准</w:t>
            </w:r>
            <w:r>
              <w:rPr>
                <w:rFonts w:ascii="仿宋_GB2312" w:hAnsi="仿宋_GB2312" w:cs="仿宋_GB2312" w:eastAsia="仿宋_GB2312"/>
                <w:sz w:val="24"/>
              </w:rPr>
              <w:t>食品中污染物限量》</w:t>
            </w:r>
            <w:r>
              <w:rPr>
                <w:rFonts w:ascii="仿宋_GB2312" w:hAnsi="仿宋_GB2312" w:cs="仿宋_GB2312" w:eastAsia="仿宋_GB2312"/>
                <w:sz w:val="24"/>
              </w:rPr>
              <w:t>。检验项目及标准如下：蔬菜中重金属、农药等有害物质最大限量。</w:t>
            </w:r>
          </w:p>
          <w:p>
            <w:pPr>
              <w:pStyle w:val="null3"/>
              <w:ind w:firstLine="365"/>
              <w:jc w:val="both"/>
            </w:pPr>
            <w:r>
              <w:rPr>
                <w:rFonts w:ascii="仿宋_GB2312" w:hAnsi="仿宋_GB2312" w:cs="仿宋_GB2312" w:eastAsia="仿宋_GB2312"/>
                <w:sz w:val="24"/>
              </w:rPr>
              <w:t>表</w:t>
            </w:r>
            <w:r>
              <w:rPr>
                <w:rFonts w:ascii="仿宋_GB2312" w:hAnsi="仿宋_GB2312" w:cs="仿宋_GB2312" w:eastAsia="仿宋_GB2312"/>
                <w:sz w:val="24"/>
              </w:rPr>
              <w:t>1：</w:t>
            </w:r>
            <w:r>
              <w:rPr>
                <w:rFonts w:ascii="仿宋_GB2312" w:hAnsi="仿宋_GB2312" w:cs="仿宋_GB2312" w:eastAsia="仿宋_GB2312"/>
                <w:sz w:val="24"/>
              </w:rPr>
              <w:t>重金属及有害物质限量</w:t>
            </w:r>
          </w:p>
          <w:tbl>
            <w:tblPr>
              <w:tblBorders>
                <w:top w:val="none" w:color="000000" w:sz="4"/>
                <w:left w:val="none" w:color="000000" w:sz="4"/>
                <w:bottom w:val="none" w:color="000000" w:sz="4"/>
                <w:right w:val="none" w:color="000000" w:sz="4"/>
                <w:insideH w:val="none"/>
                <w:insideV w:val="none"/>
              </w:tblBorders>
            </w:tblPr>
            <w:tblGrid>
              <w:gridCol w:w="597"/>
              <w:gridCol w:w="1951"/>
            </w:tblGrid>
            <w:tr>
              <w:tc>
                <w:tcPr>
                  <w:tcW w:type="dxa" w:w="5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45"/>
                  </w:pPr>
                  <w:r>
                    <w:rPr>
                      <w:rFonts w:ascii="仿宋_GB2312" w:hAnsi="仿宋_GB2312" w:cs="仿宋_GB2312" w:eastAsia="仿宋_GB2312"/>
                      <w:sz w:val="24"/>
                    </w:rPr>
                    <w:t>项目</w:t>
                  </w:r>
                </w:p>
              </w:tc>
              <w:tc>
                <w:tcPr>
                  <w:tcW w:type="dxa" w:w="19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60"/>
                  </w:pPr>
                  <w:r>
                    <w:rPr>
                      <w:rFonts w:ascii="仿宋_GB2312" w:hAnsi="仿宋_GB2312" w:cs="仿宋_GB2312" w:eastAsia="仿宋_GB2312"/>
                      <w:sz w:val="24"/>
                    </w:rPr>
                    <w:t>指标</w:t>
                  </w:r>
                  <w:r>
                    <w:rPr>
                      <w:rFonts w:ascii="仿宋_GB2312" w:hAnsi="仿宋_GB2312" w:cs="仿宋_GB2312" w:eastAsia="仿宋_GB2312"/>
                      <w:sz w:val="24"/>
                    </w:rPr>
                    <w:t>（</w:t>
                  </w:r>
                  <w:r>
                    <w:rPr>
                      <w:rFonts w:ascii="仿宋_GB2312" w:hAnsi="仿宋_GB2312" w:cs="仿宋_GB2312" w:eastAsia="仿宋_GB2312"/>
                      <w:sz w:val="24"/>
                    </w:rPr>
                    <w:t>mg/kg）</w:t>
                  </w:r>
                </w:p>
              </w:tc>
            </w:tr>
            <w:tr>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60"/>
                  </w:pPr>
                  <w:r>
                    <w:rPr>
                      <w:rFonts w:ascii="仿宋_GB2312" w:hAnsi="仿宋_GB2312" w:cs="仿宋_GB2312" w:eastAsia="仿宋_GB2312"/>
                      <w:sz w:val="24"/>
                    </w:rPr>
                    <w:t>汞（</w:t>
                  </w:r>
                  <w:r>
                    <w:rPr>
                      <w:rFonts w:ascii="仿宋_GB2312" w:hAnsi="仿宋_GB2312" w:cs="仿宋_GB2312" w:eastAsia="仿宋_GB2312"/>
                      <w:sz w:val="24"/>
                    </w:rPr>
                    <w:t>以</w:t>
                  </w:r>
                  <w:r>
                    <w:rPr>
                      <w:rFonts w:ascii="仿宋_GB2312" w:hAnsi="仿宋_GB2312" w:cs="仿宋_GB2312" w:eastAsia="仿宋_GB2312"/>
                      <w:sz w:val="24"/>
                    </w:rPr>
                    <w:t>Hg</w:t>
                  </w:r>
                  <w:r>
                    <w:rPr>
                      <w:rFonts w:ascii="仿宋_GB2312" w:hAnsi="仿宋_GB2312" w:cs="仿宋_GB2312" w:eastAsia="仿宋_GB2312"/>
                      <w:sz w:val="24"/>
                    </w:rPr>
                    <w:t xml:space="preserve"> </w:t>
                  </w:r>
                  <w:r>
                    <w:rPr>
                      <w:rFonts w:ascii="仿宋_GB2312" w:hAnsi="仿宋_GB2312" w:cs="仿宋_GB2312" w:eastAsia="仿宋_GB2312"/>
                      <w:sz w:val="24"/>
                    </w:rPr>
                    <w:t>计</w:t>
                  </w:r>
                  <w:r>
                    <w:rPr>
                      <w:rFonts w:ascii="仿宋_GB2312" w:hAnsi="仿宋_GB2312" w:cs="仿宋_GB2312" w:eastAsia="仿宋_GB2312"/>
                      <w:sz w:val="24"/>
                    </w:rPr>
                    <w:t>）</w:t>
                  </w:r>
                </w:p>
              </w:tc>
              <w:tc>
                <w:tcPr>
                  <w:tcW w:type="dxa" w:w="1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54"/>
                  </w:pPr>
                  <w:r>
                    <w:rPr>
                      <w:rFonts w:ascii="仿宋_GB2312" w:hAnsi="仿宋_GB2312" w:cs="仿宋_GB2312" w:eastAsia="仿宋_GB2312"/>
                      <w:sz w:val="24"/>
                    </w:rPr>
                    <w:t>≤0.01</w:t>
                  </w:r>
                </w:p>
              </w:tc>
            </w:tr>
            <w:tr>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60"/>
                  </w:pPr>
                  <w:r>
                    <w:rPr>
                      <w:rFonts w:ascii="仿宋_GB2312" w:hAnsi="仿宋_GB2312" w:cs="仿宋_GB2312" w:eastAsia="仿宋_GB2312"/>
                      <w:sz w:val="24"/>
                    </w:rPr>
                    <w:t>砷（</w:t>
                  </w:r>
                  <w:r>
                    <w:rPr>
                      <w:rFonts w:ascii="仿宋_GB2312" w:hAnsi="仿宋_GB2312" w:cs="仿宋_GB2312" w:eastAsia="仿宋_GB2312"/>
                      <w:sz w:val="24"/>
                    </w:rPr>
                    <w:t>以</w:t>
                  </w:r>
                  <w:r>
                    <w:rPr>
                      <w:rFonts w:ascii="仿宋_GB2312" w:hAnsi="仿宋_GB2312" w:cs="仿宋_GB2312" w:eastAsia="仿宋_GB2312"/>
                      <w:sz w:val="24"/>
                    </w:rPr>
                    <w:t>As</w:t>
                  </w:r>
                  <w:r>
                    <w:rPr>
                      <w:rFonts w:ascii="仿宋_GB2312" w:hAnsi="仿宋_GB2312" w:cs="仿宋_GB2312" w:eastAsia="仿宋_GB2312"/>
                      <w:sz w:val="24"/>
                    </w:rPr>
                    <w:t xml:space="preserve"> </w:t>
                  </w:r>
                  <w:r>
                    <w:rPr>
                      <w:rFonts w:ascii="仿宋_GB2312" w:hAnsi="仿宋_GB2312" w:cs="仿宋_GB2312" w:eastAsia="仿宋_GB2312"/>
                      <w:sz w:val="24"/>
                    </w:rPr>
                    <w:t>计</w:t>
                  </w:r>
                  <w:r>
                    <w:rPr>
                      <w:rFonts w:ascii="仿宋_GB2312" w:hAnsi="仿宋_GB2312" w:cs="仿宋_GB2312" w:eastAsia="仿宋_GB2312"/>
                      <w:sz w:val="24"/>
                    </w:rPr>
                    <w:t>）</w:t>
                  </w:r>
                </w:p>
              </w:tc>
              <w:tc>
                <w:tcPr>
                  <w:tcW w:type="dxa" w:w="1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48"/>
                  </w:pPr>
                  <w:r>
                    <w:rPr>
                      <w:rFonts w:ascii="仿宋_GB2312" w:hAnsi="仿宋_GB2312" w:cs="仿宋_GB2312" w:eastAsia="仿宋_GB2312"/>
                      <w:sz w:val="24"/>
                    </w:rPr>
                    <w:t>≤0.5</w:t>
                  </w:r>
                </w:p>
              </w:tc>
            </w:tr>
            <w:tr>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60"/>
                  </w:pPr>
                  <w:r>
                    <w:rPr>
                      <w:rFonts w:ascii="仿宋_GB2312" w:hAnsi="仿宋_GB2312" w:cs="仿宋_GB2312" w:eastAsia="仿宋_GB2312"/>
                      <w:sz w:val="24"/>
                    </w:rPr>
                    <w:t>铅（</w:t>
                  </w:r>
                  <w:r>
                    <w:rPr>
                      <w:rFonts w:ascii="仿宋_GB2312" w:hAnsi="仿宋_GB2312" w:cs="仿宋_GB2312" w:eastAsia="仿宋_GB2312"/>
                      <w:sz w:val="24"/>
                    </w:rPr>
                    <w:t>以</w:t>
                  </w:r>
                  <w:r>
                    <w:rPr>
                      <w:rFonts w:ascii="仿宋_GB2312" w:hAnsi="仿宋_GB2312" w:cs="仿宋_GB2312" w:eastAsia="仿宋_GB2312"/>
                      <w:sz w:val="24"/>
                    </w:rPr>
                    <w:t>P</w:t>
                  </w:r>
                  <w:r>
                    <w:rPr>
                      <w:rFonts w:ascii="仿宋_GB2312" w:hAnsi="仿宋_GB2312" w:cs="仿宋_GB2312" w:eastAsia="仿宋_GB2312"/>
                      <w:sz w:val="24"/>
                    </w:rPr>
                    <w:t xml:space="preserve"> </w:t>
                  </w:r>
                  <w:r>
                    <w:rPr>
                      <w:rFonts w:ascii="仿宋_GB2312" w:hAnsi="仿宋_GB2312" w:cs="仿宋_GB2312" w:eastAsia="仿宋_GB2312"/>
                      <w:sz w:val="24"/>
                    </w:rPr>
                    <w:t>计</w:t>
                  </w:r>
                  <w:r>
                    <w:rPr>
                      <w:rFonts w:ascii="仿宋_GB2312" w:hAnsi="仿宋_GB2312" w:cs="仿宋_GB2312" w:eastAsia="仿宋_GB2312"/>
                      <w:sz w:val="24"/>
                    </w:rPr>
                    <w:t>）</w:t>
                  </w:r>
                </w:p>
              </w:tc>
              <w:tc>
                <w:tcPr>
                  <w:tcW w:type="dxa" w:w="1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48"/>
                  </w:pPr>
                  <w:r>
                    <w:rPr>
                      <w:rFonts w:ascii="仿宋_GB2312" w:hAnsi="仿宋_GB2312" w:cs="仿宋_GB2312" w:eastAsia="仿宋_GB2312"/>
                      <w:sz w:val="24"/>
                    </w:rPr>
                    <w:t>新鲜蔬菜</w:t>
                  </w:r>
                  <w:r>
                    <w:rPr>
                      <w:rFonts w:ascii="仿宋_GB2312" w:hAnsi="仿宋_GB2312" w:cs="仿宋_GB2312" w:eastAsia="仿宋_GB2312"/>
                      <w:sz w:val="24"/>
                    </w:rPr>
                    <w:t>(芸薹类蔬菜、叶菜蔬菜、豆类蔬菜、生姜、薯类除外)</w:t>
                  </w:r>
                  <w:r>
                    <w:rPr>
                      <w:rFonts w:ascii="仿宋_GB2312" w:hAnsi="仿宋_GB2312" w:cs="仿宋_GB2312" w:eastAsia="仿宋_GB2312"/>
                      <w:sz w:val="24"/>
                    </w:rPr>
                    <w:t>≤0.1</w:t>
                  </w:r>
                </w:p>
                <w:p>
                  <w:pPr>
                    <w:pStyle w:val="null3"/>
                    <w:ind w:firstLine="348"/>
                  </w:pPr>
                  <w:r>
                    <w:rPr>
                      <w:rFonts w:ascii="仿宋_GB2312" w:hAnsi="仿宋_GB2312" w:cs="仿宋_GB2312" w:eastAsia="仿宋_GB2312"/>
                      <w:sz w:val="24"/>
                    </w:rPr>
                    <w:t>叶菜蔬菜</w:t>
                  </w:r>
                  <w:r>
                    <w:rPr>
                      <w:rFonts w:ascii="仿宋_GB2312" w:hAnsi="仿宋_GB2312" w:cs="仿宋_GB2312" w:eastAsia="仿宋_GB2312"/>
                      <w:sz w:val="24"/>
                    </w:rPr>
                    <w:t>≤0.3</w:t>
                  </w:r>
                </w:p>
                <w:p>
                  <w:pPr>
                    <w:pStyle w:val="null3"/>
                    <w:ind w:firstLine="348"/>
                  </w:pPr>
                  <w:r>
                    <w:rPr>
                      <w:rFonts w:ascii="仿宋_GB2312" w:hAnsi="仿宋_GB2312" w:cs="仿宋_GB2312" w:eastAsia="仿宋_GB2312"/>
                      <w:sz w:val="24"/>
                    </w:rPr>
                    <w:t>芸薹类蔬菜、豆类蔬菜、生姜、薯类</w:t>
                  </w:r>
                  <w:r>
                    <w:rPr>
                      <w:rFonts w:ascii="仿宋_GB2312" w:hAnsi="仿宋_GB2312" w:cs="仿宋_GB2312" w:eastAsia="仿宋_GB2312"/>
                      <w:sz w:val="24"/>
                    </w:rPr>
                    <w:t>≤0.2</w:t>
                  </w:r>
                </w:p>
              </w:tc>
            </w:tr>
          </w:tbl>
          <w:p>
            <w:pPr>
              <w:pStyle w:val="null3"/>
              <w:jc w:val="center"/>
            </w:pPr>
            <w:r>
              <w:rPr>
                <w:rFonts w:ascii="仿宋_GB2312" w:hAnsi="仿宋_GB2312" w:cs="仿宋_GB2312" w:eastAsia="仿宋_GB2312"/>
                <w:sz w:val="24"/>
              </w:rPr>
              <w:t>表</w:t>
            </w:r>
            <w:r>
              <w:rPr>
                <w:rFonts w:ascii="仿宋_GB2312" w:hAnsi="仿宋_GB2312" w:cs="仿宋_GB2312" w:eastAsia="仿宋_GB2312"/>
                <w:sz w:val="24"/>
              </w:rPr>
              <w:t>2：</w:t>
            </w:r>
            <w:r>
              <w:rPr>
                <w:rFonts w:ascii="仿宋_GB2312" w:hAnsi="仿宋_GB2312" w:cs="仿宋_GB2312" w:eastAsia="仿宋_GB2312"/>
                <w:sz w:val="24"/>
              </w:rPr>
              <w:t>农药最大残留限量</w:t>
            </w:r>
          </w:p>
          <w:tbl>
            <w:tblPr>
              <w:tblBorders>
                <w:top w:val="none" w:color="000000" w:sz="4"/>
                <w:left w:val="none" w:color="000000" w:sz="4"/>
                <w:bottom w:val="none" w:color="000000" w:sz="4"/>
                <w:right w:val="none" w:color="000000" w:sz="4"/>
                <w:insideH w:val="none"/>
                <w:insideV w:val="none"/>
              </w:tblBorders>
            </w:tblPr>
            <w:tblGrid>
              <w:gridCol w:w="699"/>
              <w:gridCol w:w="471"/>
              <w:gridCol w:w="518"/>
              <w:gridCol w:w="855"/>
            </w:tblGrid>
            <w:tr>
              <w:tc>
                <w:tcPr>
                  <w:tcW w:type="dxa" w:w="6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通用名称</w:t>
                  </w:r>
                </w:p>
              </w:tc>
              <w:tc>
                <w:tcPr>
                  <w:tcW w:type="dxa" w:w="4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毒性</w:t>
                  </w:r>
                </w:p>
              </w:tc>
              <w:tc>
                <w:tcPr>
                  <w:tcW w:type="dxa" w:w="5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作物</w:t>
                  </w:r>
                </w:p>
              </w:tc>
              <w:tc>
                <w:tcPr>
                  <w:tcW w:type="dxa" w:w="8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54"/>
                    <w:jc w:val="center"/>
                  </w:pPr>
                  <w:r>
                    <w:rPr>
                      <w:rFonts w:ascii="仿宋_GB2312" w:hAnsi="仿宋_GB2312" w:cs="仿宋_GB2312" w:eastAsia="仿宋_GB2312"/>
                      <w:sz w:val="24"/>
                    </w:rPr>
                    <w:t>最高残留限量（</w:t>
                  </w:r>
                  <w:r>
                    <w:rPr>
                      <w:rFonts w:ascii="仿宋_GB2312" w:hAnsi="仿宋_GB2312" w:cs="仿宋_GB2312" w:eastAsia="仿宋_GB2312"/>
                      <w:sz w:val="24"/>
                    </w:rPr>
                    <w:t>mk/kg）</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51"/>
                    <w:jc w:val="center"/>
                  </w:pPr>
                  <w:r>
                    <w:rPr>
                      <w:rFonts w:ascii="仿宋_GB2312" w:hAnsi="仿宋_GB2312" w:cs="仿宋_GB2312" w:eastAsia="仿宋_GB2312"/>
                      <w:sz w:val="24"/>
                    </w:rPr>
                    <w:t>马拉硫磷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60"/>
                    <w:jc w:val="center"/>
                  </w:pPr>
                  <w:r>
                    <w:rPr>
                      <w:rFonts w:ascii="仿宋_GB2312" w:hAnsi="仿宋_GB2312" w:cs="仿宋_GB2312" w:eastAsia="仿宋_GB2312"/>
                      <w:sz w:val="24"/>
                    </w:rPr>
                    <w:t>低</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45"/>
                    <w:jc w:val="center"/>
                  </w:pPr>
                  <w:r>
                    <w:rPr>
                      <w:rFonts w:ascii="仿宋_GB2312" w:hAnsi="仿宋_GB2312" w:cs="仿宋_GB2312" w:eastAsia="仿宋_GB2312"/>
                      <w:sz w:val="24"/>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51"/>
                    <w:jc w:val="center"/>
                  </w:pPr>
                  <w:r>
                    <w:rPr>
                      <w:rFonts w:ascii="仿宋_GB2312" w:hAnsi="仿宋_GB2312" w:cs="仿宋_GB2312" w:eastAsia="仿宋_GB2312"/>
                      <w:sz w:val="24"/>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48"/>
                    <w:jc w:val="center"/>
                  </w:pPr>
                  <w:r>
                    <w:rPr>
                      <w:rFonts w:ascii="仿宋_GB2312" w:hAnsi="仿宋_GB2312" w:cs="仿宋_GB2312" w:eastAsia="仿宋_GB2312"/>
                      <w:sz w:val="24"/>
                    </w:rPr>
                    <w:t>对硫磷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60"/>
                    <w:jc w:val="center"/>
                  </w:pPr>
                  <w:r>
                    <w:rPr>
                      <w:rFonts w:ascii="仿宋_GB2312" w:hAnsi="仿宋_GB2312" w:cs="仿宋_GB2312" w:eastAsia="仿宋_GB2312"/>
                      <w:sz w:val="24"/>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45"/>
                    <w:jc w:val="center"/>
                  </w:pPr>
                  <w:r>
                    <w:rPr>
                      <w:rFonts w:ascii="仿宋_GB2312" w:hAnsi="仿宋_GB2312" w:cs="仿宋_GB2312" w:eastAsia="仿宋_GB2312"/>
                      <w:sz w:val="24"/>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51"/>
                    <w:jc w:val="center"/>
                  </w:pPr>
                  <w:r>
                    <w:rPr>
                      <w:rFonts w:ascii="仿宋_GB2312" w:hAnsi="仿宋_GB2312" w:cs="仿宋_GB2312" w:eastAsia="仿宋_GB2312"/>
                      <w:sz w:val="24"/>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48"/>
                    <w:jc w:val="center"/>
                  </w:pPr>
                  <w:r>
                    <w:rPr>
                      <w:rFonts w:ascii="仿宋_GB2312" w:hAnsi="仿宋_GB2312" w:cs="仿宋_GB2312" w:eastAsia="仿宋_GB2312"/>
                      <w:sz w:val="24"/>
                    </w:rPr>
                    <w:t>甲拌磷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60"/>
                    <w:jc w:val="center"/>
                  </w:pPr>
                  <w:r>
                    <w:rPr>
                      <w:rFonts w:ascii="仿宋_GB2312" w:hAnsi="仿宋_GB2312" w:cs="仿宋_GB2312" w:eastAsia="仿宋_GB2312"/>
                      <w:sz w:val="24"/>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45"/>
                    <w:jc w:val="center"/>
                  </w:pPr>
                  <w:r>
                    <w:rPr>
                      <w:rFonts w:ascii="仿宋_GB2312" w:hAnsi="仿宋_GB2312" w:cs="仿宋_GB2312" w:eastAsia="仿宋_GB2312"/>
                      <w:sz w:val="24"/>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51"/>
                    <w:jc w:val="center"/>
                  </w:pPr>
                  <w:r>
                    <w:rPr>
                      <w:rFonts w:ascii="仿宋_GB2312" w:hAnsi="仿宋_GB2312" w:cs="仿宋_GB2312" w:eastAsia="仿宋_GB2312"/>
                      <w:sz w:val="24"/>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48"/>
                    <w:jc w:val="center"/>
                  </w:pPr>
                  <w:r>
                    <w:rPr>
                      <w:rFonts w:ascii="仿宋_GB2312" w:hAnsi="仿宋_GB2312" w:cs="仿宋_GB2312" w:eastAsia="仿宋_GB2312"/>
                      <w:sz w:val="24"/>
                    </w:rPr>
                    <w:t>甲胺磷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60"/>
                    <w:jc w:val="center"/>
                  </w:pPr>
                  <w:r>
                    <w:rPr>
                      <w:rFonts w:ascii="仿宋_GB2312" w:hAnsi="仿宋_GB2312" w:cs="仿宋_GB2312" w:eastAsia="仿宋_GB2312"/>
                      <w:sz w:val="24"/>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45"/>
                    <w:jc w:val="center"/>
                  </w:pPr>
                  <w:r>
                    <w:rPr>
                      <w:rFonts w:ascii="仿宋_GB2312" w:hAnsi="仿宋_GB2312" w:cs="仿宋_GB2312" w:eastAsia="仿宋_GB2312"/>
                      <w:sz w:val="24"/>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51"/>
                    <w:jc w:val="center"/>
                  </w:pPr>
                  <w:r>
                    <w:rPr>
                      <w:rFonts w:ascii="仿宋_GB2312" w:hAnsi="仿宋_GB2312" w:cs="仿宋_GB2312" w:eastAsia="仿宋_GB2312"/>
                      <w:sz w:val="24"/>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48"/>
                    <w:jc w:val="center"/>
                  </w:pPr>
                  <w:r>
                    <w:rPr>
                      <w:rFonts w:ascii="仿宋_GB2312" w:hAnsi="仿宋_GB2312" w:cs="仿宋_GB2312" w:eastAsia="仿宋_GB2312"/>
                      <w:sz w:val="24"/>
                    </w:rPr>
                    <w:t>久效磷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60"/>
                    <w:jc w:val="center"/>
                  </w:pPr>
                  <w:r>
                    <w:rPr>
                      <w:rFonts w:ascii="仿宋_GB2312" w:hAnsi="仿宋_GB2312" w:cs="仿宋_GB2312" w:eastAsia="仿宋_GB2312"/>
                      <w:sz w:val="24"/>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45"/>
                    <w:jc w:val="center"/>
                  </w:pPr>
                  <w:r>
                    <w:rPr>
                      <w:rFonts w:ascii="仿宋_GB2312" w:hAnsi="仿宋_GB2312" w:cs="仿宋_GB2312" w:eastAsia="仿宋_GB2312"/>
                      <w:sz w:val="24"/>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51"/>
                    <w:jc w:val="center"/>
                  </w:pPr>
                  <w:r>
                    <w:rPr>
                      <w:rFonts w:ascii="仿宋_GB2312" w:hAnsi="仿宋_GB2312" w:cs="仿宋_GB2312" w:eastAsia="仿宋_GB2312"/>
                      <w:sz w:val="24"/>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51"/>
                    <w:jc w:val="center"/>
                  </w:pPr>
                  <w:r>
                    <w:rPr>
                      <w:rFonts w:ascii="仿宋_GB2312" w:hAnsi="仿宋_GB2312" w:cs="仿宋_GB2312" w:eastAsia="仿宋_GB2312"/>
                      <w:sz w:val="24"/>
                    </w:rPr>
                    <w:t>氧化乐果</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60"/>
                    <w:jc w:val="center"/>
                  </w:pPr>
                  <w:r>
                    <w:rPr>
                      <w:rFonts w:ascii="仿宋_GB2312" w:hAnsi="仿宋_GB2312" w:cs="仿宋_GB2312" w:eastAsia="仿宋_GB2312"/>
                      <w:sz w:val="24"/>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45"/>
                    <w:jc w:val="center"/>
                  </w:pPr>
                  <w:r>
                    <w:rPr>
                      <w:rFonts w:ascii="仿宋_GB2312" w:hAnsi="仿宋_GB2312" w:cs="仿宋_GB2312" w:eastAsia="仿宋_GB2312"/>
                      <w:sz w:val="24"/>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51"/>
                    <w:jc w:val="center"/>
                  </w:pPr>
                  <w:r>
                    <w:rPr>
                      <w:rFonts w:ascii="仿宋_GB2312" w:hAnsi="仿宋_GB2312" w:cs="仿宋_GB2312" w:eastAsia="仿宋_GB2312"/>
                      <w:sz w:val="24"/>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48"/>
                    <w:jc w:val="center"/>
                  </w:pPr>
                  <w:r>
                    <w:rPr>
                      <w:rFonts w:ascii="仿宋_GB2312" w:hAnsi="仿宋_GB2312" w:cs="仿宋_GB2312" w:eastAsia="仿宋_GB2312"/>
                      <w:sz w:val="24"/>
                    </w:rPr>
                    <w:t>克百威</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60"/>
                    <w:jc w:val="center"/>
                  </w:pPr>
                  <w:r>
                    <w:rPr>
                      <w:rFonts w:ascii="仿宋_GB2312" w:hAnsi="仿宋_GB2312" w:cs="仿宋_GB2312" w:eastAsia="仿宋_GB2312"/>
                      <w:sz w:val="24"/>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45"/>
                    <w:jc w:val="center"/>
                  </w:pPr>
                  <w:r>
                    <w:rPr>
                      <w:rFonts w:ascii="仿宋_GB2312" w:hAnsi="仿宋_GB2312" w:cs="仿宋_GB2312" w:eastAsia="仿宋_GB2312"/>
                      <w:sz w:val="24"/>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51"/>
                    <w:jc w:val="center"/>
                  </w:pPr>
                  <w:r>
                    <w:rPr>
                      <w:rFonts w:ascii="仿宋_GB2312" w:hAnsi="仿宋_GB2312" w:cs="仿宋_GB2312" w:eastAsia="仿宋_GB2312"/>
                      <w:sz w:val="24"/>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48"/>
                    <w:jc w:val="center"/>
                  </w:pPr>
                  <w:r>
                    <w:rPr>
                      <w:rFonts w:ascii="仿宋_GB2312" w:hAnsi="仿宋_GB2312" w:cs="仿宋_GB2312" w:eastAsia="仿宋_GB2312"/>
                      <w:sz w:val="24"/>
                    </w:rPr>
                    <w:t>涕灭威</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60"/>
                    <w:jc w:val="center"/>
                  </w:pPr>
                  <w:r>
                    <w:rPr>
                      <w:rFonts w:ascii="仿宋_GB2312" w:hAnsi="仿宋_GB2312" w:cs="仿宋_GB2312" w:eastAsia="仿宋_GB2312"/>
                      <w:sz w:val="24"/>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45"/>
                    <w:jc w:val="center"/>
                  </w:pPr>
                  <w:r>
                    <w:rPr>
                      <w:rFonts w:ascii="仿宋_GB2312" w:hAnsi="仿宋_GB2312" w:cs="仿宋_GB2312" w:eastAsia="仿宋_GB2312"/>
                      <w:sz w:val="24"/>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51"/>
                    <w:jc w:val="center"/>
                  </w:pPr>
                  <w:r>
                    <w:rPr>
                      <w:rFonts w:ascii="仿宋_GB2312" w:hAnsi="仿宋_GB2312" w:cs="仿宋_GB2312" w:eastAsia="仿宋_GB2312"/>
                      <w:sz w:val="24"/>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48"/>
                    <w:jc w:val="center"/>
                  </w:pPr>
                  <w:r>
                    <w:rPr>
                      <w:rFonts w:ascii="仿宋_GB2312" w:hAnsi="仿宋_GB2312" w:cs="仿宋_GB2312" w:eastAsia="仿宋_GB2312"/>
                      <w:sz w:val="24"/>
                    </w:rPr>
                    <w:t>六六六</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60"/>
                    <w:jc w:val="center"/>
                  </w:pPr>
                  <w:r>
                    <w:rPr>
                      <w:rFonts w:ascii="仿宋_GB2312" w:hAnsi="仿宋_GB2312" w:cs="仿宋_GB2312" w:eastAsia="仿宋_GB2312"/>
                      <w:sz w:val="24"/>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45"/>
                    <w:jc w:val="center"/>
                  </w:pPr>
                  <w:r>
                    <w:rPr>
                      <w:rFonts w:ascii="仿宋_GB2312" w:hAnsi="仿宋_GB2312" w:cs="仿宋_GB2312" w:eastAsia="仿宋_GB2312"/>
                      <w:sz w:val="24"/>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45"/>
                    <w:jc w:val="center"/>
                  </w:pPr>
                  <w:r>
                    <w:rPr>
                      <w:rFonts w:ascii="仿宋_GB2312" w:hAnsi="仿宋_GB2312" w:cs="仿宋_GB2312" w:eastAsia="仿宋_GB2312"/>
                      <w:sz w:val="24"/>
                    </w:rPr>
                    <w:t>0.</w:t>
                  </w:r>
                  <w:r>
                    <w:rPr>
                      <w:rFonts w:ascii="仿宋_GB2312" w:hAnsi="仿宋_GB2312" w:cs="仿宋_GB2312" w:eastAsia="仿宋_GB2312"/>
                      <w:sz w:val="24"/>
                    </w:rPr>
                    <w:t>05</w:t>
                  </w:r>
                </w:p>
              </w:tc>
            </w:tr>
            <w:tr>
              <w:tc>
                <w:tcPr>
                  <w:tcW w:type="dxa" w:w="69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48"/>
                    <w:jc w:val="center"/>
                  </w:pPr>
                  <w:r>
                    <w:rPr>
                      <w:rFonts w:ascii="仿宋_GB2312" w:hAnsi="仿宋_GB2312" w:cs="仿宋_GB2312" w:eastAsia="仿宋_GB2312"/>
                      <w:sz w:val="24"/>
                    </w:rPr>
                    <w:t>滴滴涕</w:t>
                  </w:r>
                </w:p>
              </w:tc>
              <w:tc>
                <w:tcPr>
                  <w:tcW w:type="dxa" w:w="47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60"/>
                    <w:jc w:val="center"/>
                  </w:pPr>
                  <w:r>
                    <w:rPr>
                      <w:rFonts w:ascii="仿宋_GB2312" w:hAnsi="仿宋_GB2312" w:cs="仿宋_GB2312" w:eastAsia="仿宋_GB2312"/>
                      <w:sz w:val="24"/>
                    </w:rPr>
                    <w:t>中</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45"/>
                    <w:jc w:val="center"/>
                  </w:pPr>
                  <w:r>
                    <w:rPr>
                      <w:rFonts w:ascii="仿宋_GB2312" w:hAnsi="仿宋_GB2312" w:cs="仿宋_GB2312" w:eastAsia="仿宋_GB2312"/>
                      <w:sz w:val="24"/>
                    </w:rPr>
                    <w:t>其他类</w:t>
                  </w:r>
                  <w:r>
                    <w:rPr>
                      <w:rFonts w:ascii="仿宋_GB2312" w:hAnsi="仿宋_GB2312" w:cs="仿宋_GB2312" w:eastAsia="仿宋_GB2312"/>
                      <w:sz w:val="24"/>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45"/>
                    <w:jc w:val="center"/>
                  </w:pPr>
                  <w:r>
                    <w:rPr>
                      <w:rFonts w:ascii="仿宋_GB2312" w:hAnsi="仿宋_GB2312" w:cs="仿宋_GB2312" w:eastAsia="仿宋_GB2312"/>
                      <w:sz w:val="24"/>
                    </w:rPr>
                    <w:t>0.</w:t>
                  </w:r>
                  <w:r>
                    <w:rPr>
                      <w:rFonts w:ascii="仿宋_GB2312" w:hAnsi="仿宋_GB2312" w:cs="仿宋_GB2312" w:eastAsia="仿宋_GB2312"/>
                      <w:sz w:val="24"/>
                    </w:rPr>
                    <w:t>05</w:t>
                  </w:r>
                </w:p>
              </w:tc>
            </w:tr>
            <w:tr>
              <w:tc>
                <w:tcPr>
                  <w:tcW w:type="dxa" w:w="699"/>
                  <w:vMerge/>
                  <w:tcBorders>
                    <w:top w:val="none" w:color="000000" w:sz="4"/>
                    <w:left w:val="single" w:color="000000" w:sz="4"/>
                    <w:bottom w:val="single" w:color="000000" w:sz="4"/>
                    <w:right w:val="single" w:color="000000" w:sz="4"/>
                  </w:tcBorders>
                </w:tcPr>
                <w:p/>
              </w:tc>
              <w:tc>
                <w:tcPr>
                  <w:tcW w:type="dxa" w:w="471"/>
                  <w:vMerge/>
                  <w:tcBorders>
                    <w:top w:val="none" w:color="000000" w:sz="4"/>
                    <w:left w:val="single" w:color="000000" w:sz="4"/>
                    <w:bottom w:val="single" w:color="000000" w:sz="4"/>
                    <w:right w:val="single" w:color="000000" w:sz="4"/>
                  </w:tcBorders>
                </w:tcP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45"/>
                    <w:jc w:val="center"/>
                  </w:pPr>
                  <w:r>
                    <w:rPr>
                      <w:rFonts w:ascii="仿宋_GB2312" w:hAnsi="仿宋_GB2312" w:cs="仿宋_GB2312" w:eastAsia="仿宋_GB2312"/>
                      <w:sz w:val="24"/>
                    </w:rPr>
                    <w:t>胡萝卜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45"/>
                    <w:jc w:val="center"/>
                  </w:pPr>
                  <w:r>
                    <w:rPr>
                      <w:rFonts w:ascii="仿宋_GB2312" w:hAnsi="仿宋_GB2312" w:cs="仿宋_GB2312" w:eastAsia="仿宋_GB2312"/>
                      <w:sz w:val="24"/>
                    </w:rPr>
                    <w:t>0.2</w:t>
                  </w:r>
                </w:p>
              </w:tc>
            </w:tr>
          </w:tbl>
          <w:p>
            <w:pPr>
              <w:pStyle w:val="null3"/>
              <w:ind w:firstLine="357"/>
              <w:jc w:val="both"/>
            </w:pPr>
            <w:r>
              <w:rPr>
                <w:rFonts w:ascii="仿宋_GB2312" w:hAnsi="仿宋_GB2312" w:cs="仿宋_GB2312" w:eastAsia="仿宋_GB2312"/>
                <w:sz w:val="24"/>
              </w:rPr>
              <w:t>（</w:t>
            </w:r>
            <w:r>
              <w:rPr>
                <w:rFonts w:ascii="仿宋_GB2312" w:hAnsi="仿宋_GB2312" w:cs="仿宋_GB2312" w:eastAsia="仿宋_GB2312"/>
                <w:sz w:val="24"/>
              </w:rPr>
              <w:t>3）辅</w:t>
            </w:r>
            <w:r>
              <w:rPr>
                <w:rFonts w:ascii="仿宋_GB2312" w:hAnsi="仿宋_GB2312" w:cs="仿宋_GB2312" w:eastAsia="仿宋_GB2312"/>
                <w:sz w:val="24"/>
              </w:rPr>
              <w:t>料类标准</w:t>
            </w:r>
          </w:p>
          <w:p>
            <w:pPr>
              <w:pStyle w:val="null3"/>
            </w:pPr>
            <w:r>
              <w:rPr>
                <w:rFonts w:ascii="仿宋_GB2312" w:hAnsi="仿宋_GB2312" w:cs="仿宋_GB2312" w:eastAsia="仿宋_GB2312"/>
                <w:sz w:val="24"/>
              </w:rPr>
              <w:t>干杂、调味品等须确保新鲜、无霉变、无变质、不过期，无掺杂充假，无蛀虫，符合国家食品卫生标准，必须具备</w:t>
            </w:r>
            <w:r>
              <w:rPr>
                <w:rFonts w:ascii="仿宋_GB2312" w:hAnsi="仿宋_GB2312" w:cs="仿宋_GB2312" w:eastAsia="仿宋_GB2312"/>
                <w:sz w:val="24"/>
              </w:rPr>
              <w:t>“SC”食品生产许可证。</w:t>
            </w:r>
          </w:p>
          <w:p>
            <w:pPr>
              <w:pStyle w:val="null3"/>
            </w:pPr>
            <w:r>
              <w:rPr>
                <w:rFonts w:ascii="仿宋_GB2312" w:hAnsi="仿宋_GB2312" w:cs="仿宋_GB2312" w:eastAsia="仿宋_GB2312"/>
                <w:sz w:val="24"/>
              </w:rPr>
              <w:t>（</w:t>
            </w:r>
            <w:r>
              <w:rPr>
                <w:rFonts w:ascii="仿宋_GB2312" w:hAnsi="仿宋_GB2312" w:cs="仿宋_GB2312" w:eastAsia="仿宋_GB2312"/>
                <w:sz w:val="24"/>
              </w:rPr>
              <w:t>4）杂粮类标准</w:t>
            </w:r>
          </w:p>
          <w:p>
            <w:pPr>
              <w:pStyle w:val="null3"/>
              <w:ind w:firstLine="483"/>
            </w:pPr>
            <w:r>
              <w:rPr>
                <w:rFonts w:ascii="仿宋_GB2312" w:hAnsi="仿宋_GB2312" w:cs="仿宋_GB2312" w:eastAsia="仿宋_GB2312"/>
                <w:sz w:val="24"/>
              </w:rPr>
              <w:t>①</w:t>
            </w:r>
            <w:r>
              <w:rPr>
                <w:rFonts w:ascii="仿宋_GB2312" w:hAnsi="仿宋_GB2312" w:cs="仿宋_GB2312" w:eastAsia="仿宋_GB2312"/>
                <w:sz w:val="24"/>
              </w:rPr>
              <w:t>感官</w:t>
            </w:r>
            <w:r>
              <w:rPr>
                <w:rFonts w:ascii="仿宋_GB2312" w:hAnsi="仿宋_GB2312" w:cs="仿宋_GB2312" w:eastAsia="仿宋_GB2312"/>
                <w:sz w:val="24"/>
              </w:rPr>
              <w:t>：具有该品种固有的正常色泽和气味，无异味、无霉变、无杂质</w:t>
            </w:r>
            <w:r>
              <w:rPr>
                <w:rFonts w:ascii="仿宋_GB2312" w:hAnsi="仿宋_GB2312" w:cs="仿宋_GB2312" w:eastAsia="仿宋_GB2312"/>
                <w:sz w:val="24"/>
              </w:rPr>
              <w:t>。</w:t>
            </w:r>
          </w:p>
          <w:p>
            <w:pPr>
              <w:pStyle w:val="null3"/>
            </w:pPr>
            <w:r>
              <w:rPr>
                <w:rFonts w:ascii="仿宋_GB2312" w:hAnsi="仿宋_GB2312" w:cs="仿宋_GB2312" w:eastAsia="仿宋_GB2312"/>
                <w:sz w:val="24"/>
              </w:rPr>
              <w:t>②包装与标签：包装洁净、无破损；标签需符合GB 7718《预包装食品标签通则》，清晰标注产品</w:t>
            </w:r>
            <w:r>
              <w:rPr>
                <w:rFonts w:ascii="仿宋_GB2312" w:hAnsi="仿宋_GB2312" w:cs="仿宋_GB2312" w:eastAsia="仿宋_GB2312"/>
                <w:sz w:val="24"/>
              </w:rPr>
              <w:t>名称、产地、生产日期、保质期等信息</w:t>
            </w:r>
            <w:r>
              <w:rPr>
                <w:rFonts w:ascii="仿宋_GB2312" w:hAnsi="仿宋_GB2312" w:cs="仿宋_GB2312" w:eastAsia="仿宋_GB2312"/>
                <w:sz w:val="24"/>
              </w:rPr>
              <w:t>。</w:t>
            </w:r>
          </w:p>
          <w:p>
            <w:pPr>
              <w:pStyle w:val="null3"/>
            </w:pPr>
            <w:r>
              <w:rPr>
                <w:rFonts w:ascii="仿宋_GB2312" w:hAnsi="仿宋_GB2312" w:cs="仿宋_GB2312" w:eastAsia="仿宋_GB2312"/>
                <w:sz w:val="24"/>
              </w:rPr>
              <w:t>③</w:t>
            </w:r>
            <w:r>
              <w:rPr>
                <w:rFonts w:ascii="仿宋_GB2312" w:hAnsi="仿宋_GB2312" w:cs="仿宋_GB2312" w:eastAsia="仿宋_GB2312"/>
                <w:sz w:val="24"/>
              </w:rPr>
              <w:t>粮食通用安全标准：</w:t>
            </w:r>
            <w:r>
              <w:rPr>
                <w:rFonts w:ascii="仿宋_GB2312" w:hAnsi="仿宋_GB2312" w:cs="仿宋_GB2312" w:eastAsia="仿宋_GB2312"/>
                <w:sz w:val="24"/>
              </w:rPr>
              <w:t>GB 2715《食品安全国家标准 粮食》。这是最基本的安全门槛，规定了感官要求（色泽、气味）、有毒有害菌类及植物种子（如麦角、毒麦）的限量等</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5）水果类标准</w:t>
            </w:r>
          </w:p>
          <w:p>
            <w:pPr>
              <w:pStyle w:val="null3"/>
            </w:pPr>
            <w:r>
              <w:rPr>
                <w:rFonts w:ascii="仿宋_GB2312" w:hAnsi="仿宋_GB2312" w:cs="仿宋_GB2312" w:eastAsia="仿宋_GB2312"/>
                <w:sz w:val="24"/>
              </w:rPr>
              <w:t>①新鲜度：色泽光鲜、水润饱满，无枯萎、皱缩现象。</w:t>
            </w:r>
          </w:p>
          <w:p>
            <w:pPr>
              <w:pStyle w:val="null3"/>
            </w:pPr>
            <w:r>
              <w:rPr>
                <w:rFonts w:ascii="仿宋_GB2312" w:hAnsi="仿宋_GB2312" w:cs="仿宋_GB2312" w:eastAsia="仿宋_GB2312"/>
                <w:sz w:val="24"/>
              </w:rPr>
              <w:t>②</w:t>
            </w:r>
            <w:r>
              <w:rPr>
                <w:rFonts w:ascii="仿宋_GB2312" w:hAnsi="仿宋_GB2312" w:cs="仿宋_GB2312" w:eastAsia="仿宋_GB2312"/>
                <w:sz w:val="24"/>
              </w:rPr>
              <w:t>外观与形态：果实大小均匀，具有该品种应有的色泽和形态特征；果面清洁，无病斑、虫眼、碰伤、裂口及腐烂。</w:t>
            </w:r>
          </w:p>
          <w:p>
            <w:pPr>
              <w:pStyle w:val="null3"/>
            </w:pPr>
            <w:r>
              <w:rPr>
                <w:rFonts w:ascii="仿宋_GB2312" w:hAnsi="仿宋_GB2312" w:cs="仿宋_GB2312" w:eastAsia="仿宋_GB2312"/>
                <w:sz w:val="24"/>
              </w:rPr>
              <w:t>③成熟度：口感正常，具有该品种应有的风味，无过熟或生青现象。</w:t>
            </w:r>
          </w:p>
          <w:p>
            <w:pPr>
              <w:pStyle w:val="null3"/>
            </w:pPr>
            <w:r>
              <w:rPr>
                <w:rFonts w:ascii="仿宋_GB2312" w:hAnsi="仿宋_GB2312" w:cs="仿宋_GB2312" w:eastAsia="仿宋_GB2312"/>
                <w:sz w:val="24"/>
              </w:rPr>
              <w:t>④安全卫生：无残留有害化学物，</w:t>
            </w:r>
          </w:p>
          <w:p>
            <w:pPr>
              <w:pStyle w:val="null3"/>
              <w:ind w:firstLine="422"/>
            </w:pPr>
            <w:r>
              <w:rPr>
                <w:rFonts w:ascii="仿宋_GB2312" w:hAnsi="仿宋_GB2312" w:cs="仿宋_GB2312" w:eastAsia="仿宋_GB2312"/>
                <w:sz w:val="24"/>
              </w:rPr>
              <w:t>⑤</w:t>
            </w:r>
            <w:r>
              <w:rPr>
                <w:rFonts w:ascii="仿宋_GB2312" w:hAnsi="仿宋_GB2312" w:cs="仿宋_GB2312" w:eastAsia="仿宋_GB2312"/>
                <w:sz w:val="24"/>
              </w:rPr>
              <w:t>提供的水果必须符合《中华人民共和国食品安全法》及国家相关强制性标准（如《食品安全国家标准</w:t>
            </w:r>
            <w:r>
              <w:rPr>
                <w:rFonts w:ascii="仿宋_GB2312" w:hAnsi="仿宋_GB2312" w:cs="仿宋_GB2312" w:eastAsia="仿宋_GB2312"/>
                <w:sz w:val="24"/>
              </w:rPr>
              <w:t>食品中农药最大残留限量》（</w:t>
            </w:r>
            <w:r>
              <w:rPr>
                <w:rFonts w:ascii="仿宋_GB2312" w:hAnsi="仿宋_GB2312" w:cs="仿宋_GB2312" w:eastAsia="仿宋_GB2312"/>
                <w:sz w:val="24"/>
              </w:rPr>
              <w:t>GB 2763-2026））的要求。</w:t>
            </w:r>
          </w:p>
          <w:p>
            <w:pPr>
              <w:pStyle w:val="null3"/>
              <w:jc w:val="both"/>
            </w:pPr>
            <w:r>
              <w:rPr>
                <w:rFonts w:ascii="仿宋_GB2312" w:hAnsi="仿宋_GB2312" w:cs="仿宋_GB2312" w:eastAsia="仿宋_GB2312"/>
                <w:sz w:val="24"/>
                <w:b/>
              </w:rPr>
              <w:t>（三）质量要求</w:t>
            </w:r>
          </w:p>
          <w:p>
            <w:pPr>
              <w:pStyle w:val="null3"/>
              <w:ind w:firstLine="479"/>
              <w:jc w:val="both"/>
            </w:pPr>
            <w:r>
              <w:rPr>
                <w:rFonts w:ascii="仿宋_GB2312" w:hAnsi="仿宋_GB2312" w:cs="仿宋_GB2312" w:eastAsia="仿宋_GB2312"/>
                <w:sz w:val="24"/>
              </w:rPr>
              <w:t>1.总体质量要求</w:t>
            </w:r>
            <w:r>
              <w:rPr>
                <w:rFonts w:ascii="仿宋_GB2312" w:hAnsi="仿宋_GB2312" w:cs="仿宋_GB2312" w:eastAsia="仿宋_GB2312"/>
                <w:sz w:val="24"/>
                <w:b/>
              </w:rPr>
              <w:t>（如国家标准修订或变更，按最新标准执行</w:t>
            </w:r>
            <w:r>
              <w:rPr>
                <w:rFonts w:ascii="仿宋_GB2312" w:hAnsi="仿宋_GB2312" w:cs="仿宋_GB2312" w:eastAsia="仿宋_GB2312"/>
                <w:sz w:val="24"/>
                <w:b/>
              </w:rPr>
              <w:t>）</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1）满足现行的食用农产品质量安全标准、食品卫生标准、食品质量标准和有关食品的行业标准中强制执行的标准；</w:t>
            </w:r>
          </w:p>
          <w:p>
            <w:pPr>
              <w:pStyle w:val="null3"/>
            </w:pPr>
            <w:r>
              <w:rPr>
                <w:rFonts w:ascii="仿宋_GB2312" w:hAnsi="仿宋_GB2312" w:cs="仿宋_GB2312" w:eastAsia="仿宋_GB2312"/>
                <w:sz w:val="24"/>
              </w:rPr>
              <w:t>（</w:t>
            </w:r>
            <w:r>
              <w:rPr>
                <w:rFonts w:ascii="仿宋_GB2312" w:hAnsi="仿宋_GB2312" w:cs="仿宋_GB2312" w:eastAsia="仿宋_GB2312"/>
                <w:sz w:val="24"/>
              </w:rPr>
              <w:t>2）《食品安全国家标准 食品中真菌毒素限量》（GB 2761-</w:t>
            </w:r>
            <w:r>
              <w:rPr>
                <w:rFonts w:ascii="仿宋_GB2312" w:hAnsi="仿宋_GB2312" w:cs="仿宋_GB2312" w:eastAsia="仿宋_GB2312"/>
                <w:sz w:val="24"/>
              </w:rPr>
              <w:t>2017）</w:t>
            </w:r>
          </w:p>
          <w:p>
            <w:pPr>
              <w:pStyle w:val="null3"/>
            </w:pPr>
            <w:r>
              <w:rPr>
                <w:rFonts w:ascii="仿宋_GB2312" w:hAnsi="仿宋_GB2312" w:cs="仿宋_GB2312" w:eastAsia="仿宋_GB2312"/>
                <w:sz w:val="24"/>
              </w:rPr>
              <w:t>（</w:t>
            </w:r>
            <w:r>
              <w:rPr>
                <w:rFonts w:ascii="仿宋_GB2312" w:hAnsi="仿宋_GB2312" w:cs="仿宋_GB2312" w:eastAsia="仿宋_GB2312"/>
                <w:sz w:val="24"/>
              </w:rPr>
              <w:t>3）《食品安全国家标准 食品中污染物限量》（GB 2762-</w:t>
            </w:r>
            <w:r>
              <w:rPr>
                <w:rFonts w:ascii="仿宋_GB2312" w:hAnsi="仿宋_GB2312" w:cs="仿宋_GB2312" w:eastAsia="仿宋_GB2312"/>
                <w:sz w:val="24"/>
              </w:rPr>
              <w:t>2022/2025）</w:t>
            </w:r>
          </w:p>
          <w:p>
            <w:pPr>
              <w:pStyle w:val="null3"/>
            </w:pPr>
            <w:r>
              <w:rPr>
                <w:rFonts w:ascii="仿宋_GB2312" w:hAnsi="仿宋_GB2312" w:cs="仿宋_GB2312" w:eastAsia="仿宋_GB2312"/>
                <w:sz w:val="24"/>
              </w:rPr>
              <w:t>（</w:t>
            </w:r>
            <w:r>
              <w:rPr>
                <w:rFonts w:ascii="仿宋_GB2312" w:hAnsi="仿宋_GB2312" w:cs="仿宋_GB2312" w:eastAsia="仿宋_GB2312"/>
                <w:sz w:val="24"/>
              </w:rPr>
              <w:t>4）《食品安全国家标准 食品中农药最大残留限量》（GB 2763-</w:t>
            </w:r>
            <w:r>
              <w:rPr>
                <w:rFonts w:ascii="仿宋_GB2312" w:hAnsi="仿宋_GB2312" w:cs="仿宋_GB2312" w:eastAsia="仿宋_GB2312"/>
                <w:sz w:val="24"/>
              </w:rPr>
              <w:t>2026）</w:t>
            </w:r>
          </w:p>
          <w:p>
            <w:pPr>
              <w:pStyle w:val="null3"/>
            </w:pPr>
            <w:r>
              <w:rPr>
                <w:rFonts w:ascii="仿宋_GB2312" w:hAnsi="仿宋_GB2312" w:cs="仿宋_GB2312" w:eastAsia="仿宋_GB2312"/>
                <w:sz w:val="24"/>
              </w:rPr>
              <w:t>（</w:t>
            </w:r>
            <w:r>
              <w:rPr>
                <w:rFonts w:ascii="仿宋_GB2312" w:hAnsi="仿宋_GB2312" w:cs="仿宋_GB2312" w:eastAsia="仿宋_GB2312"/>
                <w:sz w:val="24"/>
              </w:rPr>
              <w:t>5）《食品安全国家标准 预包装食品中致病菌限量》（GB 29921-</w:t>
            </w:r>
            <w:r>
              <w:rPr>
                <w:rFonts w:ascii="仿宋_GB2312" w:hAnsi="仿宋_GB2312" w:cs="仿宋_GB2312" w:eastAsia="仿宋_GB2312"/>
                <w:sz w:val="24"/>
              </w:rPr>
              <w:t>2021）</w:t>
            </w:r>
          </w:p>
          <w:p>
            <w:pPr>
              <w:pStyle w:val="null3"/>
            </w:pPr>
            <w:r>
              <w:rPr>
                <w:rFonts w:ascii="仿宋_GB2312" w:hAnsi="仿宋_GB2312" w:cs="仿宋_GB2312" w:eastAsia="仿宋_GB2312"/>
                <w:sz w:val="24"/>
              </w:rPr>
              <w:t>（</w:t>
            </w:r>
            <w:r>
              <w:rPr>
                <w:rFonts w:ascii="仿宋_GB2312" w:hAnsi="仿宋_GB2312" w:cs="仿宋_GB2312" w:eastAsia="仿宋_GB2312"/>
                <w:sz w:val="24"/>
              </w:rPr>
              <w:t>6）调味产品必须在保质期内，且生产日期距供货日期的日历天数不得超过保质期</w:t>
            </w:r>
            <w:r>
              <w:rPr>
                <w:rFonts w:ascii="仿宋_GB2312" w:hAnsi="仿宋_GB2312" w:cs="仿宋_GB2312" w:eastAsia="仿宋_GB2312"/>
                <w:sz w:val="24"/>
              </w:rPr>
              <w:t>日历天数的</w:t>
            </w:r>
            <w:r>
              <w:rPr>
                <w:rFonts w:ascii="仿宋_GB2312" w:hAnsi="仿宋_GB2312" w:cs="仿宋_GB2312" w:eastAsia="仿宋_GB2312"/>
                <w:sz w:val="24"/>
              </w:rPr>
              <w:t>1/3。</w:t>
            </w:r>
          </w:p>
          <w:p>
            <w:pPr>
              <w:pStyle w:val="null3"/>
            </w:pPr>
            <w:r>
              <w:rPr>
                <w:rFonts w:ascii="仿宋_GB2312" w:hAnsi="仿宋_GB2312" w:cs="仿宋_GB2312" w:eastAsia="仿宋_GB2312"/>
                <w:sz w:val="24"/>
              </w:rPr>
              <w:t>（</w:t>
            </w:r>
            <w:r>
              <w:rPr>
                <w:rFonts w:ascii="仿宋_GB2312" w:hAnsi="仿宋_GB2312" w:cs="仿宋_GB2312" w:eastAsia="仿宋_GB2312"/>
                <w:sz w:val="24"/>
              </w:rPr>
              <w:t>7）调料产品属于“SC”认证范围的产品，</w:t>
            </w:r>
            <w:r>
              <w:rPr>
                <w:rFonts w:ascii="仿宋_GB2312" w:hAnsi="仿宋_GB2312" w:cs="仿宋_GB2312" w:eastAsia="仿宋_GB2312"/>
                <w:sz w:val="24"/>
              </w:rPr>
              <w:t>必须具备</w:t>
            </w:r>
            <w:r>
              <w:rPr>
                <w:rFonts w:ascii="仿宋_GB2312" w:hAnsi="仿宋_GB2312" w:cs="仿宋_GB2312" w:eastAsia="仿宋_GB2312"/>
                <w:sz w:val="24"/>
              </w:rPr>
              <w:t>“SC”食品生产许可证。</w:t>
            </w:r>
          </w:p>
          <w:p>
            <w:pPr>
              <w:pStyle w:val="null3"/>
            </w:pPr>
            <w:r>
              <w:rPr>
                <w:rFonts w:ascii="仿宋_GB2312" w:hAnsi="仿宋_GB2312" w:cs="仿宋_GB2312" w:eastAsia="仿宋_GB2312"/>
                <w:sz w:val="24"/>
              </w:rPr>
              <w:t>（</w:t>
            </w:r>
            <w:r>
              <w:rPr>
                <w:rFonts w:ascii="仿宋_GB2312" w:hAnsi="仿宋_GB2312" w:cs="仿宋_GB2312" w:eastAsia="仿宋_GB2312"/>
                <w:sz w:val="24"/>
              </w:rPr>
              <w:t>8）产品必须符合卫生要求，不得有腐烂、变质、油脂酸败、霉变、生虫、污秽不洁、混有异物或者其他感官性状异常，并可能对人体健康有害的物质。</w:t>
            </w:r>
          </w:p>
          <w:p>
            <w:pPr>
              <w:pStyle w:val="null3"/>
            </w:pPr>
            <w:r>
              <w:rPr>
                <w:rFonts w:ascii="仿宋_GB2312" w:hAnsi="仿宋_GB2312" w:cs="仿宋_GB2312" w:eastAsia="仿宋_GB2312"/>
                <w:sz w:val="24"/>
              </w:rPr>
              <w:t>（</w:t>
            </w:r>
            <w:r>
              <w:rPr>
                <w:rFonts w:ascii="仿宋_GB2312" w:hAnsi="仿宋_GB2312" w:cs="仿宋_GB2312" w:eastAsia="仿宋_GB2312"/>
                <w:sz w:val="24"/>
              </w:rPr>
              <w:t>9）蔬菜类每次送货时须提供送货单及第三方的蔬菜农药残留检测合格</w:t>
            </w:r>
            <w:r>
              <w:rPr>
                <w:rFonts w:ascii="仿宋_GB2312" w:hAnsi="仿宋_GB2312" w:cs="仿宋_GB2312" w:eastAsia="仿宋_GB2312"/>
                <w:sz w:val="24"/>
              </w:rPr>
              <w:t>报告和自检合格报告，能追踪溯源。</w:t>
            </w:r>
          </w:p>
          <w:p>
            <w:pPr>
              <w:pStyle w:val="null3"/>
            </w:pPr>
            <w:r>
              <w:rPr>
                <w:rFonts w:ascii="仿宋_GB2312" w:hAnsi="仿宋_GB2312" w:cs="仿宋_GB2312" w:eastAsia="仿宋_GB2312"/>
                <w:sz w:val="24"/>
              </w:rPr>
              <w:t>（</w:t>
            </w:r>
            <w:r>
              <w:rPr>
                <w:rFonts w:ascii="仿宋_GB2312" w:hAnsi="仿宋_GB2312" w:cs="仿宋_GB2312" w:eastAsia="仿宋_GB2312"/>
                <w:sz w:val="24"/>
              </w:rPr>
              <w:t>10）产品必须符合国家所制定的行业标准、证件齐全。严格执行“一批一检一报告”要求，并随产品向采购人提供相关检测报告。</w:t>
            </w:r>
          </w:p>
          <w:p>
            <w:pPr>
              <w:pStyle w:val="null3"/>
            </w:pPr>
            <w:r>
              <w:rPr>
                <w:rFonts w:ascii="仿宋_GB2312" w:hAnsi="仿宋_GB2312" w:cs="仿宋_GB2312" w:eastAsia="仿宋_GB2312"/>
                <w:sz w:val="24"/>
              </w:rPr>
              <w:t>（</w:t>
            </w:r>
            <w:r>
              <w:rPr>
                <w:rFonts w:ascii="仿宋_GB2312" w:hAnsi="仿宋_GB2312" w:cs="仿宋_GB2312" w:eastAsia="仿宋_GB2312"/>
                <w:sz w:val="24"/>
              </w:rPr>
              <w:t>11）蔬菜每个品种留样量不少于125克，由专用留样冰箱冷藏（0℃～8℃）保存48小时以上，并有留样记录。留样冰箱“双人双锁”，专人负责留样管理。</w:t>
            </w:r>
          </w:p>
          <w:p>
            <w:pPr>
              <w:pStyle w:val="null3"/>
              <w:ind w:firstLine="479"/>
              <w:jc w:val="both"/>
            </w:pPr>
            <w:r>
              <w:rPr>
                <w:rFonts w:ascii="仿宋_GB2312" w:hAnsi="仿宋_GB2312" w:cs="仿宋_GB2312" w:eastAsia="仿宋_GB2312"/>
                <w:sz w:val="24"/>
              </w:rPr>
              <w:t>（</w:t>
            </w:r>
            <w:r>
              <w:rPr>
                <w:rFonts w:ascii="仿宋_GB2312" w:hAnsi="仿宋_GB2312" w:cs="仿宋_GB2312" w:eastAsia="仿宋_GB2312"/>
                <w:sz w:val="24"/>
              </w:rPr>
              <w:t>12）所有食材均须符合《中华人民共和国食品安全法》，配送时须具备产品的检测报告或食品检验合格证，如国家制定新的食品安全标准，即按新标准执行。</w:t>
            </w:r>
          </w:p>
          <w:p>
            <w:pPr>
              <w:pStyle w:val="null3"/>
              <w:jc w:val="both"/>
            </w:pPr>
            <w:r>
              <w:rPr>
                <w:rFonts w:ascii="仿宋_GB2312" w:hAnsi="仿宋_GB2312" w:cs="仿宋_GB2312" w:eastAsia="仿宋_GB2312"/>
                <w:sz w:val="24"/>
                <w:b/>
              </w:rPr>
              <w:t>（四）食材配送及验收</w:t>
            </w:r>
          </w:p>
          <w:p>
            <w:pPr>
              <w:pStyle w:val="null3"/>
              <w:ind w:firstLine="481"/>
              <w:jc w:val="both"/>
            </w:pPr>
            <w:r>
              <w:rPr>
                <w:rFonts w:ascii="仿宋_GB2312" w:hAnsi="仿宋_GB2312" w:cs="仿宋_GB2312" w:eastAsia="仿宋_GB2312"/>
                <w:sz w:val="24"/>
                <w:b/>
              </w:rPr>
              <w:t>1、原材料配送时间要求</w:t>
            </w:r>
          </w:p>
          <w:p>
            <w:pPr>
              <w:pStyle w:val="null3"/>
            </w:pPr>
            <w:r>
              <w:rPr>
                <w:rFonts w:ascii="仿宋_GB2312" w:hAnsi="仿宋_GB2312" w:cs="仿宋_GB2312" w:eastAsia="仿宋_GB2312"/>
                <w:sz w:val="24"/>
              </w:rPr>
              <w:t>（</w:t>
            </w:r>
            <w:r>
              <w:rPr>
                <w:rFonts w:ascii="仿宋_GB2312" w:hAnsi="仿宋_GB2312" w:cs="仿宋_GB2312" w:eastAsia="仿宋_GB2312"/>
                <w:sz w:val="24"/>
              </w:rPr>
              <w:t>1）所有产品配送时间：蔬菜原则上应当天配送，采购人提前下采购单（书写或表格形式）</w:t>
            </w:r>
            <w:r>
              <w:rPr>
                <w:rFonts w:ascii="仿宋_GB2312" w:hAnsi="仿宋_GB2312" w:cs="仿宋_GB2312" w:eastAsia="仿宋_GB2312"/>
                <w:sz w:val="24"/>
              </w:rPr>
              <w:t>告知供应方，供应方保证在采购人要求时间内</w:t>
            </w:r>
            <w:r>
              <w:rPr>
                <w:rFonts w:ascii="仿宋_GB2312" w:hAnsi="仿宋_GB2312" w:cs="仿宋_GB2312" w:eastAsia="仿宋_GB2312"/>
                <w:sz w:val="24"/>
              </w:rPr>
              <w:t>将产品配送至采购人指定地点（含学校辖区教学点，遇法定节假日双方协商解决）。</w:t>
            </w:r>
          </w:p>
          <w:p>
            <w:pPr>
              <w:pStyle w:val="null3"/>
              <w:ind w:firstLine="481"/>
              <w:jc w:val="both"/>
            </w:pPr>
            <w:r>
              <w:rPr>
                <w:rFonts w:ascii="仿宋_GB2312" w:hAnsi="仿宋_GB2312" w:cs="仿宋_GB2312" w:eastAsia="仿宋_GB2312"/>
                <w:sz w:val="24"/>
                <w:b/>
              </w:rPr>
              <w:t>2、配送种类及数量：</w:t>
            </w:r>
            <w:r>
              <w:rPr>
                <w:rFonts w:ascii="仿宋_GB2312" w:hAnsi="仿宋_GB2312" w:cs="仿宋_GB2312" w:eastAsia="仿宋_GB2312"/>
                <w:sz w:val="24"/>
              </w:rPr>
              <w:t>配送种类与数量以采购人通知（书写或表格形式）为准，采购人根据需求开出每日产品种类及数量，供应方须在当日内做出响应，如有某些菜品出现市场断档，应当日及时告知采购人，以便采购人根据实际情况做出必要调整。</w:t>
            </w:r>
          </w:p>
          <w:p>
            <w:pPr>
              <w:pStyle w:val="null3"/>
              <w:ind w:firstLine="473"/>
              <w:jc w:val="both"/>
            </w:pPr>
            <w:r>
              <w:rPr>
                <w:rFonts w:ascii="仿宋_GB2312" w:hAnsi="仿宋_GB2312" w:cs="仿宋_GB2312" w:eastAsia="仿宋_GB2312"/>
                <w:sz w:val="24"/>
                <w:b/>
              </w:rPr>
              <w:t>3、供货要求</w:t>
            </w:r>
          </w:p>
          <w:p>
            <w:pPr>
              <w:pStyle w:val="null3"/>
            </w:pPr>
            <w:r>
              <w:rPr>
                <w:rFonts w:ascii="仿宋_GB2312" w:hAnsi="仿宋_GB2312" w:cs="仿宋_GB2312" w:eastAsia="仿宋_GB2312"/>
                <w:sz w:val="24"/>
              </w:rPr>
              <w:t>（</w:t>
            </w:r>
            <w:r>
              <w:rPr>
                <w:rFonts w:ascii="仿宋_GB2312" w:hAnsi="仿宋_GB2312" w:cs="仿宋_GB2312" w:eastAsia="仿宋_GB2312"/>
                <w:sz w:val="24"/>
              </w:rPr>
              <w:t>1）一般供货要求：供应商须按采购人指定配送时间，将所订购的产品送至采购人</w:t>
            </w:r>
            <w:r>
              <w:rPr>
                <w:rFonts w:ascii="仿宋_GB2312" w:hAnsi="仿宋_GB2312" w:cs="仿宋_GB2312" w:eastAsia="仿宋_GB2312"/>
                <w:sz w:val="24"/>
              </w:rPr>
              <w:t>指定地点（遇法定节假日双方协商解决）</w:t>
            </w:r>
            <w:r>
              <w:rPr>
                <w:rFonts w:ascii="仿宋_GB2312" w:hAnsi="仿宋_GB2312" w:cs="仿宋_GB2312" w:eastAsia="仿宋_GB2312"/>
                <w:sz w:val="24"/>
              </w:rPr>
              <w:t>。供应商所供的货品必须按采购人所规定的配送时间准时送达，到货后供应商需协助所供片区的工作人员过秤入库。因运输装卸过</w:t>
            </w:r>
            <w:r>
              <w:rPr>
                <w:rFonts w:ascii="仿宋_GB2312" w:hAnsi="仿宋_GB2312" w:cs="仿宋_GB2312" w:eastAsia="仿宋_GB2312"/>
                <w:sz w:val="24"/>
              </w:rPr>
              <w:t>程中造成的损耗（例如包装严重变形、破损、食品污染、变异等）</w:t>
            </w:r>
            <w:r>
              <w:rPr>
                <w:rFonts w:ascii="仿宋_GB2312" w:hAnsi="仿宋_GB2312" w:cs="仿宋_GB2312" w:eastAsia="仿宋_GB2312"/>
                <w:sz w:val="24"/>
              </w:rPr>
              <w:t>、发现的破损、变异食品必须无条件在半小时内更换并送到指定地点。</w:t>
            </w:r>
          </w:p>
          <w:p>
            <w:pPr>
              <w:pStyle w:val="null3"/>
            </w:pPr>
            <w:r>
              <w:rPr>
                <w:rFonts w:ascii="仿宋_GB2312" w:hAnsi="仿宋_GB2312" w:cs="仿宋_GB2312" w:eastAsia="仿宋_GB2312"/>
                <w:sz w:val="24"/>
              </w:rPr>
              <w:t>（</w:t>
            </w:r>
            <w:r>
              <w:rPr>
                <w:rFonts w:ascii="仿宋_GB2312" w:hAnsi="仿宋_GB2312" w:cs="仿宋_GB2312" w:eastAsia="仿宋_GB2312"/>
                <w:sz w:val="24"/>
              </w:rPr>
              <w:t>2）紧急供货要求：在收到采购人发出紧急供货通知后，供应商须按采购人所规定时间内将原材料配送到位，所送产品必须达到采购人要求，如果因食材质量未达到采购人要求和送货时间延迟未送达到采购人指定地点，累计超过3</w:t>
            </w:r>
            <w:r>
              <w:rPr>
                <w:rFonts w:ascii="仿宋_GB2312" w:hAnsi="仿宋_GB2312" w:cs="仿宋_GB2312" w:eastAsia="仿宋_GB2312"/>
                <w:sz w:val="24"/>
              </w:rPr>
              <w:t>次采购人有权解除合同，</w:t>
            </w:r>
            <w:r>
              <w:rPr>
                <w:rFonts w:ascii="仿宋_GB2312" w:hAnsi="仿宋_GB2312" w:cs="仿宋_GB2312" w:eastAsia="仿宋_GB2312"/>
                <w:sz w:val="24"/>
              </w:rPr>
              <w:t>乙方还需承担采购人所有损失。</w:t>
            </w:r>
          </w:p>
          <w:p>
            <w:pPr>
              <w:pStyle w:val="null3"/>
            </w:pPr>
            <w:r>
              <w:rPr>
                <w:rFonts w:ascii="仿宋_GB2312" w:hAnsi="仿宋_GB2312" w:cs="仿宋_GB2312" w:eastAsia="仿宋_GB2312"/>
                <w:sz w:val="24"/>
              </w:rPr>
              <w:t>（</w:t>
            </w:r>
            <w:r>
              <w:rPr>
                <w:rFonts w:ascii="仿宋_GB2312" w:hAnsi="仿宋_GB2312" w:cs="仿宋_GB2312" w:eastAsia="仿宋_GB2312"/>
                <w:sz w:val="24"/>
              </w:rPr>
              <w:t>3）突发事件应急处置要求：为确保极端恶劣天气、交通事故等突发状况下食材正常供应，投标人须制定突发事件应急处置预案（至少包含1.极端天气应对；2.交通事故及车辆故障应对；3.问题食材更换；4.食物中毒等重大突发事件）</w:t>
            </w:r>
          </w:p>
          <w:p>
            <w:pPr>
              <w:pStyle w:val="null3"/>
              <w:ind w:firstLine="481"/>
              <w:jc w:val="both"/>
            </w:pPr>
            <w:r>
              <w:rPr>
                <w:rFonts w:ascii="仿宋_GB2312" w:hAnsi="仿宋_GB2312" w:cs="仿宋_GB2312" w:eastAsia="仿宋_GB2312"/>
                <w:sz w:val="24"/>
                <w:b/>
              </w:rPr>
              <w:t>4、</w:t>
            </w:r>
            <w:r>
              <w:rPr>
                <w:rFonts w:ascii="仿宋_GB2312" w:hAnsi="仿宋_GB2312" w:cs="仿宋_GB2312" w:eastAsia="仿宋_GB2312"/>
                <w:sz w:val="24"/>
                <w:b/>
              </w:rPr>
              <w:t>原材料验收</w:t>
            </w:r>
          </w:p>
          <w:p>
            <w:pPr>
              <w:pStyle w:val="null3"/>
            </w:pPr>
            <w:r>
              <w:rPr>
                <w:rFonts w:ascii="仿宋_GB2312" w:hAnsi="仿宋_GB2312" w:cs="仿宋_GB2312" w:eastAsia="仿宋_GB2312"/>
                <w:sz w:val="24"/>
              </w:rPr>
              <w:t>（</w:t>
            </w:r>
            <w:r>
              <w:rPr>
                <w:rFonts w:ascii="仿宋_GB2312" w:hAnsi="仿宋_GB2312" w:cs="仿宋_GB2312" w:eastAsia="仿宋_GB2312"/>
                <w:sz w:val="24"/>
              </w:rPr>
              <w:t>1）原材料验收由供应方、使用方，双方现场检验，对供应产品的质量无异议数量准确无误后，双方签字，各自留存。</w:t>
            </w:r>
          </w:p>
          <w:p>
            <w:pPr>
              <w:pStyle w:val="null3"/>
            </w:pPr>
            <w:r>
              <w:rPr>
                <w:rFonts w:ascii="仿宋_GB2312" w:hAnsi="仿宋_GB2312" w:cs="仿宋_GB2312" w:eastAsia="仿宋_GB2312"/>
                <w:sz w:val="24"/>
              </w:rPr>
              <w:t>（</w:t>
            </w:r>
            <w:r>
              <w:rPr>
                <w:rFonts w:ascii="仿宋_GB2312" w:hAnsi="仿宋_GB2312" w:cs="仿宋_GB2312" w:eastAsia="仿宋_GB2312"/>
                <w:sz w:val="24"/>
              </w:rPr>
              <w:t>2）食材进校验收应综合运用“望、闻、问、切”等多种方式，核对重量，核对生产日期和保质期，重点核查以下事项，核对包装完整性，核对食材一致性；查看食材色泽、形态；确认食材是否有异味。</w:t>
            </w:r>
          </w:p>
          <w:p>
            <w:pPr>
              <w:pStyle w:val="null3"/>
            </w:pPr>
            <w:r>
              <w:rPr>
                <w:rFonts w:ascii="仿宋_GB2312" w:hAnsi="仿宋_GB2312" w:cs="仿宋_GB2312" w:eastAsia="仿宋_GB2312"/>
                <w:sz w:val="24"/>
              </w:rPr>
              <w:t>（</w:t>
            </w:r>
            <w:r>
              <w:rPr>
                <w:rFonts w:ascii="仿宋_GB2312" w:hAnsi="仿宋_GB2312" w:cs="仿宋_GB2312" w:eastAsia="仿宋_GB2312"/>
                <w:sz w:val="24"/>
              </w:rPr>
              <w:t>3）原材料在验收时有不符合要求的，一律退回，供应商无条件重新更换配送产品，更换后仍然不符合标准的采购人有权对供应商处以一定金额的罚款。</w:t>
            </w:r>
          </w:p>
          <w:p>
            <w:pPr>
              <w:pStyle w:val="null3"/>
            </w:pPr>
            <w:r>
              <w:rPr>
                <w:rFonts w:ascii="仿宋_GB2312" w:hAnsi="仿宋_GB2312" w:cs="仿宋_GB2312" w:eastAsia="仿宋_GB2312"/>
                <w:sz w:val="24"/>
                <w:b/>
              </w:rPr>
              <w:t>5、原料贮存设施要求</w:t>
            </w:r>
          </w:p>
          <w:p>
            <w:pPr>
              <w:pStyle w:val="null3"/>
            </w:pPr>
            <w:r>
              <w:rPr>
                <w:rFonts w:ascii="仿宋_GB2312" w:hAnsi="仿宋_GB2312" w:cs="仿宋_GB2312" w:eastAsia="仿宋_GB2312"/>
                <w:sz w:val="24"/>
              </w:rPr>
              <w:t>（</w:t>
            </w:r>
            <w:r>
              <w:rPr>
                <w:rFonts w:ascii="仿宋_GB2312" w:hAnsi="仿宋_GB2312" w:cs="仿宋_GB2312" w:eastAsia="仿宋_GB2312"/>
                <w:sz w:val="24"/>
              </w:rPr>
              <w:t>1）应根据原料的贮存要求，配备相应的食品库房或贮存场所以及冷藏设施。</w:t>
            </w:r>
          </w:p>
          <w:p>
            <w:pPr>
              <w:pStyle w:val="null3"/>
            </w:pPr>
            <w:r>
              <w:rPr>
                <w:rFonts w:ascii="仿宋_GB2312" w:hAnsi="仿宋_GB2312" w:cs="仿宋_GB2312" w:eastAsia="仿宋_GB2312"/>
                <w:sz w:val="24"/>
              </w:rPr>
              <w:t>（</w:t>
            </w:r>
            <w:r>
              <w:rPr>
                <w:rFonts w:ascii="仿宋_GB2312" w:hAnsi="仿宋_GB2312" w:cs="仿宋_GB2312" w:eastAsia="仿宋_GB2312"/>
                <w:sz w:val="24"/>
              </w:rPr>
              <w:t>2）库房应设有通风、防潮及防止有害生物侵入的设施。</w:t>
            </w:r>
          </w:p>
          <w:p>
            <w:pPr>
              <w:pStyle w:val="null3"/>
            </w:pPr>
            <w:r>
              <w:rPr>
                <w:rFonts w:ascii="仿宋_GB2312" w:hAnsi="仿宋_GB2312" w:cs="仿宋_GB2312" w:eastAsia="仿宋_GB2312"/>
                <w:sz w:val="24"/>
              </w:rPr>
              <w:t>（</w:t>
            </w:r>
            <w:r>
              <w:rPr>
                <w:rFonts w:ascii="仿宋_GB2312" w:hAnsi="仿宋_GB2312" w:cs="仿宋_GB2312" w:eastAsia="仿宋_GB2312"/>
                <w:sz w:val="24"/>
              </w:rPr>
              <w:t>3）库房内应设置足够数量的存放架，其结构及位置能使贮存的食品和物品离墙离地。</w:t>
            </w:r>
          </w:p>
          <w:p>
            <w:pPr>
              <w:pStyle w:val="null3"/>
            </w:pPr>
            <w:r>
              <w:rPr>
                <w:rFonts w:ascii="仿宋_GB2312" w:hAnsi="仿宋_GB2312" w:cs="仿宋_GB2312" w:eastAsia="仿宋_GB2312"/>
                <w:sz w:val="24"/>
              </w:rPr>
              <w:t>（</w:t>
            </w:r>
            <w:r>
              <w:rPr>
                <w:rFonts w:ascii="仿宋_GB2312" w:hAnsi="仿宋_GB2312" w:cs="仿宋_GB2312" w:eastAsia="仿宋_GB2312"/>
                <w:sz w:val="24"/>
              </w:rPr>
              <w:t>4）冷藏设施正常运转，配备温度显示装置，确保贮存条件。</w:t>
            </w:r>
          </w:p>
          <w:p>
            <w:pPr>
              <w:pStyle w:val="null3"/>
            </w:pPr>
            <w:r>
              <w:rPr>
                <w:rFonts w:ascii="仿宋_GB2312" w:hAnsi="仿宋_GB2312" w:cs="仿宋_GB2312" w:eastAsia="仿宋_GB2312"/>
                <w:sz w:val="24"/>
                <w:b/>
              </w:rPr>
              <w:t>6、原料贮存</w:t>
            </w:r>
          </w:p>
          <w:p>
            <w:pPr>
              <w:pStyle w:val="null3"/>
              <w:ind w:firstLine="420"/>
            </w:pPr>
            <w:r>
              <w:rPr>
                <w:rFonts w:ascii="仿宋_GB2312" w:hAnsi="仿宋_GB2312" w:cs="仿宋_GB2312" w:eastAsia="仿宋_GB2312"/>
                <w:sz w:val="24"/>
              </w:rPr>
              <w:t>（</w:t>
            </w:r>
            <w:r>
              <w:rPr>
                <w:rFonts w:ascii="仿宋_GB2312" w:hAnsi="仿宋_GB2312" w:cs="仿宋_GB2312" w:eastAsia="仿宋_GB2312"/>
                <w:sz w:val="24"/>
              </w:rPr>
              <w:t>1）除蔬菜外其他原料应在贮存位置上标明食品名称、生产日期或生产批号、使用期限等信息。宜使用密闭容器贮存。</w:t>
            </w:r>
          </w:p>
          <w:p>
            <w:pPr>
              <w:pStyle w:val="null3"/>
              <w:ind w:firstLine="420"/>
            </w:pPr>
            <w:r>
              <w:rPr>
                <w:rFonts w:ascii="仿宋_GB2312" w:hAnsi="仿宋_GB2312" w:cs="仿宋_GB2312" w:eastAsia="仿宋_GB2312"/>
                <w:sz w:val="24"/>
              </w:rPr>
              <w:t>（</w:t>
            </w:r>
            <w:r>
              <w:rPr>
                <w:rFonts w:ascii="仿宋_GB2312" w:hAnsi="仿宋_GB2312" w:cs="仿宋_GB2312" w:eastAsia="仿宋_GB2312"/>
                <w:sz w:val="24"/>
              </w:rPr>
              <w:t>2） 贮存不同类别食材，应分设存放区域，不同区域有明显的区分标识。</w:t>
            </w:r>
          </w:p>
          <w:p>
            <w:pPr>
              <w:pStyle w:val="null3"/>
              <w:ind w:firstLine="420"/>
            </w:pPr>
            <w:r>
              <w:rPr>
                <w:rFonts w:ascii="仿宋_GB2312" w:hAnsi="仿宋_GB2312" w:cs="仿宋_GB2312" w:eastAsia="仿宋_GB2312"/>
                <w:sz w:val="24"/>
              </w:rPr>
              <w:t>（</w:t>
            </w:r>
            <w:r>
              <w:rPr>
                <w:rFonts w:ascii="仿宋_GB2312" w:hAnsi="仿宋_GB2312" w:cs="仿宋_GB2312" w:eastAsia="仿宋_GB2312"/>
                <w:sz w:val="24"/>
              </w:rPr>
              <w:t>3） 贮存的食品和物品离墙、离地，距离墙壁和地面均应在10cm以上。</w:t>
            </w:r>
          </w:p>
          <w:p>
            <w:pPr>
              <w:pStyle w:val="null3"/>
              <w:jc w:val="both"/>
            </w:pPr>
            <w:r>
              <w:rPr>
                <w:rFonts w:ascii="仿宋_GB2312" w:hAnsi="仿宋_GB2312" w:cs="仿宋_GB2312" w:eastAsia="仿宋_GB2312"/>
                <w:sz w:val="24"/>
                <w:b/>
              </w:rPr>
              <w:t>（五）配送要求及责任</w:t>
            </w:r>
          </w:p>
          <w:p>
            <w:pPr>
              <w:pStyle w:val="null3"/>
              <w:ind w:firstLine="417"/>
              <w:jc w:val="both"/>
            </w:pPr>
            <w:r>
              <w:rPr>
                <w:rFonts w:ascii="仿宋_GB2312" w:hAnsi="仿宋_GB2312" w:cs="仿宋_GB2312" w:eastAsia="仿宋_GB2312"/>
                <w:sz w:val="24"/>
              </w:rPr>
              <w:t>1.原材料供应商须保证所供原材料均为符合国家卫生、质量检验标准的正规产品，保证配送品种、数量、质量完全满足采购人要求。</w:t>
            </w:r>
          </w:p>
          <w:p>
            <w:pPr>
              <w:pStyle w:val="null3"/>
              <w:ind w:firstLine="417"/>
              <w:jc w:val="left"/>
            </w:pPr>
            <w:r>
              <w:rPr>
                <w:rFonts w:ascii="仿宋_GB2312" w:hAnsi="仿宋_GB2312" w:cs="仿宋_GB2312" w:eastAsia="仿宋_GB2312"/>
                <w:sz w:val="24"/>
              </w:rPr>
              <w:t>2.按照《中华人民共和国食品安全法》《中华人民共和国农产品质量安全法》等规定，提供有关的证明材料和证件是供应商的义务，在合同期内供应商应提供产品检验合格证等相关证明，无证产品采购人不予接受。供应商要保证产品质量稳定，符合国家相关技术标准，未发生过重大产品质量安全事故，供应商对最终的产品质量负完全责任，由食品质量问题和安全问题造成的损失由供应商承担。</w:t>
            </w:r>
          </w:p>
          <w:p>
            <w:pPr>
              <w:pStyle w:val="null3"/>
              <w:ind w:firstLine="417"/>
              <w:jc w:val="both"/>
            </w:pPr>
            <w:r>
              <w:rPr>
                <w:rFonts w:ascii="仿宋_GB2312" w:hAnsi="仿宋_GB2312" w:cs="仿宋_GB2312" w:eastAsia="仿宋_GB2312"/>
                <w:sz w:val="24"/>
              </w:rPr>
              <w:t>3.供应商不得差量供货和超量供货，不得擅自更改采购人确认后的产品品种和</w:t>
            </w:r>
            <w:r>
              <w:rPr>
                <w:rFonts w:ascii="仿宋_GB2312" w:hAnsi="仿宋_GB2312" w:cs="仿宋_GB2312" w:eastAsia="仿宋_GB2312"/>
                <w:sz w:val="24"/>
              </w:rPr>
              <w:t>数量。</w:t>
            </w:r>
          </w:p>
          <w:p>
            <w:pPr>
              <w:pStyle w:val="null3"/>
              <w:ind w:firstLine="417"/>
              <w:jc w:val="left"/>
            </w:pPr>
            <w:r>
              <w:rPr>
                <w:rFonts w:ascii="仿宋_GB2312" w:hAnsi="仿宋_GB2312" w:cs="仿宋_GB2312" w:eastAsia="仿宋_GB2312"/>
                <w:sz w:val="24"/>
              </w:rPr>
              <w:t>4.供应商必须建立配送、验收台账，注明配送时间、数量、规格、货源、送货人、验收人、验收情况等相关信息；建立一套完善、科学的管理制度，并指定专人负责，定期检查执行情况，及时解决存在的问题，确保产品及服务质量。</w:t>
            </w:r>
          </w:p>
          <w:p>
            <w:pPr>
              <w:pStyle w:val="null3"/>
              <w:ind w:firstLine="417"/>
              <w:jc w:val="both"/>
            </w:pPr>
            <w:r>
              <w:rPr>
                <w:rFonts w:ascii="仿宋_GB2312" w:hAnsi="仿宋_GB2312" w:cs="仿宋_GB2312" w:eastAsia="仿宋_GB2312"/>
                <w:sz w:val="24"/>
              </w:rPr>
              <w:t xml:space="preserve"> </w:t>
            </w:r>
            <w:r>
              <w:rPr>
                <w:rFonts w:ascii="仿宋_GB2312" w:hAnsi="仿宋_GB2312" w:cs="仿宋_GB2312" w:eastAsia="仿宋_GB2312"/>
                <w:sz w:val="24"/>
              </w:rPr>
              <w:t>5.进货查验记录和相关凭证的保存期限不少于产品保质期满后6个月；无明确保质期的，保存期限不少于2年。其他各项记录保存期限宜为2年。</w:t>
            </w:r>
          </w:p>
          <w:p>
            <w:pPr>
              <w:pStyle w:val="null3"/>
              <w:ind w:firstLine="417"/>
              <w:jc w:val="left"/>
            </w:pPr>
            <w:r>
              <w:rPr>
                <w:rFonts w:ascii="仿宋_GB2312" w:hAnsi="仿宋_GB2312" w:cs="仿宋_GB2312" w:eastAsia="仿宋_GB2312"/>
                <w:sz w:val="24"/>
              </w:rPr>
              <w:t>6.原材料供应商对于自身原材料生产、外部原材料的采购、销售，其合格标准与检验标准。</w:t>
            </w:r>
          </w:p>
          <w:p>
            <w:pPr>
              <w:pStyle w:val="null3"/>
              <w:ind w:firstLine="421"/>
              <w:jc w:val="left"/>
            </w:pPr>
            <w:r>
              <w:rPr>
                <w:rFonts w:ascii="仿宋_GB2312" w:hAnsi="仿宋_GB2312" w:cs="仿宋_GB2312" w:eastAsia="仿宋_GB2312"/>
                <w:sz w:val="24"/>
              </w:rPr>
              <w:t>7.原材料供应商对可能的违约责任或食品安全承担说明及责任。</w:t>
            </w:r>
          </w:p>
          <w:p>
            <w:pPr>
              <w:pStyle w:val="null3"/>
              <w:ind w:firstLine="417"/>
              <w:jc w:val="both"/>
            </w:pPr>
            <w:r>
              <w:rPr>
                <w:rFonts w:ascii="仿宋_GB2312" w:hAnsi="仿宋_GB2312" w:cs="仿宋_GB2312" w:eastAsia="仿宋_GB2312"/>
                <w:sz w:val="24"/>
              </w:rPr>
              <w:t>8.供应商所供产品供货延迟或所供产品达不到有关食品卫生要求，经有关机构鉴定造成食品质量安全事故或其他经济损失的，由供应商依法按自身责任比例承担事故责任。</w:t>
            </w:r>
          </w:p>
          <w:p>
            <w:pPr>
              <w:pStyle w:val="null3"/>
              <w:ind w:firstLine="417"/>
              <w:jc w:val="both"/>
            </w:pPr>
            <w:r>
              <w:rPr>
                <w:rFonts w:ascii="仿宋_GB2312" w:hAnsi="仿宋_GB2312" w:cs="仿宋_GB2312" w:eastAsia="仿宋_GB2312"/>
                <w:sz w:val="24"/>
              </w:rPr>
              <w:t>9.供应商所供产品须经过采购方指定人员验收，若不能达到供货要求，采购人有权当即拒收。造成食堂工作不能正常运行，以当日需求计划总量两倍价款赔付当日损失，同时采购人将对责任原材料供应商进行处罚。</w:t>
            </w:r>
          </w:p>
          <w:p>
            <w:pPr>
              <w:pStyle w:val="null3"/>
              <w:ind w:firstLine="417"/>
              <w:jc w:val="both"/>
            </w:pPr>
            <w:r>
              <w:rPr>
                <w:rFonts w:ascii="仿宋_GB2312" w:hAnsi="仿宋_GB2312" w:cs="仿宋_GB2312" w:eastAsia="仿宋_GB2312"/>
                <w:sz w:val="24"/>
              </w:rPr>
              <w:t>10.供应商必须确定本公司固定人员长期送货，不得指派身份或单位不明的人</w:t>
            </w:r>
            <w:r>
              <w:rPr>
                <w:rFonts w:ascii="仿宋_GB2312" w:hAnsi="仿宋_GB2312" w:cs="仿宋_GB2312" w:eastAsia="仿宋_GB2312"/>
                <w:sz w:val="24"/>
              </w:rPr>
              <w:t>员送货。配送人员应具备有效健康证明和无犯罪记录证明。</w:t>
            </w:r>
          </w:p>
          <w:p>
            <w:pPr>
              <w:pStyle w:val="null3"/>
              <w:ind w:firstLine="417"/>
              <w:jc w:val="both"/>
            </w:pPr>
            <w:r>
              <w:rPr>
                <w:rFonts w:ascii="仿宋_GB2312" w:hAnsi="仿宋_GB2312" w:cs="仿宋_GB2312" w:eastAsia="仿宋_GB2312"/>
                <w:sz w:val="24"/>
              </w:rPr>
              <w:t>11.对于仅从外观无法辨别的产品质量问题，例如外观完好无缺，采购人在加工过程中发现产品内瓤存在发黑、过生、过熟的情况，供应商应以不影响采购人正常开餐时间为基准进行产品更换。</w:t>
            </w:r>
          </w:p>
          <w:p>
            <w:pPr>
              <w:pStyle w:val="null3"/>
              <w:ind w:firstLine="417"/>
              <w:jc w:val="left"/>
            </w:pPr>
            <w:r>
              <w:rPr>
                <w:rFonts w:ascii="仿宋_GB2312" w:hAnsi="仿宋_GB2312" w:cs="仿宋_GB2312" w:eastAsia="仿宋_GB2312"/>
                <w:sz w:val="24"/>
              </w:rPr>
              <w:t>12.任何因原材料质量问题导致的食品安全或食物中毒责任，在确认导致问题的原材料品种后，该供应商除依法按自身责任比例承担医疗及赔偿等费用外，还应承担给采购人造成的损失。同时，采购人可立即单方解除本合同。</w:t>
            </w:r>
          </w:p>
          <w:p>
            <w:pPr>
              <w:pStyle w:val="null3"/>
              <w:jc w:val="left"/>
            </w:pPr>
            <w:r>
              <w:rPr>
                <w:rFonts w:ascii="仿宋_GB2312" w:hAnsi="仿宋_GB2312" w:cs="仿宋_GB2312" w:eastAsia="仿宋_GB2312"/>
                <w:sz w:val="24"/>
                <w:b/>
              </w:rPr>
              <w:t>（六）配送服务其他要求</w:t>
            </w:r>
          </w:p>
          <w:p>
            <w:pPr>
              <w:pStyle w:val="null3"/>
              <w:ind w:firstLine="417"/>
              <w:jc w:val="both"/>
            </w:pPr>
            <w:r>
              <w:rPr>
                <w:rFonts w:ascii="仿宋_GB2312" w:hAnsi="仿宋_GB2312" w:cs="仿宋_GB2312" w:eastAsia="仿宋_GB2312"/>
                <w:sz w:val="24"/>
              </w:rPr>
              <w:t>1.供应商应自备专用运输车辆（应为厢式冷藏（恒温）车和常温车辆）人货分离，运输车辆应当保持清洁，无霉斑、鼠迹、苍蝇、蟑螂，不得将食品与有毒有害物品混装配送，运输食品和运输有毒有害物品的车辆不得混用；不得存放有毒、有害物品及个人生活用品，做到专货专用，确保食材运输中无被污染等情况。应保持运输车辆的清洁，每次运输食品前和运输食品后应进行清洗消毒。安排专人及时供货，装卸费、送货费用及运输安全由供货方承担。供应商须具备农残检测设备，所需配送人员必须符合《中华人民共和国劳动合同法》要求，按劳动法规定与工作人员签订劳动合同并按相关规定缴纳社保，如发生劳务纠纷，由供应商自行承担责任。</w:t>
            </w:r>
          </w:p>
          <w:p>
            <w:pPr>
              <w:pStyle w:val="null3"/>
              <w:ind w:firstLine="417"/>
              <w:jc w:val="both"/>
            </w:pPr>
            <w:r>
              <w:rPr>
                <w:rFonts w:ascii="仿宋_GB2312" w:hAnsi="仿宋_GB2312" w:cs="仿宋_GB2312" w:eastAsia="仿宋_GB2312"/>
                <w:sz w:val="24"/>
              </w:rPr>
              <w:t>2.所有食材采购均以采购方通知为准，采购方有权根据实际需求量随时调整采购计划及供货时间段。</w:t>
            </w:r>
          </w:p>
          <w:p>
            <w:pPr>
              <w:pStyle w:val="null3"/>
              <w:ind w:firstLine="435"/>
              <w:jc w:val="both"/>
            </w:pPr>
            <w:r>
              <w:rPr>
                <w:rFonts w:ascii="仿宋_GB2312" w:hAnsi="仿宋_GB2312" w:cs="仿宋_GB2312" w:eastAsia="仿宋_GB2312"/>
                <w:sz w:val="24"/>
              </w:rPr>
              <w:t>3.原材料供应商应严格遵守《中华人民共和国食品安全法》等相关规定，为采购人提供安全、卫生、优质的产品，切实履行自己的承诺。如果供应商提供</w:t>
            </w:r>
            <w:r>
              <w:rPr>
                <w:rFonts w:ascii="仿宋_GB2312" w:hAnsi="仿宋_GB2312" w:cs="仿宋_GB2312" w:eastAsia="仿宋_GB2312"/>
                <w:sz w:val="24"/>
              </w:rPr>
              <w:t>的产品出现质量问题，在收到采购人通知后</w:t>
            </w:r>
            <w:r>
              <w:rPr>
                <w:rFonts w:ascii="仿宋_GB2312" w:hAnsi="仿宋_GB2312" w:cs="仿宋_GB2312" w:eastAsia="仿宋_GB2312"/>
                <w:sz w:val="24"/>
              </w:rPr>
              <w:t>24</w:t>
            </w:r>
            <w:r>
              <w:rPr>
                <w:rFonts w:ascii="仿宋_GB2312" w:hAnsi="仿宋_GB2312" w:cs="仿宋_GB2312" w:eastAsia="仿宋_GB2312"/>
                <w:sz w:val="24"/>
              </w:rPr>
              <w:t xml:space="preserve"> </w:t>
            </w:r>
            <w:r>
              <w:rPr>
                <w:rFonts w:ascii="仿宋_GB2312" w:hAnsi="仿宋_GB2312" w:cs="仿宋_GB2312" w:eastAsia="仿宋_GB2312"/>
                <w:sz w:val="24"/>
              </w:rPr>
              <w:t>小时内没有解决问题，采购人可采取必要的补救措施，但其风险和费用将由供应商承担。</w:t>
            </w:r>
          </w:p>
          <w:p>
            <w:pPr>
              <w:pStyle w:val="null3"/>
              <w:ind w:firstLine="403"/>
              <w:jc w:val="both"/>
            </w:pPr>
            <w:r>
              <w:rPr>
                <w:rFonts w:ascii="仿宋_GB2312" w:hAnsi="仿宋_GB2312" w:cs="仿宋_GB2312" w:eastAsia="仿宋_GB2312"/>
                <w:sz w:val="24"/>
              </w:rPr>
              <w:t>4.为落实食品安全责任，供应商必须在中标后、签订合同前提供不少于成交价的食品安全责任保险单（须在有效期内）。</w:t>
            </w:r>
          </w:p>
          <w:p>
            <w:pPr>
              <w:pStyle w:val="null3"/>
              <w:ind w:firstLine="435"/>
              <w:jc w:val="both"/>
            </w:pPr>
            <w:r>
              <w:rPr>
                <w:rFonts w:ascii="仿宋_GB2312" w:hAnsi="仿宋_GB2312" w:cs="仿宋_GB2312" w:eastAsia="仿宋_GB2312"/>
                <w:sz w:val="24"/>
              </w:rPr>
              <w:t>5.供应商如违反以下任意一项规定，采购人有权解除合同，并由供应商承担</w:t>
            </w:r>
            <w:r>
              <w:rPr>
                <w:rFonts w:ascii="仿宋_GB2312" w:hAnsi="仿宋_GB2312" w:cs="仿宋_GB2312" w:eastAsia="仿宋_GB2312"/>
                <w:sz w:val="24"/>
              </w:rPr>
              <w:t>因此产生的经济责任和法律责任。</w:t>
            </w:r>
          </w:p>
          <w:p>
            <w:pPr>
              <w:pStyle w:val="null3"/>
              <w:ind w:firstLine="414"/>
              <w:jc w:val="both"/>
            </w:pPr>
            <w:r>
              <w:rPr>
                <w:rFonts w:ascii="仿宋_GB2312" w:hAnsi="仿宋_GB2312" w:cs="仿宋_GB2312" w:eastAsia="仿宋_GB2312"/>
                <w:sz w:val="24"/>
              </w:rPr>
              <w:t>（</w:t>
            </w:r>
            <w:r>
              <w:rPr>
                <w:rFonts w:ascii="仿宋_GB2312" w:hAnsi="仿宋_GB2312" w:cs="仿宋_GB2312" w:eastAsia="仿宋_GB2312"/>
                <w:sz w:val="24"/>
              </w:rPr>
              <w:t>1）腐败变质、霉变、生虫、污秽不洁、混有异物或者其他感官性状异常，对人体健康有害的；</w:t>
            </w:r>
          </w:p>
          <w:p>
            <w:pPr>
              <w:pStyle w:val="null3"/>
              <w:ind w:firstLine="414"/>
              <w:jc w:val="both"/>
            </w:pPr>
            <w:r>
              <w:rPr>
                <w:rFonts w:ascii="仿宋_GB2312" w:hAnsi="仿宋_GB2312" w:cs="仿宋_GB2312" w:eastAsia="仿宋_GB2312"/>
                <w:sz w:val="24"/>
              </w:rPr>
              <w:t>（</w:t>
            </w:r>
            <w:r>
              <w:rPr>
                <w:rFonts w:ascii="仿宋_GB2312" w:hAnsi="仿宋_GB2312" w:cs="仿宋_GB2312" w:eastAsia="仿宋_GB2312"/>
                <w:sz w:val="24"/>
              </w:rPr>
              <w:t>2）含有毒、有害物质或者被有害物质污染，对人体健康有害的；</w:t>
            </w:r>
          </w:p>
          <w:p>
            <w:pPr>
              <w:pStyle w:val="null3"/>
              <w:ind w:firstLine="414"/>
              <w:jc w:val="both"/>
            </w:pPr>
            <w:r>
              <w:rPr>
                <w:rFonts w:ascii="仿宋_GB2312" w:hAnsi="仿宋_GB2312" w:cs="仿宋_GB2312" w:eastAsia="仿宋_GB2312"/>
                <w:sz w:val="24"/>
              </w:rPr>
              <w:t>（</w:t>
            </w:r>
            <w:r>
              <w:rPr>
                <w:rFonts w:ascii="仿宋_GB2312" w:hAnsi="仿宋_GB2312" w:cs="仿宋_GB2312" w:eastAsia="仿宋_GB2312"/>
                <w:sz w:val="24"/>
              </w:rPr>
              <w:t>3）含有致病性寄生虫、微生物或者微生物含量超过国家限定标准的；</w:t>
            </w:r>
          </w:p>
          <w:p>
            <w:pPr>
              <w:pStyle w:val="null3"/>
              <w:ind w:firstLine="414"/>
              <w:jc w:val="both"/>
            </w:pPr>
            <w:r>
              <w:rPr>
                <w:rFonts w:ascii="仿宋_GB2312" w:hAnsi="仿宋_GB2312" w:cs="仿宋_GB2312" w:eastAsia="仿宋_GB2312"/>
                <w:sz w:val="24"/>
              </w:rPr>
              <w:t>（</w:t>
            </w:r>
            <w:r>
              <w:rPr>
                <w:rFonts w:ascii="仿宋_GB2312" w:hAnsi="仿宋_GB2312" w:cs="仿宋_GB2312" w:eastAsia="仿宋_GB2312"/>
                <w:sz w:val="24"/>
              </w:rPr>
              <w:t>4）掺假、掺杂、伪造，影响营养、卫生的；</w:t>
            </w:r>
          </w:p>
          <w:p>
            <w:pPr>
              <w:pStyle w:val="null3"/>
              <w:ind w:firstLine="414"/>
              <w:jc w:val="both"/>
            </w:pPr>
            <w:r>
              <w:rPr>
                <w:rFonts w:ascii="仿宋_GB2312" w:hAnsi="仿宋_GB2312" w:cs="仿宋_GB2312" w:eastAsia="仿宋_GB2312"/>
                <w:sz w:val="24"/>
              </w:rPr>
              <w:t>（</w:t>
            </w:r>
            <w:r>
              <w:rPr>
                <w:rFonts w:ascii="仿宋_GB2312" w:hAnsi="仿宋_GB2312" w:cs="仿宋_GB2312" w:eastAsia="仿宋_GB2312"/>
                <w:sz w:val="24"/>
              </w:rPr>
              <w:t>5）用非食品原料加工的，加入非食品用化学物质或者将非食品当作食品的；</w:t>
            </w:r>
          </w:p>
          <w:p>
            <w:pPr>
              <w:pStyle w:val="null3"/>
              <w:ind w:firstLine="414"/>
              <w:jc w:val="both"/>
            </w:pPr>
            <w:r>
              <w:rPr>
                <w:rFonts w:ascii="仿宋_GB2312" w:hAnsi="仿宋_GB2312" w:cs="仿宋_GB2312" w:eastAsia="仿宋_GB2312"/>
                <w:sz w:val="24"/>
              </w:rPr>
              <w:t>（</w:t>
            </w:r>
            <w:r>
              <w:rPr>
                <w:rFonts w:ascii="仿宋_GB2312" w:hAnsi="仿宋_GB2312" w:cs="仿宋_GB2312" w:eastAsia="仿宋_GB2312"/>
                <w:sz w:val="24"/>
              </w:rPr>
              <w:t>6）供应商不能按时、按要求供货或不能及时退、换货；</w:t>
            </w:r>
          </w:p>
          <w:p>
            <w:pPr>
              <w:pStyle w:val="null3"/>
              <w:ind w:firstLine="414"/>
              <w:jc w:val="both"/>
            </w:pPr>
            <w:r>
              <w:rPr>
                <w:rFonts w:ascii="仿宋_GB2312" w:hAnsi="仿宋_GB2312" w:cs="仿宋_GB2312" w:eastAsia="仿宋_GB2312"/>
                <w:sz w:val="24"/>
              </w:rPr>
              <w:t>（</w:t>
            </w:r>
            <w:r>
              <w:rPr>
                <w:rFonts w:ascii="仿宋_GB2312" w:hAnsi="仿宋_GB2312" w:cs="仿宋_GB2312" w:eastAsia="仿宋_GB2312"/>
                <w:sz w:val="24"/>
              </w:rPr>
              <w:t>7）不经双方协商，供应商向采购人提供不符合合同规定的产品；</w:t>
            </w:r>
          </w:p>
          <w:p>
            <w:pPr>
              <w:pStyle w:val="null3"/>
              <w:ind w:firstLine="414"/>
              <w:jc w:val="both"/>
            </w:pPr>
            <w:r>
              <w:rPr>
                <w:rFonts w:ascii="仿宋_GB2312" w:hAnsi="仿宋_GB2312" w:cs="仿宋_GB2312" w:eastAsia="仿宋_GB2312"/>
                <w:sz w:val="24"/>
              </w:rPr>
              <w:t>（</w:t>
            </w:r>
            <w:r>
              <w:rPr>
                <w:rFonts w:ascii="仿宋_GB2312" w:hAnsi="仿宋_GB2312" w:cs="仿宋_GB2312" w:eastAsia="仿宋_GB2312"/>
                <w:sz w:val="24"/>
              </w:rPr>
              <w:t>8）超过保质期限的。</w:t>
            </w:r>
          </w:p>
          <w:p>
            <w:pPr>
              <w:pStyle w:val="null3"/>
              <w:ind w:firstLine="414"/>
              <w:jc w:val="both"/>
            </w:pPr>
            <w:r>
              <w:rPr>
                <w:rFonts w:ascii="仿宋_GB2312" w:hAnsi="仿宋_GB2312" w:cs="仿宋_GB2312" w:eastAsia="仿宋_GB2312"/>
                <w:sz w:val="24"/>
              </w:rPr>
              <w:t>（</w:t>
            </w:r>
            <w:r>
              <w:rPr>
                <w:rFonts w:ascii="仿宋_GB2312" w:hAnsi="仿宋_GB2312" w:cs="仿宋_GB2312" w:eastAsia="仿宋_GB2312"/>
                <w:sz w:val="24"/>
              </w:rPr>
              <w:t>9）在合同期内受到监管部门行政处罚的。</w:t>
            </w:r>
          </w:p>
          <w:p>
            <w:pPr>
              <w:pStyle w:val="null3"/>
              <w:jc w:val="both"/>
            </w:pPr>
            <w:r>
              <w:rPr>
                <w:rFonts w:ascii="仿宋_GB2312" w:hAnsi="仿宋_GB2312" w:cs="仿宋_GB2312" w:eastAsia="仿宋_GB2312"/>
                <w:sz w:val="24"/>
                <w:b/>
              </w:rPr>
              <w:t>（七）食品安全责任</w:t>
            </w:r>
          </w:p>
          <w:p>
            <w:pPr>
              <w:pStyle w:val="null3"/>
              <w:jc w:val="both"/>
            </w:pPr>
            <w:r>
              <w:rPr>
                <w:rFonts w:ascii="仿宋_GB2312" w:hAnsi="仿宋_GB2312" w:cs="仿宋_GB2312" w:eastAsia="仿宋_GB2312"/>
                <w:b/>
              </w:rPr>
              <w:t xml:space="preserve">    </w:t>
            </w:r>
            <w:r>
              <w:rPr>
                <w:rFonts w:ascii="仿宋_GB2312" w:hAnsi="仿宋_GB2312" w:cs="仿宋_GB2312" w:eastAsia="仿宋_GB2312"/>
                <w:sz w:val="24"/>
              </w:rPr>
              <w:t>供应商需承诺在成交后签订合同前购买食品安全责任险。</w:t>
            </w:r>
          </w:p>
          <w:p>
            <w:pPr>
              <w:pStyle w:val="null3"/>
              <w:jc w:val="both"/>
            </w:pPr>
            <w:r>
              <w:rPr>
                <w:rFonts w:ascii="仿宋_GB2312" w:hAnsi="仿宋_GB2312" w:cs="仿宋_GB2312" w:eastAsia="仿宋_GB2312"/>
                <w:sz w:val="24"/>
                <w:b/>
              </w:rPr>
              <w:t>三、商务要求</w:t>
            </w:r>
          </w:p>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服务周期：</w:t>
            </w:r>
            <w:r>
              <w:rPr>
                <w:rFonts w:ascii="仿宋_GB2312" w:hAnsi="仿宋_GB2312" w:cs="仿宋_GB2312" w:eastAsia="仿宋_GB2312"/>
                <w:sz w:val="24"/>
              </w:rPr>
              <w:t>自合同签订之日起</w:t>
            </w:r>
            <w:r>
              <w:rPr>
                <w:rFonts w:ascii="仿宋_GB2312" w:hAnsi="仿宋_GB2312" w:cs="仿宋_GB2312" w:eastAsia="仿宋_GB2312"/>
                <w:sz w:val="24"/>
              </w:rPr>
              <w:t>1年</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（二）配送地点：</w:t>
            </w:r>
            <w:r>
              <w:rPr>
                <w:rFonts w:ascii="仿宋_GB2312" w:hAnsi="仿宋_GB2312" w:cs="仿宋_GB2312" w:eastAsia="仿宋_GB2312"/>
                <w:sz w:val="24"/>
              </w:rPr>
              <w:t>采购人指定地点。</w:t>
            </w:r>
          </w:p>
          <w:p>
            <w:pPr>
              <w:pStyle w:val="null3"/>
              <w:jc w:val="both"/>
            </w:pPr>
            <w:r>
              <w:rPr>
                <w:rFonts w:ascii="仿宋_GB2312" w:hAnsi="仿宋_GB2312" w:cs="仿宋_GB2312" w:eastAsia="仿宋_GB2312"/>
                <w:sz w:val="24"/>
                <w:b/>
              </w:rPr>
              <w:t>（三）款项结算</w:t>
            </w:r>
            <w:r>
              <w:rPr>
                <w:rFonts w:ascii="仿宋_GB2312" w:hAnsi="仿宋_GB2312" w:cs="仿宋_GB2312" w:eastAsia="仿宋_GB2312"/>
                <w:sz w:val="24"/>
                <w:b/>
              </w:rPr>
              <w:t>：</w:t>
            </w:r>
          </w:p>
          <w:p>
            <w:pPr>
              <w:pStyle w:val="null3"/>
              <w:ind w:firstLine="420"/>
              <w:jc w:val="left"/>
            </w:pPr>
            <w:r>
              <w:rPr>
                <w:rFonts w:ascii="仿宋_GB2312" w:hAnsi="仿宋_GB2312" w:cs="仿宋_GB2312" w:eastAsia="仿宋_GB2312"/>
                <w:sz w:val="24"/>
              </w:rPr>
              <w:t>1.款项结算：以涉及的各学校为准，成交供应商按照供应明细开具全额（等额）税务发票给各学校进行结算。</w:t>
            </w:r>
          </w:p>
          <w:p>
            <w:pPr>
              <w:pStyle w:val="null3"/>
              <w:ind w:firstLine="420"/>
              <w:jc w:val="left"/>
            </w:pPr>
            <w:r>
              <w:rPr>
                <w:rFonts w:ascii="仿宋_GB2312" w:hAnsi="仿宋_GB2312" w:cs="仿宋_GB2312" w:eastAsia="仿宋_GB2312"/>
                <w:sz w:val="24"/>
              </w:rPr>
              <w:t>2.结算方式：银行转账。</w:t>
            </w:r>
          </w:p>
          <w:p>
            <w:pPr>
              <w:pStyle w:val="null3"/>
              <w:ind w:firstLine="420"/>
              <w:jc w:val="left"/>
            </w:pPr>
            <w:r>
              <w:rPr>
                <w:rFonts w:ascii="仿宋_GB2312" w:hAnsi="仿宋_GB2312" w:cs="仿宋_GB2312" w:eastAsia="仿宋_GB2312"/>
                <w:sz w:val="24"/>
              </w:rPr>
              <w:t>3.付款计划：</w:t>
            </w:r>
          </w:p>
          <w:p>
            <w:pPr>
              <w:pStyle w:val="null3"/>
              <w:ind w:firstLine="420"/>
              <w:jc w:val="left"/>
            </w:pPr>
            <w:r>
              <w:rPr>
                <w:rFonts w:ascii="仿宋_GB2312" w:hAnsi="仿宋_GB2312" w:cs="仿宋_GB2312" w:eastAsia="仿宋_GB2312"/>
                <w:sz w:val="24"/>
              </w:rPr>
              <w:t>3.1每月配送完结开具发票后 ，达到付款条件起 15 个工作日内，支付合同总金额的 10.00%。</w:t>
            </w:r>
          </w:p>
          <w:p>
            <w:pPr>
              <w:pStyle w:val="null3"/>
              <w:ind w:firstLine="420"/>
              <w:jc w:val="left"/>
            </w:pPr>
            <w:r>
              <w:rPr>
                <w:rFonts w:ascii="仿宋_GB2312" w:hAnsi="仿宋_GB2312" w:cs="仿宋_GB2312" w:eastAsia="仿宋_GB2312"/>
                <w:sz w:val="24"/>
              </w:rPr>
              <w:t>3.2每月配送完结开具发票后 ，达到付款条件起 15 个工作日内，支付合同总金额的 10.00%。</w:t>
            </w:r>
          </w:p>
          <w:p>
            <w:pPr>
              <w:pStyle w:val="null3"/>
              <w:ind w:firstLine="420"/>
              <w:jc w:val="left"/>
            </w:pPr>
            <w:r>
              <w:rPr>
                <w:rFonts w:ascii="仿宋_GB2312" w:hAnsi="仿宋_GB2312" w:cs="仿宋_GB2312" w:eastAsia="仿宋_GB2312"/>
                <w:sz w:val="24"/>
              </w:rPr>
              <w:t>3.3每月配送完结开具发票后 ，达到付款条件起 15 个工作日内，支付合同总金额的 10.00%。</w:t>
            </w:r>
          </w:p>
          <w:p>
            <w:pPr>
              <w:pStyle w:val="null3"/>
              <w:ind w:firstLine="420"/>
              <w:jc w:val="left"/>
            </w:pPr>
            <w:r>
              <w:rPr>
                <w:rFonts w:ascii="仿宋_GB2312" w:hAnsi="仿宋_GB2312" w:cs="仿宋_GB2312" w:eastAsia="仿宋_GB2312"/>
                <w:sz w:val="24"/>
              </w:rPr>
              <w:t>3.4每月配送完结开具发票后 ，达到付款条件起 15 个工作日内，支付合同总金额的 10.00%。</w:t>
            </w:r>
          </w:p>
          <w:p>
            <w:pPr>
              <w:pStyle w:val="null3"/>
              <w:ind w:firstLine="420"/>
              <w:jc w:val="left"/>
            </w:pPr>
            <w:r>
              <w:rPr>
                <w:rFonts w:ascii="仿宋_GB2312" w:hAnsi="仿宋_GB2312" w:cs="仿宋_GB2312" w:eastAsia="仿宋_GB2312"/>
                <w:sz w:val="24"/>
              </w:rPr>
              <w:t>3.5每月配送完结开具发票后 ，达到付款条件起 15 个工作日内，支付合同总金额的 10.00%。</w:t>
            </w:r>
          </w:p>
          <w:p>
            <w:pPr>
              <w:pStyle w:val="null3"/>
              <w:ind w:firstLine="420"/>
              <w:jc w:val="left"/>
            </w:pPr>
            <w:r>
              <w:rPr>
                <w:rFonts w:ascii="仿宋_GB2312" w:hAnsi="仿宋_GB2312" w:cs="仿宋_GB2312" w:eastAsia="仿宋_GB2312"/>
                <w:sz w:val="24"/>
              </w:rPr>
              <w:t>3.6每月配送完结开具发票后 ，达到付款条件起 15 个工作日内，支付合同总金额的 10.00%。</w:t>
            </w:r>
          </w:p>
          <w:p>
            <w:pPr>
              <w:pStyle w:val="null3"/>
              <w:ind w:firstLine="420"/>
              <w:jc w:val="left"/>
            </w:pPr>
            <w:r>
              <w:rPr>
                <w:rFonts w:ascii="仿宋_GB2312" w:hAnsi="仿宋_GB2312" w:cs="仿宋_GB2312" w:eastAsia="仿宋_GB2312"/>
                <w:sz w:val="24"/>
              </w:rPr>
              <w:t>3.7每月配送完结开具发票后 ，达到付款条件起 15 个工作日内，支付合同总金额的 10.00%。</w:t>
            </w:r>
          </w:p>
          <w:p>
            <w:pPr>
              <w:pStyle w:val="null3"/>
              <w:ind w:firstLine="420"/>
              <w:jc w:val="left"/>
            </w:pPr>
            <w:r>
              <w:rPr>
                <w:rFonts w:ascii="仿宋_GB2312" w:hAnsi="仿宋_GB2312" w:cs="仿宋_GB2312" w:eastAsia="仿宋_GB2312"/>
                <w:sz w:val="24"/>
              </w:rPr>
              <w:t>3.8每月配送完结开具发票后 ，达到付款条件起 15 个工作日内，支付合同总金额的 10.00%。</w:t>
            </w:r>
          </w:p>
          <w:p>
            <w:pPr>
              <w:pStyle w:val="null3"/>
              <w:ind w:firstLine="420"/>
              <w:jc w:val="left"/>
            </w:pPr>
            <w:r>
              <w:rPr>
                <w:rFonts w:ascii="仿宋_GB2312" w:hAnsi="仿宋_GB2312" w:cs="仿宋_GB2312" w:eastAsia="仿宋_GB2312"/>
                <w:sz w:val="24"/>
              </w:rPr>
              <w:t>3.9每月配送完结开具发票后 ，达到付款条件起 15 个工作日内，支付合同总金额的 10.00%。</w:t>
            </w:r>
          </w:p>
          <w:p>
            <w:pPr>
              <w:pStyle w:val="null3"/>
              <w:ind w:firstLine="420"/>
              <w:jc w:val="left"/>
            </w:pPr>
            <w:r>
              <w:rPr>
                <w:rFonts w:ascii="仿宋_GB2312" w:hAnsi="仿宋_GB2312" w:cs="仿宋_GB2312" w:eastAsia="仿宋_GB2312"/>
                <w:sz w:val="24"/>
              </w:rPr>
              <w:t>3.10每月配送完结开具发票后 ，达到付款条件起 15 个工作日内，支付合同总金额的 10.00%。</w:t>
            </w:r>
          </w:p>
          <w:p>
            <w:pPr>
              <w:pStyle w:val="null3"/>
              <w:ind w:firstLine="420"/>
              <w:jc w:val="left"/>
            </w:pPr>
            <w:r>
              <w:rPr>
                <w:rFonts w:ascii="仿宋_GB2312" w:hAnsi="仿宋_GB2312" w:cs="仿宋_GB2312" w:eastAsia="仿宋_GB2312"/>
                <w:sz w:val="24"/>
              </w:rPr>
              <w:t>4.结算价格：结算价格＝当期采购价格×（1－中标下浮率），据实结算。</w:t>
            </w:r>
          </w:p>
          <w:p>
            <w:pPr>
              <w:pStyle w:val="null3"/>
              <w:ind w:firstLine="420"/>
              <w:jc w:val="left"/>
            </w:pPr>
            <w:r>
              <w:rPr>
                <w:rFonts w:ascii="仿宋_GB2312" w:hAnsi="仿宋_GB2312" w:cs="仿宋_GB2312" w:eastAsia="仿宋_GB2312"/>
                <w:sz w:val="24"/>
              </w:rPr>
              <w:t xml:space="preserve"> 5.价格：服务周期内所供食材价格以采购单位考察同等质量的食材价格后，依据中标下浮率确定当期结算价，据实结算。</w:t>
            </w:r>
          </w:p>
          <w:p>
            <w:pPr>
              <w:pStyle w:val="null3"/>
              <w:jc w:val="left"/>
            </w:pPr>
            <w:r>
              <w:rPr>
                <w:rFonts w:ascii="仿宋_GB2312" w:hAnsi="仿宋_GB2312" w:cs="仿宋_GB2312" w:eastAsia="仿宋_GB2312"/>
                <w:sz w:val="24"/>
                <w:b/>
              </w:rPr>
              <w:t>（四）合同的变更、中止、终止及争议的解决</w:t>
            </w:r>
          </w:p>
          <w:p>
            <w:pPr>
              <w:pStyle w:val="null3"/>
              <w:ind w:firstLine="420"/>
              <w:jc w:val="left"/>
            </w:pPr>
            <w:r>
              <w:rPr>
                <w:rFonts w:ascii="仿宋_GB2312" w:hAnsi="仿宋_GB2312" w:cs="仿宋_GB2312" w:eastAsia="仿宋_GB2312"/>
                <w:sz w:val="24"/>
              </w:rPr>
              <w:t>1、合同一经签订，不得擅自变更、中止或者终止合同。对确需变更、调整或者中止、终止合同的，由双方协商解决。</w:t>
            </w:r>
          </w:p>
          <w:p>
            <w:pPr>
              <w:pStyle w:val="null3"/>
              <w:ind w:firstLine="420"/>
              <w:jc w:val="left"/>
            </w:pPr>
            <w:r>
              <w:rPr>
                <w:rFonts w:ascii="仿宋_GB2312" w:hAnsi="仿宋_GB2312" w:cs="仿宋_GB2312" w:eastAsia="仿宋_GB2312"/>
                <w:sz w:val="24"/>
              </w:rPr>
              <w:t>2、合同在履行过程中发生的争议，当事人双方应协商解决，协商达不成一致时，可向采购方所在地仲裁委员会申请仲裁或者向人民法院提请诉讼。</w:t>
            </w:r>
          </w:p>
          <w:p>
            <w:pPr>
              <w:pStyle w:val="null3"/>
              <w:jc w:val="left"/>
            </w:pPr>
            <w:r>
              <w:rPr>
                <w:rFonts w:ascii="仿宋_GB2312" w:hAnsi="仿宋_GB2312" w:cs="仿宋_GB2312" w:eastAsia="仿宋_GB2312"/>
                <w:sz w:val="24"/>
                <w:b/>
              </w:rPr>
              <w:t>（五）违约责任</w:t>
            </w:r>
          </w:p>
          <w:p>
            <w:pPr>
              <w:pStyle w:val="null3"/>
              <w:ind w:firstLine="420"/>
              <w:jc w:val="left"/>
            </w:pPr>
            <w:r>
              <w:rPr>
                <w:rFonts w:ascii="仿宋_GB2312" w:hAnsi="仿宋_GB2312" w:cs="仿宋_GB2312" w:eastAsia="仿宋_GB2312"/>
                <w:sz w:val="24"/>
              </w:rPr>
              <w:t>乙方有下列行为之一的，构成严重违约，甲方有权解除合同，取消其供货方对应年度的供货资格，追究全部经济损失；乙方行为包括但不限于导致发生食品安全等责任事故，造成人员伤亡或者财产损失的，乙方应当承担全部刑事及民事责任。</w:t>
            </w:r>
          </w:p>
          <w:p>
            <w:pPr>
              <w:pStyle w:val="null3"/>
              <w:ind w:firstLine="420"/>
              <w:jc w:val="left"/>
            </w:pPr>
            <w:r>
              <w:rPr>
                <w:rFonts w:ascii="仿宋_GB2312" w:hAnsi="仿宋_GB2312" w:cs="仿宋_GB2312" w:eastAsia="仿宋_GB2312"/>
                <w:sz w:val="24"/>
              </w:rPr>
              <w:t>1.投标时提供了不符合招标文件中投标资质的虚假信息资料或者作了虚假承诺的；</w:t>
            </w:r>
          </w:p>
          <w:p>
            <w:pPr>
              <w:pStyle w:val="null3"/>
              <w:ind w:firstLine="420"/>
              <w:jc w:val="left"/>
            </w:pPr>
            <w:r>
              <w:rPr>
                <w:rFonts w:ascii="仿宋_GB2312" w:hAnsi="仿宋_GB2312" w:cs="仿宋_GB2312" w:eastAsia="仿宋_GB2312"/>
                <w:sz w:val="24"/>
              </w:rPr>
              <w:t>2.本合同签订时未按要求提供完备的资质资料或者提供了虚假资质资料的；</w:t>
            </w:r>
          </w:p>
          <w:p>
            <w:pPr>
              <w:pStyle w:val="null3"/>
              <w:ind w:firstLine="420"/>
              <w:jc w:val="left"/>
            </w:pPr>
            <w:r>
              <w:rPr>
                <w:rFonts w:ascii="仿宋_GB2312" w:hAnsi="仿宋_GB2312" w:cs="仿宋_GB2312" w:eastAsia="仿宋_GB2312"/>
                <w:sz w:val="24"/>
              </w:rPr>
              <w:t>3.任何时候发现投标时未实质响应招标文件规定的其他要求的。</w:t>
            </w:r>
          </w:p>
          <w:p>
            <w:pPr>
              <w:pStyle w:val="null3"/>
              <w:ind w:firstLine="420"/>
              <w:jc w:val="left"/>
            </w:pPr>
            <w:r>
              <w:rPr>
                <w:rFonts w:ascii="仿宋_GB2312" w:hAnsi="仿宋_GB2312" w:cs="仿宋_GB2312" w:eastAsia="仿宋_GB2312"/>
                <w:sz w:val="24"/>
              </w:rPr>
              <w:t>4.供应的产品低于投标文件质量要求或承诺的。</w:t>
            </w:r>
          </w:p>
          <w:p>
            <w:pPr>
              <w:pStyle w:val="null3"/>
              <w:ind w:firstLine="420"/>
              <w:jc w:val="left"/>
            </w:pPr>
            <w:r>
              <w:rPr>
                <w:rFonts w:ascii="仿宋_GB2312" w:hAnsi="仿宋_GB2312" w:cs="仿宋_GB2312" w:eastAsia="仿宋_GB2312"/>
                <w:sz w:val="24"/>
              </w:rPr>
              <w:t>5.伪造、变造质量检测检验报告的。</w:t>
            </w:r>
          </w:p>
          <w:p>
            <w:pPr>
              <w:pStyle w:val="null3"/>
              <w:ind w:firstLine="420"/>
              <w:jc w:val="left"/>
            </w:pPr>
            <w:r>
              <w:rPr>
                <w:rFonts w:ascii="仿宋_GB2312" w:hAnsi="仿宋_GB2312" w:cs="仿宋_GB2312" w:eastAsia="仿宋_GB2312"/>
                <w:sz w:val="24"/>
              </w:rPr>
              <w:t>6.供应的产品发现有腐败变质、深加工或高风险情况，掺杂使假者。</w:t>
            </w:r>
          </w:p>
          <w:p>
            <w:pPr>
              <w:pStyle w:val="null3"/>
              <w:ind w:firstLine="420"/>
              <w:jc w:val="left"/>
            </w:pPr>
            <w:r>
              <w:rPr>
                <w:rFonts w:ascii="仿宋_GB2312" w:hAnsi="仿宋_GB2312" w:cs="仿宋_GB2312" w:eastAsia="仿宋_GB2312"/>
                <w:sz w:val="24"/>
              </w:rPr>
              <w:t>7.在供货周期内，未按照甲方采购指令要求按期、足量供应的，影响食堂正常需要，出现供应的产品不按时供货、数量不足、质量不达标、价格严重偏离市场等严重违约行为，私自向食堂配送采供计划以外产品的，一旦发现，将直接取消对应的供货资格。</w:t>
            </w:r>
          </w:p>
          <w:p>
            <w:pPr>
              <w:pStyle w:val="null3"/>
              <w:ind w:firstLine="420"/>
              <w:jc w:val="left"/>
            </w:pPr>
            <w:r>
              <w:rPr>
                <w:rFonts w:ascii="仿宋_GB2312" w:hAnsi="仿宋_GB2312" w:cs="仿宋_GB2312" w:eastAsia="仿宋_GB2312"/>
                <w:sz w:val="24"/>
              </w:rPr>
              <w:t>8.供货企业在供货周期内，如出现以下任何一种情况，则直接取消其对应年度的供货资格，要求其承担相应的法律、经济责任，承担违约和损失赔偿责任。</w:t>
            </w:r>
          </w:p>
          <w:p>
            <w:pPr>
              <w:pStyle w:val="null3"/>
              <w:ind w:firstLine="420"/>
              <w:jc w:val="left"/>
            </w:pPr>
            <w:r>
              <w:rPr>
                <w:rFonts w:ascii="仿宋_GB2312" w:hAnsi="仿宋_GB2312" w:cs="仿宋_GB2312" w:eastAsia="仿宋_GB2312"/>
                <w:sz w:val="24"/>
              </w:rPr>
              <w:t>8.1提供的产品引起食物中毒，造成食品安全事故；</w:t>
            </w:r>
          </w:p>
          <w:p>
            <w:pPr>
              <w:pStyle w:val="null3"/>
              <w:ind w:firstLine="420"/>
              <w:jc w:val="left"/>
            </w:pPr>
            <w:r>
              <w:rPr>
                <w:rFonts w:ascii="仿宋_GB2312" w:hAnsi="仿宋_GB2312" w:cs="仿宋_GB2312" w:eastAsia="仿宋_GB2312"/>
                <w:sz w:val="24"/>
              </w:rPr>
              <w:t>8.2违规使用食品添加剂或在所供产品中添加化学原料；</w:t>
            </w:r>
          </w:p>
          <w:p>
            <w:pPr>
              <w:pStyle w:val="null3"/>
              <w:ind w:firstLine="420"/>
              <w:jc w:val="left"/>
            </w:pPr>
            <w:r>
              <w:rPr>
                <w:rFonts w:ascii="仿宋_GB2312" w:hAnsi="仿宋_GB2312" w:cs="仿宋_GB2312" w:eastAsia="仿宋_GB2312"/>
                <w:sz w:val="24"/>
              </w:rPr>
              <w:t>8.3在市场抽检中发现严重不合格，且被市场监管、农业农村等部门行政处罚并公示的；</w:t>
            </w:r>
          </w:p>
          <w:p>
            <w:pPr>
              <w:pStyle w:val="null3"/>
              <w:ind w:firstLine="420"/>
              <w:jc w:val="left"/>
            </w:pPr>
            <w:r>
              <w:rPr>
                <w:rFonts w:ascii="仿宋_GB2312" w:hAnsi="仿宋_GB2312" w:cs="仿宋_GB2312" w:eastAsia="仿宋_GB2312"/>
                <w:sz w:val="24"/>
              </w:rPr>
              <w:t>8.4由于其提供的产品出现质量问题或资质证明材料不齐全，导致采购人受到上级管理部门的处罚；</w:t>
            </w:r>
          </w:p>
          <w:p>
            <w:pPr>
              <w:pStyle w:val="null3"/>
              <w:ind w:firstLine="420"/>
              <w:jc w:val="left"/>
            </w:pPr>
            <w:r>
              <w:rPr>
                <w:rFonts w:ascii="仿宋_GB2312" w:hAnsi="仿宋_GB2312" w:cs="仿宋_GB2312" w:eastAsia="仿宋_GB2312"/>
                <w:sz w:val="24"/>
              </w:rPr>
              <w:t>8.5合作中存在欺骗、欺诈的行为；</w:t>
            </w:r>
          </w:p>
          <w:p>
            <w:pPr>
              <w:pStyle w:val="null3"/>
              <w:ind w:firstLine="420"/>
              <w:jc w:val="left"/>
            </w:pPr>
            <w:r>
              <w:rPr>
                <w:rFonts w:ascii="仿宋_GB2312" w:hAnsi="仿宋_GB2312" w:cs="仿宋_GB2312" w:eastAsia="仿宋_GB2312"/>
                <w:sz w:val="24"/>
              </w:rPr>
              <w:t>8.6供应商因存在严重的食品安全隐患等问题被新闻媒体曝光，或被使用单位及广大就餐人员等投诉反映质量问题达到三次以上的；</w:t>
            </w:r>
          </w:p>
          <w:p>
            <w:pPr>
              <w:pStyle w:val="null3"/>
              <w:ind w:firstLine="420"/>
              <w:jc w:val="left"/>
            </w:pPr>
            <w:r>
              <w:rPr>
                <w:rFonts w:ascii="仿宋_GB2312" w:hAnsi="仿宋_GB2312" w:cs="仿宋_GB2312" w:eastAsia="仿宋_GB2312"/>
                <w:sz w:val="24"/>
              </w:rPr>
              <w:t>8.7违反廉洁承诺或学校相关廉洁规定的；</w:t>
            </w:r>
          </w:p>
          <w:p>
            <w:pPr>
              <w:pStyle w:val="null3"/>
              <w:ind w:firstLine="420"/>
              <w:jc w:val="left"/>
            </w:pPr>
            <w:r>
              <w:rPr>
                <w:rFonts w:ascii="仿宋_GB2312" w:hAnsi="仿宋_GB2312" w:cs="仿宋_GB2312" w:eastAsia="仿宋_GB2312"/>
                <w:sz w:val="24"/>
              </w:rPr>
              <w:t>8.8在合同期内，乙方变更公司名称，视为乙方自动放弃履行合同，合同自动终止。</w:t>
            </w:r>
          </w:p>
          <w:p>
            <w:pPr>
              <w:pStyle w:val="null3"/>
              <w:spacing w:before="150"/>
              <w:jc w:val="both"/>
            </w:pPr>
            <w:r>
              <w:rPr>
                <w:rFonts w:ascii="仿宋_GB2312" w:hAnsi="仿宋_GB2312" w:cs="仿宋_GB2312" w:eastAsia="仿宋_GB2312"/>
                <w:sz w:val="28"/>
                <w:b/>
              </w:rPr>
              <w:t>注：商务要求不得负偏离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合同签订之日起1年内完成。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原材料验收由供应方、使用方，双方现场检验，对供应产品的质量无异议数量准确无误后，双方签字，各自留存（2）食材进校验收应综合运用“望、闻、问、切”等多种方式，核对重量，核对生产日期和保质期，重点核查以下事项，核对包装完整性，核对食材一致性；查看食材色泽、形态；确认食材是否有异味。（3）原材料在验收时有不符合要求的，一律退回，供应商无条件重新更换配送产品，更换后仍然不符合标准的采购人有权对供应商处以一定金额的罚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进度款，每月配送完结开具发票后，达到付款条件起15个工作日内，支付合同总金额的10.0%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有下列行为之一的，构成严重违约，甲方有权解除合同，取消其供货方对应年度的供货资格，追究全部经济损失；乙方行为包括但不限于导致发生食品安全等责任事故，造成人员伤亡或者财产损失的，乙方应当承担全部刑事及民事责任。 1.投标时提供了不符合招标文件中投标资质的虚假信息资料或者作了虚假承诺的； 2.本合同签订时未按要求提供完备的资质资料或者提供了虚假资质资料的； 3.任何时候发现投标时未实质响应招标文件规定的其他要求的。 4.供应的产品低于投标文件质量要求或承诺的。 5.伪造、变造质量检测检验报告的。 6.供应的产品发现有腐败变质、深加工或高风险情况，掺杂使假者。 7.在供货周期内，未按照甲方采购指令要求按期、足量供应的，影响食堂正常需要，出现供应的产品不按时供货、数量不足、质量不达标、价格严重偏离市场等严重违约行为，私自向食堂配送采供计划以外产品的，一旦发现，将直接取消对应的供货资格。 8.供货企业在供货周期内，如出现以下任何一种情况，则直接取消其对应年度的供货资格，要求其承担相应的法律、经济责任，承担违约和损失赔偿责任。 8.1提供的产品引起食物中毒，造成食品安全事故； 8.2违规使用食品添加剂或在所供产品中添加化学原料； 8.3在市场抽检中发现严重不合格，且被市场监管、农业农村等部门行政处罚并公示的； 8.4由于其提供的产品出现质量问题或资质证明材料不齐全，导致采购人受到上级管理部门的处罚； 8.5合作中存在欺骗、欺诈的行为； 8.6供应商因存在严重的食品安全隐患等问题被新闻媒体曝光，或被使用单位及广大就餐人员等投诉反映质量问题达到三次以上的； 8.7违反廉洁承诺或学校相关廉洁规定的； 8.8在合同期内，乙方变更公司名称，视为乙方自动放弃履行合同，合同自动终止。</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1.特别注意:为顺利推进政府采购电子化交易平台应用工作，供应商需要在线提交所有通过电子化交易平台实施的政府采购项目的响应文件； 2.成交供应商在采购结果发布后5个工作日内向代理机构提交纸质版响应文件以便于存档，响应文件正本1份，副本2份（可以使用签章文件直接打印），电子版文件2份（以U盘为载体，PDF格式），纸质响应文件均须A4纸打印，分别各自装订成册。线下递交响应文件地点：汉中市南郑区南郑大道南300米（南郑工业园区管委会二楼）；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供应商须提供有效期内的《食品经营许可证》。（材料应清晰可辨并进行电子签章）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不接受联合体磋商，按照格式填写承诺书。（材料应清晰可辨并进行电子签章）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响应文件封面 业绩一览表.docx 服务要求应答表.docx 供应商应提交的相关资格证明材料.docx 中小企业声明函 残疾人福利性单位声明函 服务人员配备一览表.docx 标的清单 商务要求响应表.docx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业绩一览表.docx 服务要求应答表.docx 供应商应提交的相关资格证明材料.docx 中小企业声明函 残疾人福利性单位声明函 服务人员配备一览表.docx 标的清单 商务要求响应表.docx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标的清单 商务要求响应表.docx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 供应商针对本项目制定服务方案，包括①蔬菜类质量保障措施②辅料类质量保障措施③水果类质量保障措施④杂粮类质量保障措施⑤食材综合检测能力⑥食材溯源体系⑦食材配送计划安排⑧食材数量及种类管理⑨食材交接验收⑩突发事件应急处理方案（含针对恶劣天气影响、问题食材更换、食物中毒等重大突发公共卫生事件特殊情况、紧急缺货补货）⑪食材安全保障措施。 二、赋分标准： 1.完整性：上述每小项内容满足评审标准得1分；上述每小项内容较满足评审标准得0.5分；上述每小项内容有缺陷得0分；此项不提供不得分。 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服务人员配置方案</w:t>
            </w:r>
          </w:p>
        </w:tc>
        <w:tc>
          <w:tcPr>
            <w:tcW w:type="dxa" w:w="2492"/>
          </w:tcPr>
          <w:p>
            <w:pPr>
              <w:pStyle w:val="null3"/>
            </w:pPr>
            <w:r>
              <w:rPr>
                <w:rFonts w:ascii="仿宋_GB2312" w:hAnsi="仿宋_GB2312" w:cs="仿宋_GB2312" w:eastAsia="仿宋_GB2312"/>
              </w:rPr>
              <w:t>一、评审内容： 供应商有稳定的服务人员，针对本项目的管理、质检、配送实施组建架构齐全，根据人员配置方案综合赋分。（提供针对本项目所有人员的身份证、劳务合同和健康证复印件） 二、赋分标准： 1.完整性：上述内容满足评审标准得2分；上述内容较满足评审标准得1分；上述内容有缺陷得0分；此项不提供不得分。 2.针对性：上述内容满足评审标准得2分；上述内容较满足评审标准得1分；上述内容有缺陷得0分；此项不提供不得分。 3.可实施性：上述内容满足评审标准得2分；上述内容较满足评审标准得1分；上述内容有缺陷得0分；此项不提供不得分。 说明: 1.满足评审标准是指:服务人员配置合理，岗位职责明确，人员证件齐全，完全可以满足项目需求; 2.较满足评审标准是指:服务人员配置相对合理，岗位职责相对明确，人员证件较齐全，可以满足项目需求; 3.有缺陷是指：服务人员配置基本合理，岗位职责基本明确，人员证件不齐全，基本可以满足项目需求。</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配送服务方案.docx</w:t>
            </w:r>
          </w:p>
          <w:p>
            <w:pPr>
              <w:pStyle w:val="null3"/>
            </w:pPr>
            <w:r>
              <w:rPr>
                <w:rFonts w:ascii="仿宋_GB2312" w:hAnsi="仿宋_GB2312" w:cs="仿宋_GB2312" w:eastAsia="仿宋_GB2312"/>
              </w:rPr>
              <w:t>服务人员配备一览表.docx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供应商结合本项目采购内容须提供符合食品安全运输标准的专用运输车辆（冷藏（恒温）、常温）人货分离相关配送设备。 二、赋分标准： 提供1辆得2分，最高得6分，证明材料不齐全或未提供证明材料不计分。 注：至少得包含2辆冷藏运输车辆；①企业自有的运输配送车辆需提供车辆行驶证复印件及车辆功能与外观证明（含车牌号的外部整体照片和展示制冷/保温设备的内部照片）；企业租赁车辆需提供有效期内的车辆租赁合同复印件及车辆功能与外观证明（含车牌号的外部整体照片和展示制冷/保温设备的内部照片）。提供的证明材料缺失或未提供则不得分。②冷藏车须具备专业的保温厢体并配备制冷机组；恒温车须具备专业的保温厢体并配备空调及制热设备；常温车须具备全封闭厢体。</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仓储场所</w:t>
            </w:r>
          </w:p>
        </w:tc>
        <w:tc>
          <w:tcPr>
            <w:tcW w:type="dxa" w:w="2492"/>
          </w:tcPr>
          <w:p>
            <w:pPr>
              <w:pStyle w:val="null3"/>
            </w:pPr>
            <w:r>
              <w:rPr>
                <w:rFonts w:ascii="仿宋_GB2312" w:hAnsi="仿宋_GB2312" w:cs="仿宋_GB2312" w:eastAsia="仿宋_GB2312"/>
              </w:rPr>
              <w:t>一、评审内容： 供应商提供自有或租赁（租赁剩余有效期≥1年）的仓储场所总面积。 二、赋分标准： ①供应商提供房产证扫描件或集体土地使用证或租赁合同关键页（含面积页、有效期页、盖章页）得5分； ②未提供或资料不全不得分。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卫生防疫设施</w:t>
            </w:r>
          </w:p>
        </w:tc>
        <w:tc>
          <w:tcPr>
            <w:tcW w:type="dxa" w:w="2492"/>
          </w:tcPr>
          <w:p>
            <w:pPr>
              <w:pStyle w:val="null3"/>
            </w:pPr>
            <w:r>
              <w:rPr>
                <w:rFonts w:ascii="仿宋_GB2312" w:hAnsi="仿宋_GB2312" w:cs="仿宋_GB2312" w:eastAsia="仿宋_GB2312"/>
              </w:rPr>
              <w:t>一、评审内容： 供应商仓储场所配备完善的卫生防疫设施。 二、赋分标准： ①同时具备：防鼠板、灭蝇灯、全覆盖视频监控、地面硬化及排水系统的，得3分； ②缺少任意1项的，得2分； ③缺少任意2项的，得1分； ④缺少3项及以上或未配备的，得 0分。 注：证明材料要求：设备清单及对应实景照片并加盖供应商公章。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车辆消毒制度及记录</w:t>
            </w:r>
          </w:p>
        </w:tc>
        <w:tc>
          <w:tcPr>
            <w:tcW w:type="dxa" w:w="2492"/>
          </w:tcPr>
          <w:p>
            <w:pPr>
              <w:pStyle w:val="null3"/>
            </w:pPr>
            <w:r>
              <w:rPr>
                <w:rFonts w:ascii="仿宋_GB2312" w:hAnsi="仿宋_GB2312" w:cs="仿宋_GB2312" w:eastAsia="仿宋_GB2312"/>
              </w:rPr>
              <w:t>一、评审内容： 供应商具有完善的配送车辆清洗消毒管理制度，定期消毒并做好消毒记录。 二、赋分标准： ①制度健全（含消毒频次、消毒剂种类、消毒方式、责任人），且能提供近1个月内完整的消毒记录（含车牌号、消毒时间、操作人签名）的，得 3分； ②有制度但记录不完整（缺勤率≥20%）的，得 2分； ③有制度但不完整、记录不完整（缺勤率≥40%）的，得 1分； ④无制度或未提供的，得 0分。 注：证明材料要求：①消毒管理制度文本；②近1个月消毒记录表扫描件（至少覆盖5个配送日）；③消毒剂采购或领用台账；④所有证明材料均需加盖供应商公章。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 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留样制度。 二、赋分标准： 每提供一项承诺得1.5分，满分12分；不提供不得分。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供应商针对本项目制定服务承诺，包括：①食品质量安全保障承诺②配送时效售后服务承诺③工作配合及服务态度承诺④所供食材不高于市场价保证承诺。 二、赋分标准： 每提供一项承诺得2.5分，满分10分；不提供不得分。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农残检测设备</w:t>
            </w:r>
          </w:p>
        </w:tc>
        <w:tc>
          <w:tcPr>
            <w:tcW w:type="dxa" w:w="2492"/>
          </w:tcPr>
          <w:p>
            <w:pPr>
              <w:pStyle w:val="null3"/>
            </w:pPr>
            <w:r>
              <w:rPr>
                <w:rFonts w:ascii="仿宋_GB2312" w:hAnsi="仿宋_GB2312" w:cs="仿宋_GB2312" w:eastAsia="仿宋_GB2312"/>
              </w:rPr>
              <w:t>一、评审内容： 供应商根据采购需求须提供农残检测设备。 二、赋分标准： 自有农残检测设备需提供设备采购发票（增值税发票，购买方抬头必须为供应商，清晰显示仪器名称、数量）和仪器整机实拍照片（照片内同时包含仪器机身铭牌）；租赁农残检测设备需提供完整设备租赁合同（合同甲乙双方含投标人、租赁方，明确租赁仪器名称、数量、租赁期限覆盖本项目合同履约期）、租金支付凭证或租赁发票和仪器整机实拍照片（照片内同时包含仪器机身铭牌），提供得4分，提供的证明材料缺失或未提供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 为落实食品安全责任，供应商须在投标时提供《成交后签订合同前购买食品安全责任险的承诺函》。 二、赋分标准： 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 供应商提供2023年8月1日以来完成的类似项目业绩； 二、赋分标准： 提供一个得2.5分,最高5分。无此项内容不得分。 （业绩证明材料以中标/成交通知书或合同为准，响应文件中附中标/成交通知书或合同复印件并加盖企业公章）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磋商报价下浮率（1-磋商报价下浮率）为评标基准价，其价格分为满分。其他供应商的价格分统一按照下列公式计算：磋商报价得分=（评标基准下浮率/磋商报价下浮率）×价格分值。 备注：计算分数时四舍五入取小数点后两位。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详见附件：服务人员配备一览表.docx</w:t>
      </w:r>
    </w:p>
    <w:p>
      <w:pPr>
        <w:pStyle w:val="null3"/>
        <w:ind w:firstLine="960"/>
      </w:pPr>
      <w:r>
        <w:rPr>
          <w:rFonts w:ascii="仿宋_GB2312" w:hAnsi="仿宋_GB2312" w:cs="仿宋_GB2312" w:eastAsia="仿宋_GB2312"/>
        </w:rPr>
        <w:t>详见附件：服务要求应答表.docx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详见附件：配送服务方案.docx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