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7E4CC8B">
      <w:pPr>
        <w:shd w:val="clear"/>
        <w:autoSpaceDE w:val="0"/>
        <w:autoSpaceDN w:val="0"/>
        <w:adjustRightInd w:val="0"/>
        <w:snapToGrid w:val="0"/>
        <w:spacing w:line="360" w:lineRule="auto"/>
        <w:jc w:val="center"/>
        <w:outlineLvl w:val="0"/>
        <w:rPr>
          <w:rFonts w:hint="eastAsia" w:ascii="黑体" w:hAnsi="黑体" w:eastAsia="黑体" w:cs="黑体"/>
          <w:bCs/>
          <w:sz w:val="36"/>
          <w:szCs w:val="36"/>
        </w:rPr>
      </w:pPr>
      <w:r>
        <w:rPr>
          <w:rFonts w:hint="eastAsia" w:ascii="黑体" w:hAnsi="黑体" w:eastAsia="黑体" w:cs="黑体"/>
          <w:bCs/>
          <w:sz w:val="36"/>
          <w:szCs w:val="36"/>
        </w:rPr>
        <w:t>拟签订采购合同文本</w:t>
      </w:r>
    </w:p>
    <w:p w14:paraId="3217B23E">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2" w:firstLineChars="200"/>
        <w:jc w:val="left"/>
        <w:textAlignment w:val="auto"/>
        <w:outlineLvl w:val="0"/>
        <w:rPr>
          <w:rFonts w:ascii="仿宋" w:hAnsi="仿宋" w:eastAsia="仿宋" w:cs="仿宋"/>
          <w:b/>
          <w:bCs w:val="0"/>
          <w:sz w:val="22"/>
          <w:szCs w:val="22"/>
        </w:rPr>
      </w:pPr>
      <w:r>
        <w:rPr>
          <w:rFonts w:hint="eastAsia" w:ascii="仿宋" w:hAnsi="仿宋" w:eastAsia="仿宋" w:cs="仿宋"/>
          <w:b/>
          <w:bCs w:val="0"/>
          <w:sz w:val="22"/>
          <w:szCs w:val="22"/>
        </w:rPr>
        <w:t>（注：本合同作为合同的基本格式，签订合同时合同的相关条款及内容</w:t>
      </w:r>
      <w:r>
        <w:rPr>
          <w:rFonts w:hint="eastAsia" w:ascii="仿宋" w:hAnsi="仿宋" w:eastAsia="仿宋" w:cs="仿宋"/>
          <w:b/>
          <w:bCs w:val="0"/>
          <w:sz w:val="22"/>
          <w:szCs w:val="22"/>
          <w:lang w:val="en-US" w:eastAsia="zh-CN"/>
        </w:rPr>
        <w:t>具体以甲方要求为准</w:t>
      </w:r>
      <w:r>
        <w:rPr>
          <w:rFonts w:hint="eastAsia" w:ascii="仿宋" w:hAnsi="仿宋" w:eastAsia="仿宋" w:cs="仿宋"/>
          <w:b/>
          <w:bCs w:val="0"/>
          <w:sz w:val="22"/>
          <w:szCs w:val="22"/>
        </w:rPr>
        <w:t>）</w:t>
      </w:r>
    </w:p>
    <w:p w14:paraId="1DA507DC">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 xml:space="preserve">合同编号： </w:t>
      </w:r>
    </w:p>
    <w:p w14:paraId="3CB48A97">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 xml:space="preserve">签订地点： </w:t>
      </w:r>
    </w:p>
    <w:p w14:paraId="4C8FAB5F">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签订时间：</w:t>
      </w:r>
    </w:p>
    <w:p w14:paraId="26A50CB6">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采购人（甲方）：</w:t>
      </w:r>
      <w:bookmarkStart w:id="52" w:name="_GoBack"/>
      <w:bookmarkEnd w:id="52"/>
    </w:p>
    <w:p w14:paraId="0B119F36">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lang w:eastAsia="zh-CN"/>
        </w:rPr>
        <w:t>投标人</w:t>
      </w:r>
      <w:r>
        <w:rPr>
          <w:rFonts w:hint="eastAsia" w:ascii="仿宋" w:hAnsi="仿宋" w:eastAsia="仿宋" w:cs="仿宋"/>
          <w:bCs/>
          <w:sz w:val="22"/>
          <w:szCs w:val="22"/>
        </w:rPr>
        <w:t>（乙方）：</w:t>
      </w:r>
    </w:p>
    <w:p w14:paraId="514FDB43">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根据《中华人民共和国政府采购法》及实施条例、《中华人民共和国民法典》和</w:t>
      </w:r>
      <w:r>
        <w:rPr>
          <w:rFonts w:hint="eastAsia" w:ascii="仿宋" w:hAnsi="仿宋" w:eastAsia="仿宋" w:cs="仿宋"/>
          <w:bCs/>
          <w:sz w:val="22"/>
          <w:szCs w:val="22"/>
          <w:u w:val="single"/>
          <w:lang w:eastAsia="zh-CN"/>
        </w:rPr>
        <w:t>2026-2027学年南郑区江南幼儿园等学校蔬菜、辅料等食材配送采购项目</w:t>
      </w:r>
      <w:r>
        <w:rPr>
          <w:rFonts w:hint="eastAsia" w:ascii="仿宋" w:hAnsi="仿宋" w:eastAsia="仿宋" w:cs="仿宋"/>
          <w:bCs/>
          <w:sz w:val="22"/>
          <w:szCs w:val="22"/>
        </w:rPr>
        <w:t>（采购项目编号：</w:t>
      </w:r>
      <w:r>
        <w:rPr>
          <w:rFonts w:hint="eastAsia" w:ascii="仿宋" w:hAnsi="仿宋" w:eastAsia="仿宋" w:cs="仿宋"/>
          <w:bCs/>
          <w:sz w:val="22"/>
          <w:szCs w:val="22"/>
          <w:lang w:eastAsia="zh-CN"/>
        </w:rPr>
        <w:t>HZ-J2026051C</w:t>
      </w:r>
      <w:r>
        <w:rPr>
          <w:rFonts w:hint="eastAsia" w:ascii="仿宋" w:hAnsi="仿宋" w:eastAsia="仿宋" w:cs="仿宋"/>
          <w:bCs/>
          <w:sz w:val="22"/>
          <w:szCs w:val="22"/>
        </w:rPr>
        <w:t>）的</w:t>
      </w:r>
      <w:r>
        <w:rPr>
          <w:rFonts w:hint="eastAsia" w:ascii="仿宋" w:hAnsi="仿宋" w:eastAsia="仿宋" w:cs="仿宋"/>
          <w:bCs/>
          <w:sz w:val="22"/>
          <w:szCs w:val="22"/>
          <w:lang w:eastAsia="zh-CN"/>
        </w:rPr>
        <w:t>磋商文件</w:t>
      </w:r>
      <w:r>
        <w:rPr>
          <w:rFonts w:hint="eastAsia" w:ascii="仿宋" w:hAnsi="仿宋" w:eastAsia="仿宋" w:cs="仿宋"/>
          <w:bCs/>
          <w:sz w:val="22"/>
          <w:szCs w:val="22"/>
        </w:rPr>
        <w:t>、</w:t>
      </w:r>
      <w:r>
        <w:rPr>
          <w:rFonts w:hint="eastAsia" w:ascii="仿宋" w:hAnsi="仿宋" w:eastAsia="仿宋" w:cs="仿宋"/>
          <w:bCs/>
          <w:sz w:val="22"/>
          <w:szCs w:val="22"/>
          <w:lang w:eastAsia="zh-CN"/>
        </w:rPr>
        <w:t>响应文件</w:t>
      </w:r>
      <w:r>
        <w:rPr>
          <w:rFonts w:hint="eastAsia" w:ascii="仿宋" w:hAnsi="仿宋" w:eastAsia="仿宋" w:cs="仿宋"/>
          <w:bCs/>
          <w:sz w:val="22"/>
          <w:szCs w:val="22"/>
        </w:rPr>
        <w:t>等有关规定，为确保甲方采购项目的顺利实施，甲、乙双方在平等自愿原则下签订本合同，并共同遵守如下条款：</w:t>
      </w:r>
    </w:p>
    <w:p w14:paraId="0D472950">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第一条 项目基本情况</w:t>
      </w:r>
    </w:p>
    <w:p w14:paraId="565BB843">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第二条 合同期限</w:t>
      </w:r>
    </w:p>
    <w:p w14:paraId="02FFAE2F">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bookmarkStart w:id="0" w:name="_Toc211911348"/>
      <w:bookmarkStart w:id="1" w:name="_Toc211854449"/>
      <w:bookmarkStart w:id="2" w:name="_Toc286993786"/>
      <w:bookmarkStart w:id="3" w:name="_Toc283019214"/>
      <w:bookmarkStart w:id="4" w:name="_Toc238984975"/>
      <w:bookmarkStart w:id="5" w:name="_Toc225670751"/>
      <w:bookmarkStart w:id="6" w:name="_Toc237145406"/>
      <w:bookmarkStart w:id="7" w:name="_Toc225654644"/>
      <w:bookmarkStart w:id="8" w:name="_Toc232492928"/>
      <w:bookmarkStart w:id="9" w:name="_Toc241833903"/>
      <w:bookmarkStart w:id="10" w:name="_Toc282696226"/>
      <w:bookmarkStart w:id="11" w:name="_Toc247334841"/>
      <w:bookmarkStart w:id="12" w:name="_Toc251768862"/>
      <w:bookmarkStart w:id="13" w:name="_Toc239568418"/>
      <w:bookmarkStart w:id="14" w:name="_Toc225244852"/>
      <w:bookmarkStart w:id="15" w:name="_Toc239233914"/>
      <w:bookmarkStart w:id="16" w:name="_Toc185395249"/>
      <w:bookmarkStart w:id="17" w:name="_Toc212019594"/>
      <w:r>
        <w:rPr>
          <w:rFonts w:hint="eastAsia" w:ascii="仿宋" w:hAnsi="仿宋" w:eastAsia="仿宋" w:cs="仿宋"/>
          <w:bCs/>
          <w:sz w:val="22"/>
          <w:szCs w:val="22"/>
        </w:rPr>
        <w:t>第三条 服务内容与质量标准</w:t>
      </w:r>
    </w:p>
    <w:p w14:paraId="00E019BF">
      <w:pPr>
        <w:keepNext w:val="0"/>
        <w:keepLines w:val="0"/>
        <w:pageBreakBefore w:val="0"/>
        <w:widowControl w:val="0"/>
        <w:shd w:val="clear"/>
        <w:kinsoku/>
        <w:wordWrap/>
        <w:overflowPunct/>
        <w:topLinePunct w:val="0"/>
        <w:bidi w:val="0"/>
        <w:snapToGrid w:val="0"/>
        <w:spacing w:line="312" w:lineRule="auto"/>
        <w:ind w:firstLine="482"/>
        <w:textAlignment w:val="auto"/>
        <w:rPr>
          <w:rFonts w:ascii="仿宋" w:hAnsi="仿宋" w:eastAsia="仿宋" w:cs="仿宋"/>
          <w:bCs/>
          <w:sz w:val="22"/>
          <w:szCs w:val="22"/>
        </w:rPr>
      </w:pPr>
      <w:r>
        <w:rPr>
          <w:rFonts w:hint="eastAsia" w:ascii="仿宋" w:hAnsi="仿宋" w:eastAsia="仿宋" w:cs="仿宋"/>
          <w:bCs/>
          <w:sz w:val="22"/>
          <w:szCs w:val="22"/>
        </w:rPr>
        <w:t>本合同所提供的服务项目内容：</w:t>
      </w:r>
      <w:r>
        <w:rPr>
          <w:rFonts w:hint="eastAsia" w:ascii="仿宋" w:hAnsi="仿宋" w:eastAsia="仿宋" w:cs="仿宋"/>
          <w:bCs/>
          <w:sz w:val="22"/>
          <w:szCs w:val="22"/>
          <w:u w:val="single"/>
        </w:rPr>
        <w:t xml:space="preserve">                </w:t>
      </w:r>
      <w:r>
        <w:rPr>
          <w:rFonts w:hint="eastAsia" w:ascii="仿宋" w:hAnsi="仿宋" w:eastAsia="仿宋" w:cs="仿宋"/>
          <w:bCs/>
          <w:sz w:val="22"/>
          <w:szCs w:val="22"/>
        </w:rPr>
        <w:t>（与</w:t>
      </w:r>
      <w:r>
        <w:rPr>
          <w:rFonts w:hint="eastAsia" w:ascii="仿宋" w:hAnsi="仿宋" w:eastAsia="仿宋" w:cs="仿宋"/>
          <w:bCs/>
          <w:sz w:val="22"/>
          <w:szCs w:val="22"/>
          <w:lang w:eastAsia="zh-CN"/>
        </w:rPr>
        <w:t>响应文件</w:t>
      </w:r>
      <w:r>
        <w:rPr>
          <w:rFonts w:hint="eastAsia" w:ascii="仿宋" w:hAnsi="仿宋" w:eastAsia="仿宋" w:cs="仿宋"/>
          <w:bCs/>
          <w:sz w:val="22"/>
          <w:szCs w:val="22"/>
        </w:rPr>
        <w:t>中服务一致）。</w:t>
      </w:r>
    </w:p>
    <w:p w14:paraId="5C39D0C7">
      <w:pPr>
        <w:keepNext w:val="0"/>
        <w:keepLines w:val="0"/>
        <w:pageBreakBefore w:val="0"/>
        <w:widowControl w:val="0"/>
        <w:shd w:val="clear"/>
        <w:kinsoku/>
        <w:wordWrap/>
        <w:overflowPunct/>
        <w:topLinePunct w:val="0"/>
        <w:bidi w:val="0"/>
        <w:snapToGrid w:val="0"/>
        <w:spacing w:line="312" w:lineRule="auto"/>
        <w:ind w:firstLine="482"/>
        <w:textAlignment w:val="auto"/>
        <w:rPr>
          <w:rFonts w:ascii="仿宋" w:hAnsi="仿宋" w:eastAsia="仿宋" w:cs="仿宋"/>
          <w:bCs/>
          <w:sz w:val="22"/>
          <w:szCs w:val="22"/>
        </w:rPr>
      </w:pPr>
      <w:r>
        <w:rPr>
          <w:rFonts w:hint="eastAsia" w:ascii="仿宋" w:hAnsi="仿宋" w:eastAsia="仿宋" w:cs="仿宋"/>
          <w:bCs/>
          <w:sz w:val="22"/>
          <w:szCs w:val="22"/>
        </w:rPr>
        <w:t>1、</w:t>
      </w:r>
      <w:r>
        <w:rPr>
          <w:rFonts w:hint="eastAsia" w:ascii="仿宋" w:hAnsi="仿宋" w:eastAsia="仿宋" w:cs="仿宋"/>
          <w:bCs/>
          <w:sz w:val="22"/>
          <w:szCs w:val="22"/>
          <w:lang w:eastAsia="zh-CN"/>
        </w:rPr>
        <w:t>服务期限</w:t>
      </w:r>
      <w:r>
        <w:rPr>
          <w:rFonts w:hint="eastAsia" w:ascii="仿宋" w:hAnsi="仿宋" w:eastAsia="仿宋" w:cs="仿宋"/>
          <w:bCs/>
          <w:sz w:val="22"/>
          <w:szCs w:val="22"/>
        </w:rPr>
        <w:t>：</w:t>
      </w:r>
      <w:r>
        <w:rPr>
          <w:rFonts w:hint="eastAsia" w:ascii="仿宋" w:hAnsi="仿宋" w:eastAsia="仿宋" w:cs="仿宋"/>
          <w:bCs/>
          <w:sz w:val="22"/>
          <w:szCs w:val="22"/>
          <w:u w:val="single"/>
        </w:rPr>
        <w:t xml:space="preserve">                                </w:t>
      </w:r>
      <w:r>
        <w:rPr>
          <w:rFonts w:hint="eastAsia" w:ascii="仿宋" w:hAnsi="仿宋" w:eastAsia="仿宋" w:cs="仿宋"/>
          <w:bCs/>
          <w:sz w:val="22"/>
          <w:szCs w:val="22"/>
        </w:rPr>
        <w:t>。</w:t>
      </w:r>
    </w:p>
    <w:p w14:paraId="131D9F5A">
      <w:pPr>
        <w:keepNext w:val="0"/>
        <w:keepLines w:val="0"/>
        <w:pageBreakBefore w:val="0"/>
        <w:widowControl w:val="0"/>
        <w:shd w:val="clear"/>
        <w:kinsoku/>
        <w:wordWrap/>
        <w:overflowPunct/>
        <w:topLinePunct w:val="0"/>
        <w:bidi w:val="0"/>
        <w:snapToGrid w:val="0"/>
        <w:spacing w:line="312" w:lineRule="auto"/>
        <w:ind w:firstLine="482"/>
        <w:textAlignment w:val="auto"/>
        <w:rPr>
          <w:rFonts w:ascii="仿宋" w:hAnsi="仿宋" w:eastAsia="仿宋" w:cs="仿宋"/>
          <w:bCs/>
          <w:sz w:val="22"/>
          <w:szCs w:val="22"/>
        </w:rPr>
      </w:pPr>
      <w:r>
        <w:rPr>
          <w:rFonts w:hint="eastAsia" w:ascii="仿宋" w:hAnsi="仿宋" w:eastAsia="仿宋" w:cs="仿宋"/>
          <w:bCs/>
          <w:sz w:val="22"/>
          <w:szCs w:val="22"/>
        </w:rPr>
        <w:t>2、服务地点：</w:t>
      </w:r>
      <w:r>
        <w:rPr>
          <w:rFonts w:hint="eastAsia" w:ascii="仿宋" w:hAnsi="仿宋" w:eastAsia="仿宋" w:cs="仿宋"/>
          <w:bCs/>
          <w:sz w:val="22"/>
          <w:szCs w:val="22"/>
          <w:u w:val="single"/>
        </w:rPr>
        <w:t xml:space="preserve">                                </w:t>
      </w:r>
      <w:r>
        <w:rPr>
          <w:rFonts w:hint="eastAsia" w:ascii="仿宋" w:hAnsi="仿宋" w:eastAsia="仿宋" w:cs="仿宋"/>
          <w:bCs/>
          <w:sz w:val="22"/>
          <w:szCs w:val="22"/>
        </w:rPr>
        <w:t>。</w:t>
      </w:r>
    </w:p>
    <w:p w14:paraId="18D65F46">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w:t>
      </w:r>
    </w:p>
    <w:p w14:paraId="4442EAD3">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第四条 服务费用</w:t>
      </w:r>
    </w:p>
    <w:p w14:paraId="6305C71F">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1、服务总费用为人民币大写：</w:t>
      </w:r>
      <w:r>
        <w:rPr>
          <w:rFonts w:hint="eastAsia" w:ascii="仿宋" w:hAnsi="仿宋" w:eastAsia="仿宋" w:cs="仿宋"/>
          <w:bCs/>
          <w:sz w:val="22"/>
          <w:szCs w:val="22"/>
          <w:u w:val="single"/>
        </w:rPr>
        <w:t xml:space="preserve">        </w:t>
      </w:r>
      <w:r>
        <w:rPr>
          <w:rFonts w:hint="eastAsia" w:ascii="仿宋" w:hAnsi="仿宋" w:eastAsia="仿宋" w:cs="仿宋"/>
          <w:bCs/>
          <w:sz w:val="22"/>
          <w:szCs w:val="22"/>
        </w:rPr>
        <w:t>元， RMB¥</w:t>
      </w:r>
      <w:r>
        <w:rPr>
          <w:rFonts w:hint="eastAsia" w:ascii="仿宋" w:hAnsi="仿宋" w:eastAsia="仿宋" w:cs="仿宋"/>
          <w:bCs/>
          <w:sz w:val="22"/>
          <w:szCs w:val="22"/>
          <w:u w:val="single"/>
        </w:rPr>
        <w:t xml:space="preserve">       </w:t>
      </w:r>
      <w:r>
        <w:rPr>
          <w:rFonts w:hint="eastAsia" w:ascii="仿宋" w:hAnsi="仿宋" w:eastAsia="仿宋" w:cs="仿宋"/>
          <w:bCs/>
          <w:sz w:val="22"/>
          <w:szCs w:val="22"/>
        </w:rPr>
        <w:t xml:space="preserve"> 。</w:t>
      </w:r>
    </w:p>
    <w:p w14:paraId="324454E4">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2、本项目服务费用由以下组成：</w:t>
      </w:r>
    </w:p>
    <w:p w14:paraId="740A7396">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（1）XX万元；</w:t>
      </w:r>
    </w:p>
    <w:p w14:paraId="254791B2">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（2）XX万元；</w:t>
      </w:r>
    </w:p>
    <w:p w14:paraId="49E0F28D">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w:t>
      </w:r>
    </w:p>
    <w:p w14:paraId="778880DE">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3、本合同执行期间服务总费用不变，甲方无须另向乙方支付本合同规定之外的其他任何费用。</w:t>
      </w:r>
    </w:p>
    <w:p w14:paraId="1CAA0B94">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hint="eastAsia" w:ascii="仿宋" w:hAnsi="仿宋" w:eastAsia="仿宋" w:cs="仿宋"/>
          <w:bCs/>
          <w:sz w:val="22"/>
          <w:szCs w:val="22"/>
        </w:rPr>
      </w:pPr>
      <w:r>
        <w:rPr>
          <w:rFonts w:hint="eastAsia" w:ascii="仿宋" w:hAnsi="仿宋" w:eastAsia="仿宋" w:cs="仿宋"/>
          <w:bCs/>
          <w:sz w:val="22"/>
          <w:szCs w:val="22"/>
        </w:rPr>
        <w:t>第五条  服务费支付方式</w:t>
      </w:r>
    </w:p>
    <w:p w14:paraId="13CFC275">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hint="eastAsia" w:ascii="仿宋" w:hAnsi="仿宋" w:eastAsia="仿宋" w:cs="仿宋"/>
          <w:bCs/>
          <w:sz w:val="22"/>
          <w:szCs w:val="22"/>
          <w:lang w:val="en-US" w:eastAsia="zh-CN"/>
        </w:rPr>
      </w:pPr>
      <w:r>
        <w:rPr>
          <w:rFonts w:hint="eastAsia" w:ascii="仿宋" w:hAnsi="仿宋" w:eastAsia="仿宋" w:cs="仿宋"/>
          <w:bCs/>
          <w:sz w:val="22"/>
          <w:szCs w:val="22"/>
          <w:lang w:val="en-US" w:eastAsia="zh-CN"/>
        </w:rPr>
        <w:t>按照磋商文件执行。</w:t>
      </w:r>
    </w:p>
    <w:p w14:paraId="16AE04E8">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第六条   知识产权</w:t>
      </w:r>
    </w:p>
    <w:p w14:paraId="57666CE8">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乙方应保证所提供的服务或其任何一部分均不会侵犯任何第三方的专利权、商标权或著作权。</w:t>
      </w:r>
    </w:p>
    <w:p w14:paraId="486D99FD">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第七条  无产权瑕疵条款</w:t>
      </w:r>
    </w:p>
    <w:p w14:paraId="4D3DED90">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乙方保证所提供的服务的所有权完全属于乙方且无任何抵押、查封等产权瑕疵。如有产权瑕疵的，视为乙方违约。乙方应负担由此而产生的一切损失。</w:t>
      </w:r>
    </w:p>
    <w:p w14:paraId="217B5A2D">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第八条  甲方的权利和义务</w:t>
      </w:r>
    </w:p>
    <w:p w14:paraId="653BBA6B">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1、甲方有权对合同规定范围内乙方的服务行为进行监督和检查，拥有监管权。有权定期核对乙方提供服务所配备的人员数量。对甲方认为不合理的部分有权下达整改通知书，并要求乙方限期整改。</w:t>
      </w:r>
    </w:p>
    <w:p w14:paraId="0F679B97">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2、甲方有权依据双方签订的考评办法对乙方提供的服务进行定期考评。</w:t>
      </w:r>
    </w:p>
    <w:p w14:paraId="293FFDFD">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3、负责检查监督乙方管理工作的实施及制度的执行情况。</w:t>
      </w:r>
    </w:p>
    <w:p w14:paraId="222B2070">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4、根据本合同规定，按时向乙方支付应付服务费用。</w:t>
      </w:r>
    </w:p>
    <w:p w14:paraId="137EC49F">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5、国家法律、法规所规定由甲方承担的其它责任。</w:t>
      </w:r>
    </w:p>
    <w:p w14:paraId="5814B234">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第九条  乙方的权利和义务</w:t>
      </w:r>
    </w:p>
    <w:p w14:paraId="380B511C">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1、对本合同规定的委托服务范围内的项目享有管理权及服务义务。</w:t>
      </w:r>
    </w:p>
    <w:p w14:paraId="7FA8B16B">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2、根据本合同的规定向甲方收取相关服务费用，并有权在本项目管理范围内管理及合理使用。</w:t>
      </w:r>
    </w:p>
    <w:p w14:paraId="2CDE4801">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3、及时向甲方通告本项目服务范围内有关服务的重大事项，及时配合处理投诉。</w:t>
      </w:r>
    </w:p>
    <w:p w14:paraId="3D86B747">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4、接受项目行业管理部门及政府有关部门的指导，接受甲方的监督。</w:t>
      </w:r>
    </w:p>
    <w:p w14:paraId="41F455A2">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5、国家法律、法规所规定由乙方承担的其它责任。</w:t>
      </w:r>
    </w:p>
    <w:p w14:paraId="1D642CB2">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第十条  违约责任</w:t>
      </w:r>
    </w:p>
    <w:p w14:paraId="31023CEE">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1、甲乙双方必须遵守本合同并执行合同中的各项规定，保证本合同的正常履行。</w:t>
      </w:r>
    </w:p>
    <w:p w14:paraId="228BA727">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2、如因乙方工作人员在履行职务过程中的的疏忽、失职、过错等故意或者过失原因给甲方造成损失或侵害，包括但不限于甲方本身的财产损失、由此而导致的甲方对任何第三方的法律责任等，乙方对此均应承担全部的赔偿责任。</w:t>
      </w:r>
    </w:p>
    <w:p w14:paraId="0C7ACE44">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第十一条  不可抗力事件处理</w:t>
      </w:r>
    </w:p>
    <w:p w14:paraId="7231C42C">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1、在合同有效期内，任何一方因不可抗力事件导致不能履行合同，则合同履行期可延长，其延长期与不可抗力影响期相同。</w:t>
      </w:r>
    </w:p>
    <w:p w14:paraId="21C3AD26">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2、不可抗力事件发生后，应立即通知对方，并寄送有关权威机构出具的证明。</w:t>
      </w:r>
    </w:p>
    <w:p w14:paraId="62B989F6">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3、不可抗力事件延续XX天以上，双方应通过友好协商，确定是否继续履行合同。</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14:paraId="2F15E5B0">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bookmarkStart w:id="18" w:name="_Toc286993792"/>
      <w:bookmarkStart w:id="19" w:name="_Toc237145411"/>
      <w:bookmarkStart w:id="20" w:name="_Toc225654649"/>
      <w:bookmarkStart w:id="21" w:name="_Toc232492933"/>
      <w:bookmarkStart w:id="22" w:name="_Toc212019599"/>
      <w:bookmarkStart w:id="23" w:name="_Toc211911353"/>
      <w:bookmarkStart w:id="24" w:name="_Toc225670756"/>
      <w:bookmarkStart w:id="25" w:name="_Toc185395254"/>
      <w:bookmarkStart w:id="26" w:name="_Toc239568423"/>
      <w:bookmarkStart w:id="27" w:name="_Toc238984980"/>
      <w:bookmarkStart w:id="28" w:name="_Toc251768867"/>
      <w:bookmarkStart w:id="29" w:name="_Toc241833908"/>
      <w:bookmarkStart w:id="30" w:name="_Toc225244857"/>
      <w:bookmarkStart w:id="31" w:name="_Toc211854454"/>
      <w:bookmarkStart w:id="32" w:name="_Toc239233919"/>
      <w:bookmarkStart w:id="33" w:name="_Toc247334846"/>
      <w:r>
        <w:rPr>
          <w:rFonts w:hint="eastAsia" w:ascii="仿宋" w:hAnsi="仿宋" w:eastAsia="仿宋" w:cs="仿宋"/>
          <w:bCs/>
          <w:sz w:val="22"/>
          <w:szCs w:val="22"/>
        </w:rPr>
        <w:t>第十二条  合同的变更和终止</w:t>
      </w:r>
    </w:p>
    <w:p w14:paraId="2EE69753">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除《中华人民共和国政府采购法》第49条、第50条第二款规定的情形外，本合同一经签订，甲乙双方不得擅自变更、中止或终止合同。</w:t>
      </w:r>
    </w:p>
    <w:p w14:paraId="06E434D9">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第十三条  解决合同纠纷的方式</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25962E66">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1、在执行本合同中发生的或与本合同有关的争端，双方应通过友好协商解决，经协商在XX天内不能达成协议时，则采取以下第____种方式解决争议：</w:t>
      </w:r>
    </w:p>
    <w:p w14:paraId="05B176ED">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220" w:firstLineChars="1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（1）向甲方所在地有管辖权的人民法院提起诉讼；</w:t>
      </w:r>
    </w:p>
    <w:p w14:paraId="4DCA4FF7">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220" w:firstLineChars="1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（2）向____________仲裁委员会按其仲裁规则申请仲裁。</w:t>
      </w:r>
    </w:p>
    <w:p w14:paraId="28C90EA7">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2、在仲裁期间，本合同应继续履行。</w:t>
      </w:r>
    </w:p>
    <w:p w14:paraId="3BE7479F">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bookmarkStart w:id="34" w:name="_Toc282696231"/>
      <w:bookmarkStart w:id="35" w:name="_Toc225670757"/>
      <w:bookmarkStart w:id="36" w:name="_Toc283019219"/>
      <w:bookmarkStart w:id="37" w:name="_Toc251768868"/>
      <w:bookmarkStart w:id="38" w:name="_Toc247334847"/>
      <w:bookmarkStart w:id="39" w:name="_Toc232492934"/>
      <w:bookmarkStart w:id="40" w:name="_Toc237145412"/>
      <w:bookmarkStart w:id="41" w:name="_Toc239568424"/>
      <w:bookmarkStart w:id="42" w:name="_Toc238984981"/>
      <w:bookmarkStart w:id="43" w:name="_Toc286993793"/>
      <w:bookmarkStart w:id="44" w:name="_Toc239233920"/>
      <w:bookmarkStart w:id="45" w:name="_Toc212019600"/>
      <w:bookmarkStart w:id="46" w:name="_Toc225654650"/>
      <w:bookmarkStart w:id="47" w:name="_Toc211911354"/>
      <w:bookmarkStart w:id="48" w:name="_Toc241833909"/>
      <w:bookmarkStart w:id="49" w:name="_Toc185395255"/>
      <w:bookmarkStart w:id="50" w:name="_Toc211854455"/>
      <w:bookmarkStart w:id="51" w:name="_Toc225244858"/>
      <w:r>
        <w:rPr>
          <w:rFonts w:hint="eastAsia" w:ascii="仿宋" w:hAnsi="仿宋" w:eastAsia="仿宋" w:cs="仿宋"/>
          <w:bCs/>
          <w:sz w:val="22"/>
          <w:szCs w:val="22"/>
        </w:rPr>
        <w:t>第十四条  合同</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r>
        <w:rPr>
          <w:rFonts w:hint="eastAsia" w:ascii="仿宋" w:hAnsi="仿宋" w:eastAsia="仿宋" w:cs="仿宋"/>
          <w:bCs/>
          <w:sz w:val="22"/>
          <w:szCs w:val="22"/>
        </w:rPr>
        <w:t>生效及其他</w:t>
      </w:r>
    </w:p>
    <w:p w14:paraId="062197D8">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1、合同经双方法定代表人或授权委托代理人签字并加盖单位公章后生效。</w:t>
      </w:r>
    </w:p>
    <w:p w14:paraId="2160C73E">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2、合同执行中涉及采购资金和采购内容修改或补充的，须经政府采购监管部门审批，并签书面补充协议报政府采购监督管理部门备案，方可作为主合同不可分割的一部分。</w:t>
      </w:r>
    </w:p>
    <w:p w14:paraId="06B015BE">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3、本合同一式XX份，自双方签章之日起起效。甲方XX份，乙方XX份，政府采购代理机构XX份，同级财政部门备案XX份，具有同等法律效力。</w:t>
      </w:r>
    </w:p>
    <w:p w14:paraId="036DFAD2">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第十五条  附件</w:t>
      </w:r>
    </w:p>
    <w:p w14:paraId="7E7E9426">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1、项目</w:t>
      </w:r>
      <w:r>
        <w:rPr>
          <w:rFonts w:hint="eastAsia" w:ascii="仿宋" w:hAnsi="仿宋" w:eastAsia="仿宋" w:cs="仿宋"/>
          <w:bCs/>
          <w:sz w:val="22"/>
          <w:szCs w:val="22"/>
          <w:lang w:eastAsia="zh-CN"/>
        </w:rPr>
        <w:t>磋商文件</w:t>
      </w:r>
    </w:p>
    <w:p w14:paraId="6E98C267">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2、项目修改澄清文件</w:t>
      </w:r>
    </w:p>
    <w:p w14:paraId="64D9FE94">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hint="eastAsia" w:ascii="仿宋" w:hAnsi="仿宋" w:eastAsia="仿宋" w:cs="仿宋"/>
          <w:bCs/>
          <w:sz w:val="22"/>
          <w:szCs w:val="22"/>
          <w:lang w:eastAsia="zh-CN"/>
        </w:rPr>
      </w:pPr>
      <w:r>
        <w:rPr>
          <w:rFonts w:hint="eastAsia" w:ascii="仿宋" w:hAnsi="仿宋" w:eastAsia="仿宋" w:cs="仿宋"/>
          <w:bCs/>
          <w:sz w:val="22"/>
          <w:szCs w:val="22"/>
        </w:rPr>
        <w:t>3、项目</w:t>
      </w:r>
      <w:r>
        <w:rPr>
          <w:rFonts w:hint="eastAsia" w:ascii="仿宋" w:hAnsi="仿宋" w:eastAsia="仿宋" w:cs="仿宋"/>
          <w:bCs/>
          <w:sz w:val="22"/>
          <w:szCs w:val="22"/>
          <w:lang w:eastAsia="zh-CN"/>
        </w:rPr>
        <w:t>响应文件</w:t>
      </w:r>
    </w:p>
    <w:p w14:paraId="1B812031">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4、</w:t>
      </w:r>
      <w:r>
        <w:rPr>
          <w:rFonts w:hint="eastAsia" w:ascii="仿宋" w:hAnsi="仿宋" w:eastAsia="仿宋" w:cs="仿宋"/>
          <w:bCs/>
          <w:sz w:val="22"/>
          <w:szCs w:val="22"/>
          <w:lang w:val="en-US" w:eastAsia="zh-CN"/>
        </w:rPr>
        <w:t>成交</w:t>
      </w:r>
      <w:r>
        <w:rPr>
          <w:rFonts w:hint="eastAsia" w:ascii="仿宋" w:hAnsi="仿宋" w:eastAsia="仿宋" w:cs="仿宋"/>
          <w:bCs/>
          <w:sz w:val="22"/>
          <w:szCs w:val="22"/>
        </w:rPr>
        <w:t>通知书</w:t>
      </w:r>
    </w:p>
    <w:p w14:paraId="4EE22C57">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5、其他</w:t>
      </w:r>
    </w:p>
    <w:p w14:paraId="521DC075">
      <w:pPr>
        <w:keepNext w:val="0"/>
        <w:keepLines w:val="0"/>
        <w:pageBreakBefore w:val="0"/>
        <w:widowControl w:val="0"/>
        <w:shd w:val="clear"/>
        <w:kinsoku/>
        <w:wordWrap/>
        <w:overflowPunct/>
        <w:topLinePunct w:val="0"/>
        <w:bidi w:val="0"/>
        <w:spacing w:line="312" w:lineRule="auto"/>
        <w:textAlignment w:val="auto"/>
        <w:rPr>
          <w:rFonts w:ascii="仿宋" w:hAnsi="仿宋" w:eastAsia="仿宋" w:cs="仿宋"/>
          <w:bCs/>
          <w:sz w:val="22"/>
          <w:szCs w:val="22"/>
        </w:rPr>
      </w:pPr>
    </w:p>
    <w:p w14:paraId="3219222D">
      <w:pPr>
        <w:keepNext w:val="0"/>
        <w:keepLines w:val="0"/>
        <w:pageBreakBefore w:val="0"/>
        <w:widowControl w:val="0"/>
        <w:shd w:val="clear"/>
        <w:kinsoku/>
        <w:wordWrap/>
        <w:overflowPunct/>
        <w:topLinePunct w:val="0"/>
        <w:autoSpaceDE w:val="0"/>
        <w:autoSpaceDN w:val="0"/>
        <w:bidi w:val="0"/>
        <w:adjustRightInd w:val="0"/>
        <w:snapToGrid w:val="0"/>
        <w:spacing w:line="312" w:lineRule="auto"/>
        <w:jc w:val="left"/>
        <w:textAlignment w:val="auto"/>
        <w:outlineLvl w:val="0"/>
        <w:rPr>
          <w:rFonts w:hint="eastAsia" w:ascii="仿宋" w:hAnsi="仿宋" w:eastAsia="仿宋" w:cs="仿宋"/>
          <w:bCs/>
          <w:sz w:val="22"/>
          <w:szCs w:val="22"/>
        </w:rPr>
      </w:pPr>
    </w:p>
    <w:p w14:paraId="28EF1974">
      <w:pPr>
        <w:keepNext w:val="0"/>
        <w:keepLines w:val="0"/>
        <w:pageBreakBefore w:val="0"/>
        <w:widowControl w:val="0"/>
        <w:shd w:val="clear"/>
        <w:kinsoku/>
        <w:wordWrap/>
        <w:overflowPunct/>
        <w:topLinePunct w:val="0"/>
        <w:autoSpaceDE w:val="0"/>
        <w:autoSpaceDN w:val="0"/>
        <w:bidi w:val="0"/>
        <w:adjustRightInd w:val="0"/>
        <w:snapToGrid w:val="0"/>
        <w:spacing w:line="312" w:lineRule="auto"/>
        <w:jc w:val="left"/>
        <w:textAlignment w:val="auto"/>
        <w:outlineLvl w:val="0"/>
        <w:rPr>
          <w:rFonts w:hint="eastAsia" w:ascii="仿宋" w:hAnsi="仿宋" w:eastAsia="仿宋" w:cs="仿宋"/>
          <w:bCs/>
          <w:sz w:val="22"/>
          <w:szCs w:val="22"/>
        </w:rPr>
      </w:pPr>
    </w:p>
    <w:p w14:paraId="117B5E50">
      <w:pPr>
        <w:keepNext w:val="0"/>
        <w:keepLines w:val="0"/>
        <w:pageBreakBefore w:val="0"/>
        <w:widowControl w:val="0"/>
        <w:shd w:val="clear"/>
        <w:kinsoku/>
        <w:wordWrap/>
        <w:overflowPunct/>
        <w:topLinePunct w:val="0"/>
        <w:autoSpaceDE w:val="0"/>
        <w:autoSpaceDN w:val="0"/>
        <w:bidi w:val="0"/>
        <w:adjustRightInd w:val="0"/>
        <w:snapToGrid w:val="0"/>
        <w:spacing w:line="312" w:lineRule="auto"/>
        <w:jc w:val="left"/>
        <w:textAlignment w:val="auto"/>
        <w:outlineLvl w:val="0"/>
        <w:rPr>
          <w:rFonts w:hint="eastAsia" w:ascii="仿宋" w:hAnsi="仿宋" w:eastAsia="仿宋" w:cs="仿宋"/>
          <w:bCs/>
          <w:sz w:val="22"/>
          <w:szCs w:val="22"/>
        </w:rPr>
      </w:pPr>
    </w:p>
    <w:p w14:paraId="4BAAA708">
      <w:pPr>
        <w:keepNext w:val="0"/>
        <w:keepLines w:val="0"/>
        <w:pageBreakBefore w:val="0"/>
        <w:widowControl w:val="0"/>
        <w:shd w:val="clear"/>
        <w:kinsoku/>
        <w:wordWrap/>
        <w:overflowPunct/>
        <w:topLinePunct w:val="0"/>
        <w:autoSpaceDE w:val="0"/>
        <w:autoSpaceDN w:val="0"/>
        <w:bidi w:val="0"/>
        <w:adjustRightInd w:val="0"/>
        <w:snapToGrid w:val="0"/>
        <w:spacing w:line="312" w:lineRule="auto"/>
        <w:jc w:val="left"/>
        <w:textAlignment w:val="auto"/>
        <w:outlineLvl w:val="0"/>
        <w:rPr>
          <w:rFonts w:hint="eastAsia" w:ascii="仿宋" w:hAnsi="仿宋" w:eastAsia="仿宋" w:cs="仿宋"/>
          <w:bCs/>
          <w:sz w:val="22"/>
          <w:szCs w:val="22"/>
        </w:rPr>
      </w:pPr>
    </w:p>
    <w:p w14:paraId="78AFAC2F">
      <w:pPr>
        <w:keepNext w:val="0"/>
        <w:keepLines w:val="0"/>
        <w:pageBreakBefore w:val="0"/>
        <w:widowControl w:val="0"/>
        <w:shd w:val="clear"/>
        <w:kinsoku/>
        <w:wordWrap/>
        <w:overflowPunct/>
        <w:topLinePunct w:val="0"/>
        <w:autoSpaceDE w:val="0"/>
        <w:autoSpaceDN w:val="0"/>
        <w:bidi w:val="0"/>
        <w:adjustRightInd w:val="0"/>
        <w:snapToGrid w:val="0"/>
        <w:spacing w:line="312" w:lineRule="auto"/>
        <w:jc w:val="left"/>
        <w:textAlignment w:val="auto"/>
        <w:outlineLvl w:val="0"/>
        <w:rPr>
          <w:rFonts w:hint="eastAsia" w:ascii="仿宋" w:hAnsi="仿宋" w:eastAsia="仿宋" w:cs="仿宋"/>
          <w:bCs/>
          <w:sz w:val="22"/>
          <w:szCs w:val="22"/>
        </w:rPr>
      </w:pPr>
    </w:p>
    <w:p w14:paraId="5AE9F109">
      <w:pPr>
        <w:keepNext w:val="0"/>
        <w:keepLines w:val="0"/>
        <w:pageBreakBefore w:val="0"/>
        <w:widowControl w:val="0"/>
        <w:shd w:val="clear"/>
        <w:kinsoku/>
        <w:wordWrap/>
        <w:overflowPunct/>
        <w:topLinePunct w:val="0"/>
        <w:autoSpaceDE w:val="0"/>
        <w:autoSpaceDN w:val="0"/>
        <w:bidi w:val="0"/>
        <w:adjustRightInd w:val="0"/>
        <w:snapToGrid w:val="0"/>
        <w:spacing w:line="312" w:lineRule="auto"/>
        <w:jc w:val="left"/>
        <w:textAlignment w:val="auto"/>
        <w:outlineLvl w:val="0"/>
        <w:rPr>
          <w:rFonts w:hint="eastAsia" w:ascii="仿宋" w:hAnsi="仿宋" w:eastAsia="仿宋" w:cs="仿宋"/>
          <w:bCs/>
          <w:sz w:val="22"/>
          <w:szCs w:val="22"/>
        </w:rPr>
      </w:pPr>
    </w:p>
    <w:p w14:paraId="200B80BF">
      <w:pPr>
        <w:keepNext w:val="0"/>
        <w:keepLines w:val="0"/>
        <w:pageBreakBefore w:val="0"/>
        <w:widowControl w:val="0"/>
        <w:shd w:val="clear"/>
        <w:kinsoku/>
        <w:wordWrap/>
        <w:overflowPunct/>
        <w:topLinePunct w:val="0"/>
        <w:autoSpaceDE w:val="0"/>
        <w:autoSpaceDN w:val="0"/>
        <w:bidi w:val="0"/>
        <w:adjustRightInd w:val="0"/>
        <w:snapToGrid w:val="0"/>
        <w:spacing w:line="312" w:lineRule="auto"/>
        <w:jc w:val="left"/>
        <w:textAlignment w:val="auto"/>
        <w:outlineLvl w:val="0"/>
        <w:rPr>
          <w:rFonts w:ascii="仿宋" w:hAnsi="仿宋" w:eastAsia="仿宋" w:cs="仿宋"/>
          <w:bCs/>
          <w:sz w:val="22"/>
          <w:szCs w:val="22"/>
        </w:rPr>
      </w:pPr>
      <w:r>
        <w:rPr>
          <w:rFonts w:hint="eastAsia" w:ascii="仿宋" w:hAnsi="仿宋" w:eastAsia="仿宋" w:cs="仿宋"/>
          <w:bCs/>
          <w:sz w:val="22"/>
          <w:szCs w:val="22"/>
        </w:rPr>
        <w:t xml:space="preserve">甲方：   （盖章）   </w:t>
      </w:r>
      <w:r>
        <w:rPr>
          <w:rFonts w:hint="eastAsia" w:ascii="仿宋" w:hAnsi="仿宋" w:eastAsia="仿宋" w:cs="仿宋"/>
          <w:bCs/>
          <w:sz w:val="22"/>
          <w:szCs w:val="22"/>
        </w:rPr>
        <w:tab/>
      </w:r>
      <w:r>
        <w:rPr>
          <w:rFonts w:hint="eastAsia" w:ascii="仿宋" w:hAnsi="仿宋" w:eastAsia="仿宋" w:cs="仿宋"/>
          <w:bCs/>
          <w:sz w:val="22"/>
          <w:szCs w:val="22"/>
        </w:rPr>
        <w:tab/>
      </w:r>
      <w:r>
        <w:rPr>
          <w:rFonts w:hint="eastAsia" w:ascii="仿宋" w:hAnsi="仿宋" w:eastAsia="仿宋" w:cs="仿宋"/>
          <w:bCs/>
          <w:sz w:val="22"/>
          <w:szCs w:val="22"/>
        </w:rPr>
        <w:tab/>
      </w:r>
      <w:r>
        <w:rPr>
          <w:rFonts w:hint="eastAsia" w:ascii="仿宋" w:hAnsi="仿宋" w:eastAsia="仿宋" w:cs="仿宋"/>
          <w:bCs/>
          <w:sz w:val="22"/>
          <w:szCs w:val="22"/>
        </w:rPr>
        <w:t xml:space="preserve">       乙方：   （盖章）</w:t>
      </w:r>
    </w:p>
    <w:p w14:paraId="4A2A5199">
      <w:pPr>
        <w:keepNext w:val="0"/>
        <w:keepLines w:val="0"/>
        <w:pageBreakBefore w:val="0"/>
        <w:widowControl w:val="0"/>
        <w:shd w:val="clear"/>
        <w:kinsoku/>
        <w:wordWrap/>
        <w:overflowPunct/>
        <w:topLinePunct w:val="0"/>
        <w:autoSpaceDE w:val="0"/>
        <w:autoSpaceDN w:val="0"/>
        <w:bidi w:val="0"/>
        <w:adjustRightInd w:val="0"/>
        <w:snapToGrid w:val="0"/>
        <w:spacing w:line="312" w:lineRule="auto"/>
        <w:jc w:val="left"/>
        <w:textAlignment w:val="auto"/>
        <w:outlineLvl w:val="0"/>
        <w:rPr>
          <w:rFonts w:ascii="仿宋" w:hAnsi="仿宋" w:eastAsia="仿宋" w:cs="仿宋"/>
          <w:bCs/>
          <w:sz w:val="22"/>
          <w:szCs w:val="22"/>
        </w:rPr>
      </w:pPr>
      <w:r>
        <w:rPr>
          <w:rFonts w:hint="eastAsia" w:ascii="仿宋" w:hAnsi="仿宋" w:eastAsia="仿宋" w:cs="仿宋"/>
          <w:bCs/>
          <w:sz w:val="22"/>
          <w:szCs w:val="22"/>
        </w:rPr>
        <w:t>法定代表人（授权代表）：              法定代表人（授权代表）：</w:t>
      </w:r>
    </w:p>
    <w:p w14:paraId="3D10F9F2">
      <w:pPr>
        <w:keepNext w:val="0"/>
        <w:keepLines w:val="0"/>
        <w:pageBreakBefore w:val="0"/>
        <w:widowControl w:val="0"/>
        <w:shd w:val="clear"/>
        <w:kinsoku/>
        <w:wordWrap/>
        <w:overflowPunct/>
        <w:topLinePunct w:val="0"/>
        <w:autoSpaceDE w:val="0"/>
        <w:autoSpaceDN w:val="0"/>
        <w:bidi w:val="0"/>
        <w:adjustRightInd w:val="0"/>
        <w:snapToGrid w:val="0"/>
        <w:spacing w:line="312" w:lineRule="auto"/>
        <w:jc w:val="left"/>
        <w:textAlignment w:val="auto"/>
        <w:outlineLvl w:val="0"/>
        <w:rPr>
          <w:rFonts w:ascii="仿宋" w:hAnsi="仿宋" w:eastAsia="仿宋" w:cs="仿宋"/>
          <w:bCs/>
          <w:sz w:val="22"/>
          <w:szCs w:val="22"/>
        </w:rPr>
      </w:pPr>
      <w:r>
        <w:rPr>
          <w:rFonts w:hint="eastAsia" w:ascii="仿宋" w:hAnsi="仿宋" w:eastAsia="仿宋" w:cs="仿宋"/>
          <w:bCs/>
          <w:sz w:val="22"/>
          <w:szCs w:val="22"/>
        </w:rPr>
        <w:t>地    址：                            地    址：</w:t>
      </w:r>
    </w:p>
    <w:p w14:paraId="709F846B">
      <w:pPr>
        <w:keepNext w:val="0"/>
        <w:keepLines w:val="0"/>
        <w:pageBreakBefore w:val="0"/>
        <w:widowControl w:val="0"/>
        <w:shd w:val="clear"/>
        <w:kinsoku/>
        <w:wordWrap/>
        <w:overflowPunct/>
        <w:topLinePunct w:val="0"/>
        <w:autoSpaceDE w:val="0"/>
        <w:autoSpaceDN w:val="0"/>
        <w:bidi w:val="0"/>
        <w:adjustRightInd w:val="0"/>
        <w:snapToGrid w:val="0"/>
        <w:spacing w:line="312" w:lineRule="auto"/>
        <w:jc w:val="left"/>
        <w:textAlignment w:val="auto"/>
        <w:outlineLvl w:val="0"/>
        <w:rPr>
          <w:rFonts w:ascii="仿宋" w:hAnsi="仿宋" w:eastAsia="仿宋" w:cs="仿宋"/>
          <w:bCs/>
          <w:sz w:val="22"/>
          <w:szCs w:val="22"/>
        </w:rPr>
      </w:pPr>
      <w:r>
        <w:rPr>
          <w:rFonts w:hint="eastAsia" w:ascii="仿宋" w:hAnsi="仿宋" w:eastAsia="仿宋" w:cs="仿宋"/>
          <w:bCs/>
          <w:sz w:val="22"/>
          <w:szCs w:val="22"/>
        </w:rPr>
        <w:t>开户银行：                            开户银行：</w:t>
      </w:r>
    </w:p>
    <w:p w14:paraId="5686CF7E">
      <w:pPr>
        <w:keepNext w:val="0"/>
        <w:keepLines w:val="0"/>
        <w:pageBreakBefore w:val="0"/>
        <w:widowControl w:val="0"/>
        <w:shd w:val="clear"/>
        <w:kinsoku/>
        <w:wordWrap/>
        <w:overflowPunct/>
        <w:topLinePunct w:val="0"/>
        <w:autoSpaceDE w:val="0"/>
        <w:autoSpaceDN w:val="0"/>
        <w:bidi w:val="0"/>
        <w:adjustRightInd w:val="0"/>
        <w:snapToGrid w:val="0"/>
        <w:spacing w:line="312" w:lineRule="auto"/>
        <w:jc w:val="left"/>
        <w:textAlignment w:val="auto"/>
        <w:outlineLvl w:val="0"/>
        <w:rPr>
          <w:rFonts w:ascii="仿宋" w:hAnsi="仿宋" w:eastAsia="仿宋" w:cs="仿宋"/>
          <w:bCs/>
          <w:sz w:val="22"/>
          <w:szCs w:val="22"/>
        </w:rPr>
      </w:pPr>
      <w:r>
        <w:rPr>
          <w:rFonts w:hint="eastAsia" w:ascii="仿宋" w:hAnsi="仿宋" w:eastAsia="仿宋" w:cs="仿宋"/>
          <w:bCs/>
          <w:sz w:val="22"/>
          <w:szCs w:val="22"/>
        </w:rPr>
        <w:t>账号：                                账号：</w:t>
      </w:r>
    </w:p>
    <w:p w14:paraId="71F97FFA">
      <w:pPr>
        <w:keepNext w:val="0"/>
        <w:keepLines w:val="0"/>
        <w:pageBreakBefore w:val="0"/>
        <w:widowControl w:val="0"/>
        <w:shd w:val="clear"/>
        <w:kinsoku/>
        <w:wordWrap/>
        <w:overflowPunct/>
        <w:topLinePunct w:val="0"/>
        <w:autoSpaceDE w:val="0"/>
        <w:autoSpaceDN w:val="0"/>
        <w:bidi w:val="0"/>
        <w:adjustRightInd w:val="0"/>
        <w:snapToGrid w:val="0"/>
        <w:spacing w:line="312" w:lineRule="auto"/>
        <w:jc w:val="left"/>
        <w:textAlignment w:val="auto"/>
        <w:outlineLvl w:val="0"/>
        <w:rPr>
          <w:rFonts w:ascii="仿宋" w:hAnsi="仿宋" w:eastAsia="仿宋" w:cs="仿宋"/>
          <w:bCs/>
          <w:sz w:val="22"/>
          <w:szCs w:val="22"/>
        </w:rPr>
      </w:pPr>
      <w:r>
        <w:rPr>
          <w:rFonts w:hint="eastAsia" w:ascii="仿宋" w:hAnsi="仿宋" w:eastAsia="仿宋" w:cs="仿宋"/>
          <w:bCs/>
          <w:sz w:val="22"/>
          <w:szCs w:val="22"/>
        </w:rPr>
        <w:t>电    话：                            电    话：</w:t>
      </w:r>
    </w:p>
    <w:p w14:paraId="08DD34E5">
      <w:pPr>
        <w:keepNext w:val="0"/>
        <w:keepLines w:val="0"/>
        <w:pageBreakBefore w:val="0"/>
        <w:widowControl w:val="0"/>
        <w:shd w:val="clear"/>
        <w:kinsoku/>
        <w:wordWrap/>
        <w:overflowPunct/>
        <w:topLinePunct w:val="0"/>
        <w:autoSpaceDE w:val="0"/>
        <w:autoSpaceDN w:val="0"/>
        <w:bidi w:val="0"/>
        <w:adjustRightInd w:val="0"/>
        <w:snapToGrid w:val="0"/>
        <w:spacing w:line="312" w:lineRule="auto"/>
        <w:jc w:val="left"/>
        <w:textAlignment w:val="auto"/>
        <w:outlineLvl w:val="0"/>
        <w:rPr>
          <w:rFonts w:ascii="仿宋" w:hAnsi="仿宋" w:eastAsia="仿宋" w:cs="仿宋"/>
          <w:bCs/>
          <w:sz w:val="22"/>
          <w:szCs w:val="22"/>
        </w:rPr>
      </w:pPr>
      <w:r>
        <w:rPr>
          <w:rFonts w:hint="eastAsia" w:ascii="仿宋" w:hAnsi="仿宋" w:eastAsia="仿宋" w:cs="仿宋"/>
          <w:bCs/>
          <w:sz w:val="22"/>
          <w:szCs w:val="22"/>
        </w:rPr>
        <w:t>传    真：                            传    真：</w:t>
      </w:r>
    </w:p>
    <w:p w14:paraId="614E033C">
      <w:pPr>
        <w:keepNext w:val="0"/>
        <w:keepLines w:val="0"/>
        <w:pageBreakBefore w:val="0"/>
        <w:widowControl w:val="0"/>
        <w:shd w:val="clear"/>
        <w:kinsoku/>
        <w:wordWrap/>
        <w:overflowPunct/>
        <w:topLinePunct w:val="0"/>
        <w:autoSpaceDE w:val="0"/>
        <w:autoSpaceDN w:val="0"/>
        <w:bidi w:val="0"/>
        <w:adjustRightInd w:val="0"/>
        <w:snapToGrid w:val="0"/>
        <w:spacing w:line="312" w:lineRule="auto"/>
        <w:jc w:val="left"/>
        <w:textAlignment w:val="auto"/>
        <w:outlineLvl w:val="0"/>
      </w:pPr>
      <w:r>
        <w:rPr>
          <w:rFonts w:hint="eastAsia" w:ascii="仿宋" w:hAnsi="仿宋" w:eastAsia="仿宋" w:cs="仿宋"/>
          <w:bCs/>
          <w:sz w:val="22"/>
          <w:szCs w:val="22"/>
        </w:rPr>
        <w:t xml:space="preserve">签约日期：  年  月  日 </w:t>
      </w:r>
      <w:r>
        <w:rPr>
          <w:rFonts w:hint="eastAsia" w:ascii="仿宋" w:hAnsi="仿宋" w:eastAsia="仿宋" w:cs="仿宋"/>
          <w:bCs/>
          <w:sz w:val="22"/>
          <w:szCs w:val="22"/>
        </w:rPr>
        <w:tab/>
      </w:r>
      <w:r>
        <w:rPr>
          <w:rFonts w:hint="eastAsia" w:ascii="仿宋" w:hAnsi="仿宋" w:eastAsia="仿宋" w:cs="仿宋"/>
          <w:bCs/>
          <w:sz w:val="22"/>
          <w:szCs w:val="22"/>
        </w:rPr>
        <w:tab/>
      </w:r>
      <w:r>
        <w:rPr>
          <w:rFonts w:hint="eastAsia" w:ascii="仿宋" w:hAnsi="仿宋" w:eastAsia="仿宋" w:cs="仿宋"/>
          <w:bCs/>
          <w:sz w:val="22"/>
          <w:szCs w:val="22"/>
        </w:rPr>
        <w:tab/>
      </w:r>
      <w:r>
        <w:rPr>
          <w:rFonts w:hint="eastAsia" w:ascii="仿宋" w:hAnsi="仿宋" w:eastAsia="仿宋" w:cs="仿宋"/>
          <w:bCs/>
          <w:sz w:val="22"/>
          <w:szCs w:val="22"/>
        </w:rPr>
        <w:t xml:space="preserve">    签约日期：  年  月  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书宋简体">
    <w:altName w:val="宋体"/>
    <w:panose1 w:val="00000000000000000000"/>
    <w:charset w:val="86"/>
    <w:family w:val="script"/>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2F84B19"/>
    <w:rsid w:val="17947B50"/>
    <w:rsid w:val="1ADD31A7"/>
    <w:rsid w:val="22510B56"/>
    <w:rsid w:val="323E76AB"/>
    <w:rsid w:val="34812909"/>
    <w:rsid w:val="45FE32DD"/>
    <w:rsid w:val="538A1C04"/>
    <w:rsid w:val="6F0F7AFA"/>
    <w:rsid w:val="74571F81"/>
    <w:rsid w:val="77F454E0"/>
    <w:rsid w:val="781B6C6A"/>
    <w:rsid w:val="78DD3E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paragraph" w:styleId="3">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paragraph" w:styleId="4">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Plain Text"/>
    <w:basedOn w:val="1"/>
    <w:qFormat/>
    <w:uiPriority w:val="99"/>
    <w:rPr>
      <w:rFonts w:ascii="宋体" w:hAnsi="宋体"/>
      <w:szCs w:val="21"/>
    </w:rPr>
  </w:style>
  <w:style w:type="paragraph" w:styleId="5">
    <w:name w:val="Body Text Indent"/>
    <w:basedOn w:val="1"/>
    <w:qFormat/>
    <w:uiPriority w:val="99"/>
    <w:pPr>
      <w:autoSpaceDE w:val="0"/>
      <w:autoSpaceDN w:val="0"/>
      <w:adjustRightInd w:val="0"/>
      <w:spacing w:line="600" w:lineRule="exact"/>
      <w:ind w:firstLine="560"/>
    </w:pPr>
    <w:rPr>
      <w:rFonts w:ascii="方正书宋简体" w:eastAsia="方正书宋简体"/>
      <w:kern w:val="0"/>
      <w:sz w:val="28"/>
      <w:szCs w:val="28"/>
    </w:rPr>
  </w:style>
  <w:style w:type="paragraph" w:styleId="6">
    <w:name w:val="Normal (Web)"/>
    <w:basedOn w:val="1"/>
    <w:qFormat/>
    <w:uiPriority w:val="0"/>
    <w:pPr>
      <w:spacing w:before="0" w:beforeAutospacing="1" w:after="0" w:afterAutospacing="1"/>
      <w:ind w:left="0" w:right="0"/>
      <w:jc w:val="left"/>
    </w:pPr>
    <w:rPr>
      <w:kern w:val="0"/>
      <w:sz w:val="24"/>
      <w:lang w:val="en-US" w:eastAsia="zh-CN" w:bidi="ar"/>
    </w:rPr>
  </w:style>
  <w:style w:type="paragraph" w:styleId="7">
    <w:name w:val="Body Text First Indent 2"/>
    <w:basedOn w:val="5"/>
    <w:qFormat/>
    <w:uiPriority w:val="99"/>
    <w:pPr>
      <w:spacing w:after="120" w:line="240" w:lineRule="auto"/>
      <w:ind w:left="420" w:leftChars="200" w:firstLine="420" w:firstLineChars="200"/>
    </w:pPr>
    <w:rPr>
      <w:rFonts w:ascii="Times New Roman" w:hAnsi="Times New Roman"/>
      <w:sz w:val="21"/>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1724</Words>
  <Characters>1771</Characters>
  <Lines>0</Lines>
  <Paragraphs>0</Paragraphs>
  <TotalTime>14</TotalTime>
  <ScaleCrop>false</ScaleCrop>
  <LinksUpToDate>false</LinksUpToDate>
  <CharactersWithSpaces>2118</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2025-09-09T03:29:00Z</dcterms:created>
  <dc:creator>0002</dc:creator>
  <cp:lastModifiedBy>微笑</cp:lastModifiedBy>
  <dcterms:modified xsi:type="dcterms:W3CDTF">2026-08-06T12:23:13Z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KSOTemplateDocerSaveRecord">
    <vt:lpwstr>eyJoZGlkIjoiYmU3M2Y3YjRiN2YyNDcxOTFhMTc4MGE1ZGFhMDY4OGIiLCJ1c2VySWQiOiI5OTMzMzU0MzgifQ==</vt:lpwstr>
  </property>
  <property fmtid="{D5CDD505-2E9C-101B-9397-08002B2CF9AE}" pid="4" name="ICV">
    <vt:lpwstr>A84E0B86E9B5467BA1A00AAD0656B0AC_12</vt:lpwstr>
  </property>
</Properties>
</file>