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版本号：0701-2641SX06000520260611001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西安市第二批基础教育优秀校园长培养培训项目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0701-2641SX060005</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西安市第二批基础教育优秀校园长培养培训项目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0701-2641SX060005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西安市第二批基础教育优秀校园长培养培训项目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义务教育学校校长专业标准》《关于进一步加强中小学领导人员队伍建设的意见》《新时代中小学名师名校长培养计划（2022—2025）》及陕西省“卓越校长”培育工程等文件精神，紧扣“政治过硬、品德高尚、业务精湛、治校有方”的培养目标。西安市第二批优秀校园长培养培训项目通过60天集中研修，全面提升校园长的文化领导力、课程领导力、学校治理创新能力及教育思想凝练能力，造就一批具有鲜明教育理念和成熟治校模式的高素质专业化创新型名校园长，培养为学、为事、为人示范的新时代“大先生”，推动其成长为区域教育改革的中坚力量，充分发挥示范引领和辐射作用，带动校园长队伍整体素质提升，促进西安市基础教育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授权代表参加磋商的，须出具法定代表人授权委托书（附法定代表人身份证复印件及被授权人身份证复印件）；法定代表人直接参加磋商只需提供法定代表人资格证明书（附法定代表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19039005157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 开户名称：中技国际招标有限公司 开户银行：中国银行总行营业部 账号:778350010653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1.按照采购人要求，依据现场实际需要，确保西安市第二批基础教育优秀校园长培养培训项目圆满结束。 2.活动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联系电话：19039005157</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义务教育学校校长专业标准》《关于进一步加强中小学领导人员队伍建设的意见》《新时代中小学名师名校长培养计划（2022—2025）》及陕西省“卓越校长”培育工程等文件精神，紧扣“政治过硬、品德高尚、业务精湛、治校有方”的培养目标。西安市第二批优秀校园长培养培训项目通过60天集中研修，全面提升校园长的文化领导力、课程领导力、学校治理创新能力及教育思想凝练能力，造就一批具有鲜明教育理念和成熟治校模式的高素质专业化创新型名校园长，培养为学、为事、为人示范的新时代“大先生”，推动其成长为区域教育改革的中坚力量，充分发挥示范引领和辐射作用，带动校园长队伍整体素质提升，促进西安市基础教育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西安市第二批基础教育优秀校园长培养培训项目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标的名称：西安市第二批基础教育优秀校园长培养培训项目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1.培训对象：西安市中小学、幼儿园现任正职校（园）长或主持工作的副校（园）长，具有3年以上校级领导任职经历。</w:t>
            </w:r>
          </w:p>
          <w:p>
            <w:pPr>
              <w:pStyle w:val="null3"/>
              <w:ind w:firstLine="420"/>
              <w:jc w:val="both"/>
            </w:pPr>
            <w:r>
              <w:rPr>
                <w:rFonts w:ascii="仿宋_GB2312" w:hAnsi="仿宋_GB2312" w:cs="仿宋_GB2312" w:eastAsia="仿宋_GB2312"/>
                <w:sz w:val="21"/>
              </w:rPr>
              <w:t>2.培训人数：45人</w:t>
            </w:r>
          </w:p>
          <w:p>
            <w:pPr>
              <w:pStyle w:val="null3"/>
              <w:ind w:firstLine="420"/>
              <w:jc w:val="both"/>
            </w:pPr>
            <w:r>
              <w:rPr>
                <w:rFonts w:ascii="仿宋_GB2312" w:hAnsi="仿宋_GB2312" w:cs="仿宋_GB2312" w:eastAsia="仿宋_GB2312"/>
                <w:sz w:val="21"/>
              </w:rPr>
              <w:t>3.培训周期：60天分阶段开展</w:t>
            </w:r>
          </w:p>
          <w:p>
            <w:pPr>
              <w:pStyle w:val="null3"/>
              <w:ind w:firstLine="420"/>
              <w:jc w:val="both"/>
            </w:pPr>
            <w:r>
              <w:rPr>
                <w:rFonts w:ascii="仿宋_GB2312" w:hAnsi="仿宋_GB2312" w:cs="仿宋_GB2312" w:eastAsia="仿宋_GB2312"/>
                <w:sz w:val="21"/>
              </w:rPr>
              <w:t>4.培训内容：围绕优秀校园长核心素养设置五大模块。其中包括教育思想与政策素养模块：提升政治判断力、政策执行力与办学思想凝练能力；文化与课程领导力模块：提升校园文化体系建设、特色品牌创建及课程教学领导能力；学校治理创新模块：提升现代学校制度构建、家校社协同及教育数字化转型领导能力；学校改进行动模块：提升学校发展诊断与改进方案实施能力；课题研究能力模块：提升教育科研选题、课题研究及成果转化能力。各模块注重能力导向与实践贯通，助推校园长形成成熟的治校模式。</w:t>
            </w:r>
          </w:p>
          <w:p>
            <w:pPr>
              <w:pStyle w:val="null3"/>
              <w:ind w:firstLine="420"/>
              <w:jc w:val="both"/>
            </w:pPr>
            <w:r>
              <w:rPr>
                <w:rFonts w:ascii="仿宋_GB2312" w:hAnsi="仿宋_GB2312" w:cs="仿宋_GB2312" w:eastAsia="仿宋_GB2312"/>
                <w:sz w:val="21"/>
              </w:rPr>
              <w:t>5.培训方式：通过问卷调查、个别访谈等方式，全面评估学员的治校能力与发展需求。在此基础上，综合运用集中研修、跟岗学习、入校指导等形式开展培训；学员须完成办学思想凝练、课题研究报告等六项标志性成果；依据学习过程数据动态调整培训安排，确保学员能力精准提升。</w:t>
            </w:r>
          </w:p>
          <w:p>
            <w:pPr>
              <w:pStyle w:val="null3"/>
              <w:ind w:firstLine="420"/>
              <w:jc w:val="both"/>
            </w:pPr>
            <w:r>
              <w:rPr>
                <w:rFonts w:ascii="仿宋_GB2312" w:hAnsi="仿宋_GB2312" w:cs="仿宋_GB2312" w:eastAsia="仿宋_GB2312"/>
                <w:sz w:val="21"/>
              </w:rPr>
              <w:t>6.供应商须提供：项目培训方案、阶段实施计划、专家师资团队、组织管理保障、成果产出要求及评价标准等信息。</w:t>
            </w:r>
          </w:p>
          <w:p>
            <w:pPr>
              <w:pStyle w:val="null3"/>
              <w:jc w:val="both"/>
            </w:pPr>
            <w:r>
              <w:rPr>
                <w:rFonts w:ascii="仿宋_GB2312" w:hAnsi="仿宋_GB2312" w:cs="仿宋_GB2312" w:eastAsia="仿宋_GB2312"/>
                <w:sz w:val="21"/>
              </w:rPr>
              <w:t xml:space="preserve">    7.其他：本项目费用包含学员的食宿费及培训费，不含往返交通费。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配备与本项目需求匹配的专家以及有关工作人员，项目组成人员职责分工明确、数量和结构配备合理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提供的设备能够满足本项目的需求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自合同签订之日起至本项目履约完毕止。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按照采购人要求，依据现场实际需要，确保项目安全结束。验收依据：磋商文件、磋商响应文件、合同文本、国内相应的标准、规范。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预付款，签订合同后，甲方收到增值税普通发票，达到付款条件起10个工作日内，支付合同总金额的50.0%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其他，所有培训结束后供应商向采购人提交项目验收资料，经采购人验收合格后 ，达到付款条件起10个工作日内，支付合同总金额的50.0%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2）投标人未按合同要求提供服务或服务质量不能满足技术要求，且在规定时间内未使采购人满意的，采购人有权解除合同，同时报请陕西省财政厅政府采购监管部门对其违约行为进行追究。（3）因执行本项目合同所发生的或与本项目合同有关的一切争议,双方应通过友好协商解决。如果协商开始后六十（60）天还不能解决，任何一方均可按中华人民共和国有关法律的规定提交仲裁。仲裁地点为西安仲裁委员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供应商需在项目电子化交易系统中按要求填写《投标函》完成承诺并进行电子签章，同时提供以下各项证明材料： ①供应商具有独立承担民事责任能力的法人或其他组织或自然人，并提供法人或者其他组织合法有效的营业执照等证明文件，事业单位应提供事业单位法人证书，自然人应提供身份证明文件。 ②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③提供磋商截止日前一年内任意一个月已缴纳的社会保障资金的证明（社会保障资金缴存单据或社保机构开具的社会保险参保缴费情况证明等）；依法不需要缴纳社会保障资金的供应商应提供相关文件证明。 ④具备履行合同所必需的设备和专业技术能力，提供承诺函。 ⑤参加政府采购活动前3年内，在经营活动中没有重大违法记录，以及未被列入失信被执行人、重大税收违法案件当事人名单、政府采购严重违法失信行为记录名单，提供书面声明。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提供2024年或2025年度经审计的供应商财务会计报告（至少包括资产负债表、利润表,成立时间至提交响应文件截止时间不足一年的可提供成立后任意时段的资产负债表），或者提供响应文件截止时间前6个月内银行出具的资信证明，提供复印件），或财政部门认可的政府采购专业担保机构出具的担保函（以上三种任意一项即可）。</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授权代表参加磋商的，须出具法定代表人授权委托书（附法定代表人身份证复印件及被授权人身份证复印件）；法定代表人直接参加磋商只需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服务条款偏离表.docx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供应商按照磋商文件要求上传磋商响应文件。</w:t>
            </w:r>
          </w:p>
        </w:tc>
        <w:tc>
          <w:tcPr>
            <w:tcW w:type="dxa" w:w="1661"/>
          </w:tcPr>
          <w:p>
            <w:pPr>
              <w:pStyle w:val="null3"/>
            </w:pPr>
            <w:r>
              <w:rPr>
                <w:rFonts w:ascii="仿宋_GB2312" w:hAnsi="仿宋_GB2312" w:cs="仿宋_GB2312" w:eastAsia="仿宋_GB2312"/>
              </w:rPr>
              <w:t>服务条款偏离表.docx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一、评审内容：提供自2020年6月1日起，截至本项目开标之日的类似的业绩（以合同签订时间为准），每提供一个得2分，最高得10分。 二、评审标准：业绩证明材料（以磋商响应文件中提供的合同复印件为准，合同关键页复印件并加盖供应商公章，合同关键页内容须包含合同名称、签订双方名称、签订时间、主要服务内容、双方盖章页等）。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一、评审内容：针对本项目提供具体可行的整体服务方案，至少包括：1.项目理论依据；2.项目需求分析；3.培训目标；4.培训内容（课程模块）；5.培训方式；6.年度培训计划；7.在线研修平台等。 二、评审标准：以上7项内容完整、描述详尽、符合项目实际需求的，得35分；每缺少1项扣5分；虽提供但所述内容有缺陷扣1分/处，每项内容最多扣5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教学管理制度</w:t>
            </w:r>
          </w:p>
        </w:tc>
        <w:tc>
          <w:tcPr>
            <w:tcW w:type="dxa" w:w="2492"/>
          </w:tcPr>
          <w:p>
            <w:pPr>
              <w:pStyle w:val="null3"/>
            </w:pPr>
            <w:r>
              <w:rPr>
                <w:rFonts w:ascii="仿宋_GB2312" w:hAnsi="仿宋_GB2312" w:cs="仿宋_GB2312" w:eastAsia="仿宋_GB2312"/>
              </w:rPr>
              <w:t>一、评审内容：针对本项目提供完善的教学管理制度，至少包括：1.授课教师管理制度；2.学员管理及考核制度；3.班主任管理制度；4.其他健全的内部管理制度。 二、评审标准：以上4项内容完整、描述详尽、符合项目实际需求的，得8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组织管理保障方案</w:t>
            </w:r>
          </w:p>
        </w:tc>
        <w:tc>
          <w:tcPr>
            <w:tcW w:type="dxa" w:w="2492"/>
          </w:tcPr>
          <w:p>
            <w:pPr>
              <w:pStyle w:val="null3"/>
            </w:pPr>
            <w:r>
              <w:rPr>
                <w:rFonts w:ascii="仿宋_GB2312" w:hAnsi="仿宋_GB2312" w:cs="仿宋_GB2312" w:eastAsia="仿宋_GB2312"/>
              </w:rPr>
              <w:t>一、评审内容：针对本项目提供完善的组织管理保障方案，至少包括：1.资源整合方案；2.食宿场地等条件保障；3.跟岗实践基地资源；4.跟踪指导机制、5.沟通协调机制。 二、评审标准：以上5项内容完整、描述详尽、符合项目实际需求的，得10分；每缺少1项扣2分；虽提供但所述内容有缺陷扣0.4分/处，每项内容最多扣2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一、评审内容：供应商针对本项目提供完善的应急管理方案，至少包括：1.突发事件预防；2.突发事件处理。 二、评审标准：以上2项内容完整、描述详尽、符合项目实际需求的，得3分；每缺少1项扣1.5分；虽提供但所述内容有缺陷扣0.3分/处，每项内容最多扣1.5分。(缺陷是指：①存在与采购需求不符的情况；②存在不适用实际情况的情形、凭空编造；③方案中内容前后不一致、前后逻辑错误；④涉及的规范及标准错误；⑤评审项或者此项评审内容存在明显缺失或者明显漏洞)。</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团队人员配备方案</w:t>
            </w:r>
          </w:p>
        </w:tc>
        <w:tc>
          <w:tcPr>
            <w:tcW w:type="dxa" w:w="2492"/>
          </w:tcPr>
          <w:p>
            <w:pPr>
              <w:pStyle w:val="null3"/>
            </w:pPr>
            <w:r>
              <w:rPr>
                <w:rFonts w:ascii="仿宋_GB2312" w:hAnsi="仿宋_GB2312" w:cs="仿宋_GB2312" w:eastAsia="仿宋_GB2312"/>
              </w:rPr>
              <w:t>一、团队人员配备方案 （一）评审内容：针对本项目配备项目团队，提供团队人员配备方案，至少包括：1.项目组织构架、2.岗位分工及责任制度、3.专业配备、4.人员管理制度等方案。 （二）赋分标准： 以上4项内容完整、描述详尽、符合项目实际需求的，得20分，每缺少1项扣5分；虽提供但所述内容有缺陷扣1分/处，每项最多扣5分。(缺陷是指：①存在不适用项目实际情况、凭空编造的情形；②方案中前后逻辑错误；③涉及的规范及标准错误；④地点区域错误内容缺失；⑤评审项或者此项评审内容存在明显缺失或者明显漏洞)； 二、项目组组长具有教育类正高级职称，同时在本项目中承担相应的工作职责，得4分；教育类副高级职称，同时在本项目中承担相应的工作职责，得3分；教育类中级职称，同时在本项目中承担相应的工作职责，得2分。（提供加盖公章的职称证书复印件和在本项目中承担相应的工作职责的承诺函，格式自拟）</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详见附件：《西安市第二批基础教育优秀校园长培养培训项目》合同.docx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