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版本号：【KRDL】K5-260504220260810001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三波长高重频高能量单频窄线宽全固态激光器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【KRDL】K5-2605042</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三波长高重频高能量单频窄线宽全固态激光器</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【KRDL】K5-2605042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三波长高重频高能量单频窄线宽全固态激光器</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本项目为西安理工大学三波长高重频高能量单频窄线宽全固态激光器，拟采购三波长高重频高能量单频窄线宽全固态激光器1套。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采购包1（三波长高重频高能量单频窄线宽全固态激光器）：属于专门面向中小企业采购。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王森、于珂欣、姚瑶、王昭、刘昆、张晨、代光艳、靳祥德、成荔、彭明杨、王莉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029-81870236、17602924160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中标人应当在中标通知书领取后五个工作日内将项目履约保证金(合同总金额的5%)缴纳至招标人，未按照招标文件要求按时足额缴纳履约保证金的，招标人将取消中标人中标资格，且无需承担任何责任。合同约定事宜完成，验收合格后，无息退还履约保证金。注: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各采购包中标人参照国家计委颁发的《招标代理服务收费管理暂行办法》(计价格[2002]1980号)及(发改办价格[2011]534号)的标准的70%分别向采购代理机构一次付清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本项目为西安理工大学三波长高重频高能量单频窄线宽全固态激光器，拟采购三波长高重频高能量单频窄线宽全固态激光器1套。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1,550,000.00</w:t>
      </w:r>
    </w:p>
    <w:p>
      <w:pPr>
        <w:pStyle w:val="null3"/>
      </w:pPr>
      <w:r>
        <w:rPr>
          <w:rFonts w:ascii="仿宋_GB2312" w:hAnsi="仿宋_GB2312" w:cs="仿宋_GB2312" w:eastAsia="仿宋_GB2312"/>
        </w:rPr>
        <w:t>采购包最高限价（元）: 1,460,000.00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三波长高重频高能量单频窄线宽全固态激光器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标的名称：三波长高重频高能量单频窄线宽全固态激光器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1)</w:t>
            </w:r>
            <w:r>
              <w:rPr>
                <w:rFonts w:ascii="仿宋_GB2312" w:hAnsi="仿宋_GB2312" w:cs="仿宋_GB2312" w:eastAsia="仿宋_GB2312"/>
                <w:sz w:val="18"/>
              </w:rPr>
              <w:t>★中心波长：354.7±0.1nm，532.15±0.1nm，1064.</w:t>
            </w:r>
            <w:r>
              <w:rPr>
                <w:rFonts w:ascii="仿宋_GB2312" w:hAnsi="仿宋_GB2312" w:cs="仿宋_GB2312" w:eastAsia="仿宋_GB2312"/>
                <w:sz w:val="18"/>
              </w:rPr>
              <w:t>2</w:t>
            </w:r>
            <w:r>
              <w:rPr>
                <w:rFonts w:ascii="仿宋_GB2312" w:hAnsi="仿宋_GB2312" w:cs="仿宋_GB2312" w:eastAsia="仿宋_GB2312"/>
                <w:sz w:val="18"/>
              </w:rPr>
              <w:t>6±0.1nm；</w:t>
            </w:r>
            <w:r>
              <w:rPr>
                <w:rFonts w:ascii="仿宋_GB2312" w:hAnsi="仿宋_GB2312" w:cs="仿宋_GB2312" w:eastAsia="仿宋_GB2312"/>
                <w:sz w:val="18"/>
              </w:rPr>
              <w:t>(</w:t>
            </w:r>
            <w:r>
              <w:rPr>
                <w:rFonts w:ascii="仿宋_GB2312" w:hAnsi="仿宋_GB2312" w:cs="仿宋_GB2312" w:eastAsia="仿宋_GB2312"/>
                <w:sz w:val="18"/>
              </w:rPr>
              <w:t>空气中</w:t>
            </w:r>
            <w:r>
              <w:rPr>
                <w:rFonts w:ascii="仿宋_GB2312" w:hAnsi="仿宋_GB2312" w:cs="仿宋_GB2312" w:eastAsia="仿宋_GB2312"/>
                <w:sz w:val="18"/>
              </w:rPr>
              <w:t>)</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重复频率：≥100Hz</w:t>
            </w:r>
          </w:p>
          <w:p>
            <w:pPr>
              <w:pStyle w:val="null3"/>
            </w:pPr>
            <w:r>
              <w:rPr>
                <w:rFonts w:ascii="仿宋_GB2312" w:hAnsi="仿宋_GB2312" w:cs="仿宋_GB2312" w:eastAsia="仿宋_GB2312"/>
                <w:sz w:val="18"/>
              </w:rPr>
              <w:t>3)</w:t>
            </w:r>
            <w:r>
              <w:rPr>
                <w:rFonts w:ascii="仿宋_GB2312" w:hAnsi="仿宋_GB2312" w:cs="仿宋_GB2312" w:eastAsia="仿宋_GB2312"/>
                <w:sz w:val="18"/>
              </w:rPr>
              <w:t>▲脉冲宽度：≤10ns@355nm</w:t>
            </w:r>
          </w:p>
          <w:p>
            <w:pPr>
              <w:pStyle w:val="null3"/>
            </w:pPr>
            <w:r>
              <w:rPr>
                <w:rFonts w:ascii="仿宋_GB2312" w:hAnsi="仿宋_GB2312" w:cs="仿宋_GB2312" w:eastAsia="仿宋_GB2312"/>
                <w:sz w:val="18"/>
              </w:rPr>
              <w:t>4)</w:t>
            </w:r>
            <w:r>
              <w:rPr>
                <w:rFonts w:ascii="仿宋_GB2312" w:hAnsi="仿宋_GB2312" w:cs="仿宋_GB2312" w:eastAsia="仿宋_GB2312"/>
                <w:sz w:val="18"/>
              </w:rPr>
              <w:t>▲线宽：≤200MHz@355nm</w:t>
            </w:r>
          </w:p>
          <w:p>
            <w:pPr>
              <w:pStyle w:val="null3"/>
            </w:pPr>
            <w:r>
              <w:rPr>
                <w:rFonts w:ascii="仿宋_GB2312" w:hAnsi="仿宋_GB2312" w:cs="仿宋_GB2312" w:eastAsia="仿宋_GB2312"/>
                <w:sz w:val="18"/>
              </w:rPr>
              <w:t>5)★</w:t>
            </w:r>
            <w:r>
              <w:rPr>
                <w:rFonts w:ascii="仿宋_GB2312" w:hAnsi="仿宋_GB2312" w:cs="仿宋_GB2312" w:eastAsia="仿宋_GB2312"/>
                <w:sz w:val="18"/>
              </w:rPr>
              <w:t>脉冲能量：≥</w:t>
            </w:r>
            <w:r>
              <w:rPr>
                <w:rFonts w:ascii="仿宋_GB2312" w:hAnsi="仿宋_GB2312" w:cs="仿宋_GB2312" w:eastAsia="仿宋_GB2312"/>
                <w:sz w:val="18"/>
              </w:rPr>
              <w:t>3</w:t>
            </w:r>
            <w:r>
              <w:rPr>
                <w:rFonts w:ascii="仿宋_GB2312" w:hAnsi="仿宋_GB2312" w:cs="仿宋_GB2312" w:eastAsia="仿宋_GB2312"/>
                <w:sz w:val="18"/>
              </w:rPr>
              <w:t>00mJ@355nm；≥</w:t>
            </w:r>
            <w:r>
              <w:rPr>
                <w:rFonts w:ascii="仿宋_GB2312" w:hAnsi="仿宋_GB2312" w:cs="仿宋_GB2312" w:eastAsia="仿宋_GB2312"/>
                <w:sz w:val="18"/>
              </w:rPr>
              <w:t>100</w:t>
            </w:r>
            <w:r>
              <w:rPr>
                <w:rFonts w:ascii="仿宋_GB2312" w:hAnsi="仿宋_GB2312" w:cs="仿宋_GB2312" w:eastAsia="仿宋_GB2312"/>
                <w:sz w:val="18"/>
              </w:rPr>
              <w:t>mJ@532nm；≥</w:t>
            </w:r>
            <w:r>
              <w:rPr>
                <w:rFonts w:ascii="仿宋_GB2312" w:hAnsi="仿宋_GB2312" w:cs="仿宋_GB2312" w:eastAsia="仿宋_GB2312"/>
                <w:sz w:val="18"/>
              </w:rPr>
              <w:t>150</w:t>
            </w:r>
            <w:r>
              <w:rPr>
                <w:rFonts w:ascii="仿宋_GB2312" w:hAnsi="仿宋_GB2312" w:cs="仿宋_GB2312" w:eastAsia="仿宋_GB2312"/>
                <w:sz w:val="18"/>
              </w:rPr>
              <w:t>mJ@1064nm；（同时输出）</w:t>
            </w:r>
          </w:p>
          <w:p>
            <w:pPr>
              <w:pStyle w:val="null3"/>
            </w:pPr>
            <w:r>
              <w:rPr>
                <w:rFonts w:ascii="仿宋_GB2312" w:hAnsi="仿宋_GB2312" w:cs="仿宋_GB2312" w:eastAsia="仿宋_GB2312"/>
                <w:sz w:val="18"/>
              </w:rPr>
              <w:t>6)</w:t>
            </w:r>
            <w:r>
              <w:rPr>
                <w:rFonts w:ascii="仿宋_GB2312" w:hAnsi="仿宋_GB2312" w:cs="仿宋_GB2312" w:eastAsia="仿宋_GB2312"/>
                <w:sz w:val="18"/>
              </w:rPr>
              <w:t>带倍频模块自动相位匹配功能</w:t>
            </w:r>
          </w:p>
          <w:p>
            <w:pPr>
              <w:pStyle w:val="null3"/>
            </w:pPr>
            <w:r>
              <w:rPr>
                <w:rFonts w:ascii="仿宋_GB2312" w:hAnsi="仿宋_GB2312" w:cs="仿宋_GB2312" w:eastAsia="仿宋_GB2312"/>
                <w:sz w:val="18"/>
              </w:rPr>
              <w:t>7)</w:t>
            </w:r>
            <w:r>
              <w:rPr>
                <w:rFonts w:ascii="仿宋_GB2312" w:hAnsi="仿宋_GB2312" w:cs="仿宋_GB2312" w:eastAsia="仿宋_GB2312"/>
                <w:sz w:val="18"/>
              </w:rPr>
              <w:t>▲功率稳定性（2h,RMS）：≤</w:t>
            </w:r>
            <w:r>
              <w:rPr>
                <w:rFonts w:ascii="仿宋_GB2312" w:hAnsi="仿宋_GB2312" w:cs="仿宋_GB2312" w:eastAsia="仿宋_GB2312"/>
                <w:sz w:val="18"/>
              </w:rPr>
              <w:t>2</w:t>
            </w:r>
            <w:r>
              <w:rPr>
                <w:rFonts w:ascii="仿宋_GB2312" w:hAnsi="仿宋_GB2312" w:cs="仿宋_GB2312" w:eastAsia="仿宋_GB2312"/>
                <w:sz w:val="18"/>
              </w:rPr>
              <w:t>%@室温</w:t>
            </w:r>
          </w:p>
          <w:p>
            <w:pPr>
              <w:pStyle w:val="null3"/>
            </w:pPr>
            <w:r>
              <w:rPr>
                <w:rFonts w:ascii="仿宋_GB2312" w:hAnsi="仿宋_GB2312" w:cs="仿宋_GB2312" w:eastAsia="仿宋_GB2312"/>
                <w:sz w:val="18"/>
              </w:rPr>
              <w:t>8)</w:t>
            </w:r>
            <w:r>
              <w:rPr>
                <w:rFonts w:ascii="仿宋_GB2312" w:hAnsi="仿宋_GB2312" w:cs="仿宋_GB2312" w:eastAsia="仿宋_GB2312"/>
                <w:sz w:val="18"/>
              </w:rPr>
              <w:t>▲发散角（全角）：≤0.15mrad@355nm；≤0.2mrad@532nm；≤0.2mrad@1064nm；</w:t>
            </w:r>
          </w:p>
          <w:p>
            <w:pPr>
              <w:pStyle w:val="null3"/>
            </w:pPr>
            <w:r>
              <w:rPr>
                <w:rFonts w:ascii="仿宋_GB2312" w:hAnsi="仿宋_GB2312" w:cs="仿宋_GB2312" w:eastAsia="仿宋_GB2312"/>
                <w:sz w:val="18"/>
              </w:rPr>
              <w:t>9)</w:t>
            </w:r>
            <w:r>
              <w:rPr>
                <w:rFonts w:ascii="仿宋_GB2312" w:hAnsi="仿宋_GB2312" w:cs="仿宋_GB2312" w:eastAsia="仿宋_GB2312"/>
                <w:sz w:val="18"/>
              </w:rPr>
              <w:t>光斑大小：≤20mm</w:t>
            </w:r>
          </w:p>
          <w:p>
            <w:pPr>
              <w:pStyle w:val="null3"/>
            </w:pPr>
            <w:r>
              <w:rPr>
                <w:rFonts w:ascii="仿宋_GB2312" w:hAnsi="仿宋_GB2312" w:cs="仿宋_GB2312" w:eastAsia="仿宋_GB2312"/>
                <w:sz w:val="18"/>
              </w:rPr>
              <w:t>10)</w:t>
            </w:r>
            <w:r>
              <w:rPr>
                <w:rFonts w:ascii="仿宋_GB2312" w:hAnsi="仿宋_GB2312" w:cs="仿宋_GB2312" w:eastAsia="仿宋_GB2312"/>
                <w:sz w:val="18"/>
              </w:rPr>
              <w:t>同步输出信号：3.5</w:t>
            </w:r>
            <w:r>
              <w:rPr>
                <w:rFonts w:ascii="仿宋_GB2312" w:hAnsi="仿宋_GB2312" w:cs="仿宋_GB2312" w:eastAsia="仿宋_GB2312"/>
                <w:sz w:val="18"/>
              </w:rPr>
              <w:t>～</w:t>
            </w:r>
            <w:r>
              <w:rPr>
                <w:rFonts w:ascii="仿宋_GB2312" w:hAnsi="仿宋_GB2312" w:cs="仿宋_GB2312" w:eastAsia="仿宋_GB2312"/>
                <w:sz w:val="18"/>
              </w:rPr>
              <w:t>5V@50Ω TTL信号，宽度≥1μs，上升沿≤50ns，Jitter≤2ns （相对于光脉冲）</w:t>
            </w:r>
          </w:p>
          <w:p>
            <w:pPr>
              <w:pStyle w:val="null3"/>
            </w:pPr>
            <w:r>
              <w:rPr>
                <w:rFonts w:ascii="仿宋_GB2312" w:hAnsi="仿宋_GB2312" w:cs="仿宋_GB2312" w:eastAsia="仿宋_GB2312"/>
                <w:sz w:val="18"/>
              </w:rPr>
              <w:t>11)</w:t>
            </w:r>
            <w:r>
              <w:rPr>
                <w:rFonts w:ascii="仿宋_GB2312" w:hAnsi="仿宋_GB2312" w:cs="仿宋_GB2312" w:eastAsia="仿宋_GB2312"/>
                <w:sz w:val="18"/>
              </w:rPr>
              <w:t>具备种子注入及功率监测功能:主要对种子光、1064nm基频光输出、355nm 输出光进行监测;</w:t>
            </w:r>
          </w:p>
          <w:p>
            <w:pPr>
              <w:pStyle w:val="null3"/>
            </w:pPr>
            <w:r>
              <w:rPr>
                <w:rFonts w:ascii="仿宋_GB2312" w:hAnsi="仿宋_GB2312" w:cs="仿宋_GB2312" w:eastAsia="仿宋_GB2312"/>
                <w:sz w:val="18"/>
              </w:rPr>
              <w:t>12)</w:t>
            </w:r>
            <w:r>
              <w:rPr>
                <w:rFonts w:ascii="仿宋_GB2312" w:hAnsi="仿宋_GB2312" w:cs="仿宋_GB2312" w:eastAsia="仿宋_GB2312"/>
                <w:sz w:val="18"/>
              </w:rPr>
              <w:t>外触发信号：3.5</w:t>
            </w:r>
            <w:r>
              <w:rPr>
                <w:rFonts w:ascii="仿宋_GB2312" w:hAnsi="仿宋_GB2312" w:cs="仿宋_GB2312" w:eastAsia="仿宋_GB2312"/>
                <w:sz w:val="18"/>
              </w:rPr>
              <w:t>～</w:t>
            </w:r>
            <w:r>
              <w:rPr>
                <w:rFonts w:ascii="仿宋_GB2312" w:hAnsi="仿宋_GB2312" w:cs="仿宋_GB2312" w:eastAsia="仿宋_GB2312"/>
                <w:sz w:val="18"/>
              </w:rPr>
              <w:t>5V@50Ω TTL信号</w:t>
            </w:r>
          </w:p>
          <w:p>
            <w:pPr>
              <w:pStyle w:val="null3"/>
            </w:pPr>
            <w:r>
              <w:rPr>
                <w:rFonts w:ascii="仿宋_GB2312" w:hAnsi="仿宋_GB2312" w:cs="仿宋_GB2312" w:eastAsia="仿宋_GB2312"/>
                <w:sz w:val="18"/>
              </w:rPr>
              <w:t>13)</w:t>
            </w:r>
            <w:r>
              <w:rPr>
                <w:rFonts w:ascii="仿宋_GB2312" w:hAnsi="仿宋_GB2312" w:cs="仿宋_GB2312" w:eastAsia="仿宋_GB2312"/>
                <w:sz w:val="18"/>
              </w:rPr>
              <w:t>触发方式：外触发/内触发</w:t>
            </w:r>
          </w:p>
          <w:p>
            <w:pPr>
              <w:pStyle w:val="null3"/>
            </w:pPr>
            <w:r>
              <w:rPr>
                <w:rFonts w:ascii="仿宋_GB2312" w:hAnsi="仿宋_GB2312" w:cs="仿宋_GB2312" w:eastAsia="仿宋_GB2312"/>
                <w:sz w:val="18"/>
              </w:rPr>
              <w:t>14)</w:t>
            </w:r>
            <w:r>
              <w:rPr>
                <w:rFonts w:ascii="仿宋_GB2312" w:hAnsi="仿宋_GB2312" w:cs="仿宋_GB2312" w:eastAsia="仿宋_GB2312"/>
                <w:sz w:val="18"/>
              </w:rPr>
              <w:t>通信协议：RS422等</w:t>
            </w:r>
          </w:p>
          <w:p>
            <w:pPr>
              <w:pStyle w:val="null3"/>
            </w:pPr>
            <w:r>
              <w:rPr>
                <w:rFonts w:ascii="仿宋_GB2312" w:hAnsi="仿宋_GB2312" w:cs="仿宋_GB2312" w:eastAsia="仿宋_GB2312"/>
                <w:sz w:val="18"/>
              </w:rPr>
              <w:t>15)</w:t>
            </w:r>
            <w:r>
              <w:rPr>
                <w:rFonts w:ascii="仿宋_GB2312" w:hAnsi="仿宋_GB2312" w:cs="仿宋_GB2312" w:eastAsia="仿宋_GB2312"/>
                <w:sz w:val="18"/>
              </w:rPr>
              <w:t>冷却方式：水冷</w:t>
            </w:r>
          </w:p>
          <w:p>
            <w:pPr>
              <w:pStyle w:val="null3"/>
            </w:pPr>
            <w:r>
              <w:rPr>
                <w:rFonts w:ascii="仿宋_GB2312" w:hAnsi="仿宋_GB2312" w:cs="仿宋_GB2312" w:eastAsia="仿宋_GB2312"/>
                <w:sz w:val="18"/>
              </w:rPr>
              <w:t>16)</w:t>
            </w:r>
            <w:r>
              <w:rPr>
                <w:rFonts w:ascii="仿宋_GB2312" w:hAnsi="仿宋_GB2312" w:cs="仿宋_GB2312" w:eastAsia="仿宋_GB2312"/>
                <w:sz w:val="18"/>
              </w:rPr>
              <w:t>工作环境温度：15</w:t>
            </w:r>
            <w:r>
              <w:rPr>
                <w:rFonts w:ascii="仿宋_GB2312" w:hAnsi="仿宋_GB2312" w:cs="仿宋_GB2312" w:eastAsia="仿宋_GB2312"/>
                <w:sz w:val="18"/>
              </w:rPr>
              <w:t>～</w:t>
            </w:r>
            <w:r>
              <w:rPr>
                <w:rFonts w:ascii="仿宋_GB2312" w:hAnsi="仿宋_GB2312" w:cs="仿宋_GB2312" w:eastAsia="仿宋_GB2312"/>
                <w:sz w:val="18"/>
              </w:rPr>
              <w:t>35℃</w:t>
            </w:r>
          </w:p>
          <w:p>
            <w:pPr>
              <w:pStyle w:val="null3"/>
            </w:pPr>
            <w:r>
              <w:rPr>
                <w:rFonts w:ascii="仿宋_GB2312" w:hAnsi="仿宋_GB2312" w:cs="仿宋_GB2312" w:eastAsia="仿宋_GB2312"/>
                <w:sz w:val="18"/>
              </w:rPr>
              <w:t>17)</w:t>
            </w:r>
            <w:r>
              <w:rPr>
                <w:rFonts w:ascii="仿宋_GB2312" w:hAnsi="仿宋_GB2312" w:cs="仿宋_GB2312" w:eastAsia="仿宋_GB2312"/>
                <w:sz w:val="18"/>
              </w:rPr>
              <w:t>存储环境温度：-20</w:t>
            </w:r>
            <w:r>
              <w:rPr>
                <w:rFonts w:ascii="仿宋_GB2312" w:hAnsi="仿宋_GB2312" w:cs="仿宋_GB2312" w:eastAsia="仿宋_GB2312"/>
                <w:sz w:val="18"/>
              </w:rPr>
              <w:t>～</w:t>
            </w:r>
            <w:r>
              <w:rPr>
                <w:rFonts w:ascii="仿宋_GB2312" w:hAnsi="仿宋_GB2312" w:cs="仿宋_GB2312" w:eastAsia="仿宋_GB2312"/>
                <w:sz w:val="18"/>
              </w:rPr>
              <w:t>50℃（含冷却液）</w:t>
            </w:r>
          </w:p>
          <w:p>
            <w:pPr>
              <w:pStyle w:val="null3"/>
            </w:pPr>
            <w:r>
              <w:rPr>
                <w:rFonts w:ascii="仿宋_GB2312" w:hAnsi="仿宋_GB2312" w:cs="仿宋_GB2312" w:eastAsia="仿宋_GB2312"/>
                <w:sz w:val="18"/>
              </w:rPr>
              <w:t>18)</w:t>
            </w:r>
            <w:r>
              <w:rPr>
                <w:rFonts w:ascii="仿宋_GB2312" w:hAnsi="仿宋_GB2312" w:cs="仿宋_GB2312" w:eastAsia="仿宋_GB2312"/>
                <w:sz w:val="18"/>
              </w:rPr>
              <w:t>供电：220V AC/380V AC</w:t>
            </w:r>
          </w:p>
          <w:p>
            <w:pPr>
              <w:pStyle w:val="null3"/>
            </w:pPr>
            <w:r>
              <w:rPr>
                <w:rFonts w:ascii="仿宋_GB2312" w:hAnsi="仿宋_GB2312" w:cs="仿宋_GB2312" w:eastAsia="仿宋_GB2312"/>
                <w:sz w:val="18"/>
              </w:rPr>
              <w:t>配激光能量计1个，满足本项目激光器的测量需求。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合同签订后120个日历日完成供货、安装、调试并达到交付使用条件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西安理工大学金花校区（以采购人执行位置为准）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招标人指定地点并经招标人初步查验无误后，中标人按照剩余合同额向甲方开具不可撤销、见索即付的银行保函（或双方协商确认的其他方式），招标人收到银行保函正本后5个工作日内向中标人支付等额款项；设备安装调试完成，经招标人验收合格并签署《验收合格报告》后，中标人开具增值税专用发票，招标人5个工作日内向中标人退还不可撤销、见索即付的银行保函正本，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 在乙方进行设备的现场安装调试后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本项目质保不少于5年，质保期内全部易损件由中标单位无偿更换，费用含于总价。</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第1条为其他商务要求： 1.（1）采购标的的安装调试、售后服务等要求 ①安装调试与培训要求 调试周期：连续48小时无故障运行测试； 人员培训：现场培训，培训时间不少于12课时,并提供相关操作人员培训资料。 ②售后服务 响应时限：设备发生故障后，乙方应提供及时技术支持，接到通知后4小时内响应，24小时内提出处理方案；如需现场处理，应在48小时内到达现场。 （2）产品质保期（三包期）内，修理、更换、退货要求 ①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②不符约定处理：如交付品种、型号、规格不符合同约定的，由中标人负责退换，由此产生的一切费用及给采购人造成的相关损失由中标人全部承担并赔偿相应损失； ③不能修理或调换：如不能修理或者不能调换的，按不能交货处理，因此给采购人造成的所有经济损失中标人应予全额赔偿； ④质保服务：保修期内由中标人免费质保，采购人报修后三日内投标人必须响应，否则将依据有关法律、法规进行追偿； ⑤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3.用保函形式缴纳投标保证金的投标人应按照陕西省政府采购网的相关要求进行递交，同时还需在投标截止时间前将保函扫描成清晰的PDF文件发送至邮箱1253677747@qq.com（邮件命名：项目编号+项目名称） 4.用转账形式缴纳投标保证金的投标人转账时需备注项目名称+投标保证金； 5.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技术方案.docx 中小企业声明函 履约保证金承诺函.docx 投标人应提交的相关资格证明材料.docx 投标函 残疾人福利性单位声明函 标的清单 其他资料.docx 关于符合本国产品标准的声明函 投标文件封面 产品技术参数表.docx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技术方案.docx 中小企业声明函 履约保证金承诺函.docx 投标人应提交的相关资格证明材料.docx 投标函 残疾人福利性单位声明函 标的清单 其他资料.docx 关于符合本国产品标准的声明函 投标文件封面 产品技术参数表.docx 商务条款偏离表.docx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根据产品技术和性能响应情况进行评审，完全响应并满足参数需求的得31.00分，其中： ①技术参数中标记“★”项的参数需求为实质性技术参数，不允许负偏离，否则按无效投标处理； ②技术参数中标记“▲”项的参数需求为重要技术参数，每负偏离一项扣5分，扣完为止； ③技术参数中其他参数为一般技术参数，每负偏离一项扣1分，扣完为止。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并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投标人应确保所投产品渠道正规、权属清晰、无知识产权纠纷。满足以下任一条件即得1分： （1）投标人为制造商的得1分； （2）投标人为代理商的能提供制造商授权书或代理协议等证明材料得1分。 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在满足本项目质保期要求（5年）的基础上，质保期每延长1年加1分，本项满分2分；（提供承诺书，承诺书格式自拟），无承诺不得分。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投标人提供的产品质量保证措施方案需包含①产品综合性能、使用寿命及效果说明；②产品生产、供货及运输的质量保证措施、产品安装及调试质量保证措施，共2项内容，每项满分3分，总分6分。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投标人提供的售后保障措施方案需包含①售后服务机构人员配置方案及保修期外至全寿命周期内零配件及备品备件供应方案，共1项内容，每项满分3分，总分3分。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投标人提供的应急事故响应及处理方案需包含可能发生的应急事故情况分析、应急响应时间及紧急安全保障措施，共1项内容，每项满分3分，总分3分。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提供投标人2023年6月1日以来的同类业绩证明材料。每提供1份得2分，满分8分。 注：业绩证明材料为完整的合同复印件或扫描件和与合同相对应的发票扫描件或复印件（缺一不可），时间以合同签订时间为准，投标人应在投标文件中提供完整业绩合同复印件或扫描件及发票扫描件或复印件。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