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408F9">
      <w:pPr>
        <w:widowControl/>
        <w:spacing w:after="156" w:afterLines="50" w:line="560" w:lineRule="exact"/>
        <w:jc w:val="center"/>
        <w:rPr>
          <w:rFonts w:ascii="方正小标宋简体" w:hAnsi="Times New Roman" w:eastAsia="方正小标宋简体" w:cs="Times New Roman"/>
          <w:sz w:val="44"/>
          <w:szCs w:val="44"/>
        </w:rPr>
      </w:pPr>
      <w:r>
        <w:rPr>
          <w:rFonts w:ascii="方正小标宋简体" w:hAnsi="Times New Roman" w:eastAsia="方正小标宋简体" w:cs="Times New Roman"/>
          <w:sz w:val="44"/>
          <w:szCs w:val="44"/>
        </w:rPr>
        <w:t>西安工业大学</w:t>
      </w:r>
      <w:r>
        <w:rPr>
          <w:rFonts w:ascii="方正小标宋简体" w:hAnsi="Times New Roman" w:eastAsia="方正小标宋简体" w:cs="Times New Roman"/>
          <w:sz w:val="44"/>
          <w:szCs w:val="44"/>
          <w:u w:val="single"/>
        </w:rPr>
        <w:t xml:space="preserve">       </w:t>
      </w:r>
      <w:r>
        <w:rPr>
          <w:rFonts w:ascii="方正小标宋简体" w:hAnsi="Times New Roman" w:eastAsia="方正小标宋简体" w:cs="Times New Roman"/>
          <w:sz w:val="44"/>
          <w:szCs w:val="44"/>
        </w:rPr>
        <w:t>采购合同</w:t>
      </w:r>
    </w:p>
    <w:tbl>
      <w:tblPr>
        <w:tblStyle w:val="10"/>
        <w:tblpPr w:leftFromText="180" w:rightFromText="180" w:vertAnchor="text" w:horzAnchor="margin" w:tblpY="1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62"/>
        <w:gridCol w:w="4660"/>
      </w:tblGrid>
      <w:tr w14:paraId="25B5A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2" w:type="dxa"/>
          </w:tcPr>
          <w:p w14:paraId="0072926E">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甲方：西安工业大学</w:t>
            </w:r>
          </w:p>
        </w:tc>
        <w:tc>
          <w:tcPr>
            <w:tcW w:w="4660" w:type="dxa"/>
          </w:tcPr>
          <w:p w14:paraId="46682DE6">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地址：陕西省西安市未央区学府中路2号</w:t>
            </w:r>
          </w:p>
        </w:tc>
      </w:tr>
      <w:tr w14:paraId="7B3F1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2" w:type="dxa"/>
          </w:tcPr>
          <w:p w14:paraId="4445AE1D">
            <w:pPr>
              <w:widowControl/>
              <w:spacing w:line="300" w:lineRule="auto"/>
              <w:jc w:val="left"/>
              <w:rPr>
                <w:rFonts w:ascii="Times New Roman" w:hAnsi="Times New Roman" w:eastAsia="宋体" w:cs="Times New Roman"/>
                <w:kern w:val="0"/>
                <w:sz w:val="28"/>
                <w:szCs w:val="28"/>
              </w:rPr>
            </w:pPr>
          </w:p>
        </w:tc>
        <w:tc>
          <w:tcPr>
            <w:tcW w:w="4660" w:type="dxa"/>
          </w:tcPr>
          <w:p w14:paraId="403567C6">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电话：</w:t>
            </w:r>
            <w:r>
              <w:rPr>
                <w:rFonts w:hint="eastAsia" w:ascii="Times New Roman" w:hAnsi="Times New Roman" w:eastAsia="宋体" w:cs="Times New Roman"/>
                <w:kern w:val="0"/>
                <w:sz w:val="28"/>
                <w:szCs w:val="28"/>
              </w:rPr>
              <w:t>029-</w:t>
            </w:r>
          </w:p>
          <w:p w14:paraId="5BDAFD94">
            <w:pPr>
              <w:pStyle w:val="2"/>
              <w:rPr>
                <w:rFonts w:hint="eastAsia" w:ascii="Times New Roman" w:hAnsi="Times New Roman" w:eastAsia="宋体" w:cs="Times New Roman"/>
              </w:rPr>
            </w:pPr>
          </w:p>
        </w:tc>
      </w:tr>
      <w:tr w14:paraId="5109F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2" w:type="dxa"/>
          </w:tcPr>
          <w:p w14:paraId="3D80C3DA">
            <w:pPr>
              <w:widowControl/>
              <w:spacing w:line="300" w:lineRule="auto"/>
              <w:jc w:val="left"/>
              <w:rPr>
                <w:rFonts w:ascii="Times New Roman" w:hAnsi="Times New Roman" w:eastAsia="宋体" w:cs="Times New Roman"/>
                <w:kern w:val="0"/>
                <w:sz w:val="28"/>
                <w:szCs w:val="28"/>
              </w:rPr>
            </w:pPr>
          </w:p>
        </w:tc>
        <w:tc>
          <w:tcPr>
            <w:tcW w:w="4660" w:type="dxa"/>
          </w:tcPr>
          <w:p w14:paraId="0FE66A20">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邮编：</w:t>
            </w:r>
            <w:r>
              <w:rPr>
                <w:rFonts w:hint="eastAsia" w:ascii="Times New Roman" w:hAnsi="Times New Roman" w:eastAsia="宋体" w:cs="Times New Roman"/>
                <w:kern w:val="0"/>
                <w:sz w:val="28"/>
                <w:szCs w:val="28"/>
              </w:rPr>
              <w:t>710021</w:t>
            </w:r>
          </w:p>
          <w:p w14:paraId="1581FEA2">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联系人：</w:t>
            </w:r>
          </w:p>
          <w:p w14:paraId="37123863">
            <w:pPr>
              <w:pStyle w:val="2"/>
              <w:rPr>
                <w:rFonts w:hint="eastAsia" w:ascii="Times New Roman" w:hAnsi="Times New Roman" w:eastAsia="宋体" w:cs="Times New Roman"/>
              </w:rPr>
            </w:pPr>
          </w:p>
        </w:tc>
      </w:tr>
      <w:tr w14:paraId="44037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2" w:type="dxa"/>
          </w:tcPr>
          <w:p w14:paraId="062B3A6C">
            <w:pPr>
              <w:widowControl/>
              <w:spacing w:line="300" w:lineRule="auto"/>
              <w:jc w:val="left"/>
              <w:rPr>
                <w:rFonts w:ascii="Times New Roman" w:hAnsi="Times New Roman" w:eastAsia="宋体" w:cs="Times New Roman"/>
                <w:kern w:val="0"/>
                <w:sz w:val="28"/>
                <w:szCs w:val="28"/>
                <w:u w:val="single"/>
              </w:rPr>
            </w:pPr>
            <w:r>
              <w:rPr>
                <w:rFonts w:ascii="Times New Roman" w:hAnsi="Times New Roman" w:eastAsia="宋体" w:cs="Times New Roman"/>
                <w:kern w:val="0"/>
                <w:sz w:val="28"/>
                <w:szCs w:val="28"/>
              </w:rPr>
              <w:t xml:space="preserve">乙方： </w:t>
            </w:r>
          </w:p>
        </w:tc>
        <w:tc>
          <w:tcPr>
            <w:tcW w:w="4660" w:type="dxa"/>
          </w:tcPr>
          <w:p w14:paraId="436CE7BF">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 xml:space="preserve">地址： </w:t>
            </w:r>
          </w:p>
        </w:tc>
      </w:tr>
      <w:tr w14:paraId="09CBC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2" w:type="dxa"/>
          </w:tcPr>
          <w:p w14:paraId="533F7EB0">
            <w:pPr>
              <w:widowControl/>
              <w:spacing w:line="300" w:lineRule="auto"/>
              <w:jc w:val="left"/>
              <w:rPr>
                <w:rFonts w:ascii="Times New Roman" w:hAnsi="Times New Roman" w:eastAsia="宋体" w:cs="Times New Roman"/>
                <w:kern w:val="0"/>
                <w:sz w:val="28"/>
                <w:szCs w:val="28"/>
              </w:rPr>
            </w:pPr>
          </w:p>
        </w:tc>
        <w:tc>
          <w:tcPr>
            <w:tcW w:w="4660" w:type="dxa"/>
          </w:tcPr>
          <w:p w14:paraId="45EC0014">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电话：</w:t>
            </w:r>
          </w:p>
        </w:tc>
      </w:tr>
      <w:tr w14:paraId="6A88E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2" w:type="dxa"/>
          </w:tcPr>
          <w:p w14:paraId="6988F2AE">
            <w:pPr>
              <w:widowControl/>
              <w:spacing w:line="300" w:lineRule="auto"/>
              <w:jc w:val="left"/>
              <w:rPr>
                <w:rFonts w:ascii="Times New Roman" w:hAnsi="Times New Roman" w:eastAsia="宋体" w:cs="Times New Roman"/>
                <w:kern w:val="0"/>
                <w:sz w:val="28"/>
                <w:szCs w:val="28"/>
              </w:rPr>
            </w:pPr>
          </w:p>
        </w:tc>
        <w:tc>
          <w:tcPr>
            <w:tcW w:w="4660" w:type="dxa"/>
          </w:tcPr>
          <w:p w14:paraId="45D2F34C">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邮编：</w:t>
            </w:r>
          </w:p>
          <w:p w14:paraId="48CC8EA3">
            <w:pPr>
              <w:widowControl/>
              <w:spacing w:line="300" w:lineRule="auto"/>
              <w:jc w:val="left"/>
              <w:rPr>
                <w:rFonts w:ascii="Times New Roman" w:hAnsi="Times New Roman" w:eastAsia="宋体" w:cs="Times New Roman"/>
                <w:kern w:val="0"/>
                <w:sz w:val="28"/>
                <w:szCs w:val="28"/>
                <w:u w:val="single"/>
              </w:rPr>
            </w:pPr>
            <w:r>
              <w:rPr>
                <w:rFonts w:ascii="Times New Roman" w:hAnsi="Times New Roman" w:eastAsia="宋体" w:cs="Times New Roman"/>
                <w:kern w:val="0"/>
                <w:sz w:val="28"/>
                <w:szCs w:val="28"/>
              </w:rPr>
              <w:t>联系人：</w:t>
            </w:r>
            <w:r>
              <w:rPr>
                <w:rFonts w:ascii="Times New Roman" w:hAnsi="Times New Roman" w:eastAsia="宋体" w:cs="Times New Roman"/>
                <w:kern w:val="0"/>
                <w:sz w:val="28"/>
                <w:szCs w:val="28"/>
                <w:u w:val="single"/>
              </w:rPr>
              <w:t xml:space="preserve"> </w:t>
            </w:r>
          </w:p>
        </w:tc>
      </w:tr>
    </w:tbl>
    <w:p w14:paraId="5CDE00B9">
      <w:pPr>
        <w:widowControl/>
        <w:spacing w:line="300" w:lineRule="auto"/>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甲乙双方经协商一致，在平等、自愿、公平的基础上，</w:t>
      </w:r>
      <w:r>
        <w:rPr>
          <w:rFonts w:ascii="Times New Roman" w:hAnsi="Times New Roman" w:eastAsia="宋体" w:cs="Times New Roman"/>
          <w:color w:val="000000"/>
          <w:kern w:val="0"/>
          <w:sz w:val="28"/>
          <w:szCs w:val="28"/>
        </w:rPr>
        <w:t>根据甲方图书购置要求，由乙方提供下表所列的图书，并完成供货</w:t>
      </w:r>
      <w:r>
        <w:rPr>
          <w:rFonts w:ascii="Times New Roman" w:hAnsi="Times New Roman" w:eastAsia="宋体" w:cs="Times New Roman"/>
          <w:kern w:val="0"/>
          <w:sz w:val="28"/>
          <w:szCs w:val="28"/>
        </w:rPr>
        <w:t>，双方对于合作重要事项订立如下条款：</w:t>
      </w:r>
    </w:p>
    <w:p w14:paraId="14203663">
      <w:pPr>
        <w:widowControl/>
        <w:numPr>
          <w:ilvl w:val="0"/>
          <w:numId w:val="1"/>
        </w:numPr>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图书</w:t>
      </w:r>
      <w:r>
        <w:rPr>
          <w:rFonts w:ascii="Times New Roman" w:hAnsi="Times New Roman" w:eastAsia="宋体" w:cs="Times New Roman"/>
          <w:b/>
          <w:color w:val="000000"/>
          <w:kern w:val="0"/>
          <w:sz w:val="28"/>
          <w:szCs w:val="20"/>
        </w:rPr>
        <w:t>名称、预算金额、</w:t>
      </w:r>
      <w:r>
        <w:rPr>
          <w:rFonts w:ascii="Times New Roman" w:hAnsi="Times New Roman" w:eastAsia="宋体" w:cs="Times New Roman"/>
          <w:b/>
          <w:kern w:val="0"/>
          <w:sz w:val="28"/>
          <w:szCs w:val="28"/>
        </w:rPr>
        <w:t>类型及折扣</w:t>
      </w:r>
    </w:p>
    <w:tbl>
      <w:tblPr>
        <w:tblStyle w:val="11"/>
        <w:tblW w:w="98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7"/>
        <w:gridCol w:w="1906"/>
        <w:gridCol w:w="1984"/>
        <w:gridCol w:w="1276"/>
        <w:gridCol w:w="3685"/>
      </w:tblGrid>
      <w:tr w14:paraId="2E68F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 w:hRule="atLeast"/>
        </w:trPr>
        <w:tc>
          <w:tcPr>
            <w:tcW w:w="1037" w:type="dxa"/>
            <w:tcBorders>
              <w:top w:val="single" w:color="000000" w:sz="8" w:space="0"/>
              <w:left w:val="single" w:color="000000" w:sz="8" w:space="0"/>
              <w:bottom w:val="single" w:color="000000" w:sz="8" w:space="0"/>
              <w:right w:val="single" w:color="000000" w:sz="8" w:space="0"/>
            </w:tcBorders>
            <w:vAlign w:val="center"/>
          </w:tcPr>
          <w:p w14:paraId="1BB3BF92">
            <w:pPr>
              <w:widowControl/>
              <w:spacing w:line="319" w:lineRule="atLeast"/>
              <w:jc w:val="center"/>
              <w:rPr>
                <w:rFonts w:ascii="Times New Roman" w:hAnsi="Times New Roman" w:eastAsia="宋体" w:cs="Times New Roman"/>
                <w:kern w:val="0"/>
                <w:sz w:val="24"/>
                <w:szCs w:val="24"/>
              </w:rPr>
            </w:pPr>
            <w:r>
              <w:rPr>
                <w:rFonts w:ascii="Times New Roman" w:hAnsi="Times New Roman" w:eastAsia="宋体" w:cs="Times New Roman"/>
                <w:color w:val="000000"/>
                <w:kern w:val="0"/>
                <w:sz w:val="24"/>
                <w:szCs w:val="24"/>
              </w:rPr>
              <w:t>序号</w:t>
            </w:r>
          </w:p>
        </w:tc>
        <w:tc>
          <w:tcPr>
            <w:tcW w:w="1906" w:type="dxa"/>
            <w:tcBorders>
              <w:top w:val="single" w:color="000000" w:sz="8" w:space="0"/>
              <w:left w:val="nil"/>
              <w:bottom w:val="single" w:color="000000" w:sz="8" w:space="0"/>
              <w:right w:val="single" w:color="000000" w:sz="8" w:space="0"/>
            </w:tcBorders>
            <w:vAlign w:val="center"/>
          </w:tcPr>
          <w:p w14:paraId="59C90407">
            <w:pPr>
              <w:widowControl/>
              <w:spacing w:line="319" w:lineRule="atLeast"/>
              <w:jc w:val="center"/>
              <w:rPr>
                <w:rFonts w:ascii="Times New Roman" w:hAnsi="Times New Roman" w:eastAsia="宋体" w:cs="Times New Roman"/>
                <w:kern w:val="0"/>
                <w:sz w:val="24"/>
                <w:szCs w:val="24"/>
              </w:rPr>
            </w:pPr>
            <w:r>
              <w:rPr>
                <w:rFonts w:ascii="Times New Roman" w:hAnsi="Times New Roman" w:eastAsia="宋体" w:cs="Times New Roman"/>
                <w:color w:val="000000"/>
                <w:kern w:val="0"/>
                <w:sz w:val="24"/>
                <w:szCs w:val="24"/>
              </w:rPr>
              <w:t>名称</w:t>
            </w:r>
          </w:p>
        </w:tc>
        <w:tc>
          <w:tcPr>
            <w:tcW w:w="1984" w:type="dxa"/>
            <w:tcBorders>
              <w:top w:val="single" w:color="000000" w:sz="8" w:space="0"/>
              <w:left w:val="nil"/>
              <w:bottom w:val="single" w:color="000000" w:sz="8" w:space="0"/>
              <w:right w:val="single" w:color="000000" w:sz="8" w:space="0"/>
            </w:tcBorders>
            <w:vAlign w:val="center"/>
          </w:tcPr>
          <w:p w14:paraId="0FAC5F08">
            <w:pPr>
              <w:widowControl/>
              <w:spacing w:line="319" w:lineRule="atLeast"/>
              <w:jc w:val="center"/>
              <w:rPr>
                <w:rFonts w:ascii="Times New Roman" w:hAnsi="Times New Roman" w:eastAsia="宋体" w:cs="Times New Roman"/>
                <w:kern w:val="0"/>
                <w:sz w:val="24"/>
                <w:szCs w:val="24"/>
              </w:rPr>
            </w:pPr>
            <w:r>
              <w:rPr>
                <w:rFonts w:ascii="Times New Roman" w:hAnsi="Times New Roman" w:eastAsia="宋体" w:cs="Times New Roman"/>
                <w:color w:val="000000"/>
                <w:kern w:val="0"/>
                <w:sz w:val="24"/>
                <w:szCs w:val="24"/>
              </w:rPr>
              <w:t>预算总金额</w:t>
            </w:r>
          </w:p>
        </w:tc>
        <w:tc>
          <w:tcPr>
            <w:tcW w:w="1276" w:type="dxa"/>
            <w:tcBorders>
              <w:top w:val="single" w:color="000000" w:sz="8" w:space="0"/>
              <w:left w:val="nil"/>
              <w:bottom w:val="single" w:color="000000" w:sz="8" w:space="0"/>
              <w:right w:val="single" w:color="000000" w:sz="8" w:space="0"/>
            </w:tcBorders>
            <w:vAlign w:val="center"/>
          </w:tcPr>
          <w:p w14:paraId="62C66B41">
            <w:pPr>
              <w:widowControl/>
              <w:spacing w:line="319" w:lineRule="atLeast"/>
              <w:jc w:val="center"/>
              <w:rPr>
                <w:rFonts w:ascii="Times New Roman" w:hAnsi="Times New Roman" w:eastAsia="宋体" w:cs="Times New Roman"/>
                <w:kern w:val="0"/>
                <w:sz w:val="24"/>
                <w:szCs w:val="24"/>
              </w:rPr>
            </w:pPr>
            <w:r>
              <w:rPr>
                <w:rFonts w:ascii="Times New Roman" w:hAnsi="Times New Roman" w:eastAsia="宋体" w:cs="Times New Roman"/>
                <w:color w:val="000000"/>
                <w:kern w:val="0"/>
                <w:sz w:val="24"/>
                <w:szCs w:val="24"/>
              </w:rPr>
              <w:t>折扣</w:t>
            </w:r>
          </w:p>
        </w:tc>
        <w:tc>
          <w:tcPr>
            <w:tcW w:w="3685" w:type="dxa"/>
            <w:tcBorders>
              <w:top w:val="single" w:color="000000" w:sz="8" w:space="0"/>
              <w:left w:val="nil"/>
              <w:bottom w:val="single" w:color="000000" w:sz="8" w:space="0"/>
              <w:right w:val="single" w:color="000000" w:sz="8" w:space="0"/>
            </w:tcBorders>
            <w:vAlign w:val="center"/>
          </w:tcPr>
          <w:p w14:paraId="710D830A">
            <w:pPr>
              <w:widowControl/>
              <w:spacing w:line="319" w:lineRule="atLeast"/>
              <w:jc w:val="center"/>
              <w:rPr>
                <w:rFonts w:ascii="Times New Roman" w:hAnsi="Times New Roman" w:eastAsia="宋体" w:cs="Times New Roman"/>
                <w:kern w:val="0"/>
                <w:sz w:val="24"/>
                <w:szCs w:val="24"/>
              </w:rPr>
            </w:pPr>
            <w:r>
              <w:rPr>
                <w:rFonts w:ascii="Times New Roman" w:hAnsi="Times New Roman" w:eastAsia="宋体" w:cs="Times New Roman"/>
                <w:color w:val="000000"/>
                <w:kern w:val="0"/>
                <w:sz w:val="24"/>
                <w:szCs w:val="24"/>
              </w:rPr>
              <w:t>采购合作内容</w:t>
            </w:r>
          </w:p>
        </w:tc>
      </w:tr>
      <w:tr w14:paraId="10E87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037" w:type="dxa"/>
            <w:tcBorders>
              <w:top w:val="nil"/>
              <w:left w:val="single" w:color="000000" w:sz="8" w:space="0"/>
              <w:bottom w:val="single" w:color="000000" w:sz="8" w:space="0"/>
              <w:right w:val="single" w:color="000000" w:sz="8" w:space="0"/>
            </w:tcBorders>
            <w:vAlign w:val="center"/>
          </w:tcPr>
          <w:p w14:paraId="0C9BAFBD">
            <w:pPr>
              <w:widowControl/>
              <w:spacing w:line="319" w:lineRule="atLeast"/>
              <w:jc w:val="center"/>
              <w:rPr>
                <w:rFonts w:ascii="Times New Roman" w:hAnsi="Times New Roman" w:eastAsia="宋体" w:cs="Times New Roman"/>
                <w:kern w:val="0"/>
                <w:sz w:val="24"/>
                <w:szCs w:val="24"/>
              </w:rPr>
            </w:pPr>
          </w:p>
        </w:tc>
        <w:tc>
          <w:tcPr>
            <w:tcW w:w="1906" w:type="dxa"/>
            <w:tcBorders>
              <w:top w:val="nil"/>
              <w:left w:val="nil"/>
              <w:bottom w:val="single" w:color="000000" w:sz="8" w:space="0"/>
              <w:right w:val="single" w:color="000000" w:sz="8" w:space="0"/>
            </w:tcBorders>
            <w:vAlign w:val="center"/>
          </w:tcPr>
          <w:p w14:paraId="4BB18DAC">
            <w:pPr>
              <w:widowControl/>
              <w:spacing w:line="319" w:lineRule="atLeast"/>
              <w:jc w:val="center"/>
              <w:rPr>
                <w:rFonts w:ascii="Times New Roman" w:hAnsi="Times New Roman" w:eastAsia="宋体" w:cs="Times New Roman"/>
                <w:kern w:val="0"/>
                <w:sz w:val="24"/>
                <w:szCs w:val="24"/>
              </w:rPr>
            </w:pPr>
          </w:p>
        </w:tc>
        <w:tc>
          <w:tcPr>
            <w:tcW w:w="1984" w:type="dxa"/>
            <w:tcBorders>
              <w:top w:val="nil"/>
              <w:left w:val="nil"/>
              <w:bottom w:val="single" w:color="000000" w:sz="8" w:space="0"/>
              <w:right w:val="single" w:color="000000" w:sz="8" w:space="0"/>
            </w:tcBorders>
            <w:vAlign w:val="center"/>
          </w:tcPr>
          <w:p w14:paraId="6A5C5715">
            <w:pPr>
              <w:widowControl/>
              <w:spacing w:line="319" w:lineRule="atLeast"/>
              <w:jc w:val="center"/>
              <w:rPr>
                <w:rFonts w:ascii="Times New Roman" w:hAnsi="Times New Roman" w:eastAsia="宋体" w:cs="Times New Roman"/>
                <w:kern w:val="0"/>
                <w:sz w:val="24"/>
                <w:szCs w:val="24"/>
              </w:rPr>
            </w:pPr>
          </w:p>
        </w:tc>
        <w:tc>
          <w:tcPr>
            <w:tcW w:w="1276" w:type="dxa"/>
            <w:tcBorders>
              <w:top w:val="nil"/>
              <w:left w:val="nil"/>
              <w:bottom w:val="single" w:color="000000" w:sz="8" w:space="0"/>
              <w:right w:val="single" w:color="000000" w:sz="8" w:space="0"/>
            </w:tcBorders>
            <w:vAlign w:val="center"/>
          </w:tcPr>
          <w:p w14:paraId="7385A242">
            <w:pPr>
              <w:widowControl/>
              <w:spacing w:line="319" w:lineRule="atLeast"/>
              <w:jc w:val="center"/>
              <w:rPr>
                <w:rFonts w:ascii="Times New Roman" w:hAnsi="Times New Roman" w:eastAsia="宋体" w:cs="Times New Roman"/>
                <w:kern w:val="0"/>
                <w:sz w:val="24"/>
                <w:szCs w:val="24"/>
              </w:rPr>
            </w:pPr>
          </w:p>
        </w:tc>
        <w:tc>
          <w:tcPr>
            <w:tcW w:w="3685" w:type="dxa"/>
            <w:tcBorders>
              <w:top w:val="nil"/>
              <w:left w:val="nil"/>
              <w:bottom w:val="single" w:color="000000" w:sz="8" w:space="0"/>
              <w:right w:val="single" w:color="000000" w:sz="8" w:space="0"/>
            </w:tcBorders>
            <w:vAlign w:val="center"/>
          </w:tcPr>
          <w:p w14:paraId="68AEB1D0">
            <w:pPr>
              <w:widowControl/>
              <w:spacing w:line="319" w:lineRule="atLeast"/>
              <w:jc w:val="center"/>
              <w:rPr>
                <w:rFonts w:ascii="Times New Roman" w:hAnsi="Times New Roman" w:eastAsia="宋体" w:cs="Times New Roman"/>
                <w:kern w:val="0"/>
                <w:sz w:val="24"/>
                <w:szCs w:val="24"/>
              </w:rPr>
            </w:pPr>
          </w:p>
        </w:tc>
      </w:tr>
    </w:tbl>
    <w:p w14:paraId="1197C5E9">
      <w:pPr>
        <w:widowControl/>
        <w:spacing w:before="156" w:line="300" w:lineRule="auto"/>
        <w:jc w:val="left"/>
        <w:rPr>
          <w:rFonts w:ascii="Times New Roman" w:hAnsi="Times New Roman" w:eastAsia="宋体" w:cs="Times New Roman"/>
          <w:b/>
          <w:bCs/>
          <w:kern w:val="0"/>
          <w:sz w:val="28"/>
          <w:szCs w:val="28"/>
        </w:rPr>
      </w:pPr>
      <w:r>
        <w:rPr>
          <w:rFonts w:hint="eastAsia" w:ascii="Times New Roman" w:hAnsi="Times New Roman" w:eastAsia="宋体" w:cs="Times New Roman"/>
          <w:b/>
          <w:kern w:val="0"/>
          <w:sz w:val="28"/>
          <w:szCs w:val="28"/>
        </w:rPr>
        <w:t>二、</w:t>
      </w:r>
      <w:r>
        <w:rPr>
          <w:rFonts w:ascii="Times New Roman" w:hAnsi="Times New Roman" w:eastAsia="宋体" w:cs="Times New Roman"/>
          <w:b/>
          <w:kern w:val="0"/>
          <w:sz w:val="28"/>
          <w:szCs w:val="28"/>
        </w:rPr>
        <w:t>合同总额</w:t>
      </w:r>
    </w:p>
    <w:p w14:paraId="069047C7">
      <w:pPr>
        <w:widowControl/>
        <w:spacing w:line="300" w:lineRule="auto"/>
        <w:ind w:firstLine="562"/>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合计总金额（大写）：</w:t>
      </w:r>
      <w:r>
        <w:rPr>
          <w:rFonts w:hint="eastAsia" w:ascii="Times New Roman" w:hAnsi="Times New Roman" w:eastAsia="宋体" w:cs="Times New Roman"/>
          <w:b/>
          <w:kern w:val="0"/>
          <w:sz w:val="28"/>
          <w:szCs w:val="28"/>
        </w:rPr>
        <w:t>***</w:t>
      </w:r>
      <w:r>
        <w:rPr>
          <w:rFonts w:ascii="Times New Roman" w:hAnsi="Times New Roman" w:eastAsia="宋体" w:cs="Times New Roman"/>
          <w:b/>
          <w:kern w:val="0"/>
          <w:sz w:val="28"/>
          <w:szCs w:val="28"/>
        </w:rPr>
        <w:t>元整。</w:t>
      </w:r>
    </w:p>
    <w:p w14:paraId="681E3F62">
      <w:pPr>
        <w:widowControl/>
        <w:spacing w:line="300" w:lineRule="auto"/>
        <w:ind w:firstLine="562"/>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（小写）：</w:t>
      </w:r>
      <w:r>
        <w:rPr>
          <w:rFonts w:hint="eastAsia" w:ascii="Times New Roman" w:hAnsi="Times New Roman" w:eastAsia="宋体" w:cs="Times New Roman"/>
          <w:b/>
          <w:kern w:val="0"/>
          <w:sz w:val="28"/>
          <w:szCs w:val="28"/>
        </w:rPr>
        <w:t>***</w:t>
      </w:r>
      <w:r>
        <w:rPr>
          <w:rFonts w:ascii="Times New Roman" w:hAnsi="Times New Roman" w:eastAsia="宋体" w:cs="Times New Roman"/>
          <w:b/>
          <w:kern w:val="0"/>
          <w:sz w:val="28"/>
          <w:szCs w:val="28"/>
        </w:rPr>
        <w:t>元整。</w:t>
      </w:r>
    </w:p>
    <w:p w14:paraId="6B72853D">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注：</w:t>
      </w:r>
      <w:r>
        <w:rPr>
          <w:rFonts w:ascii="Times New Roman" w:hAnsi="Times New Roman" w:eastAsia="宋体" w:cs="Times New Roman"/>
          <w:color w:val="000000"/>
          <w:kern w:val="0"/>
          <w:sz w:val="28"/>
          <w:szCs w:val="28"/>
        </w:rPr>
        <w:t>图书运费、税费，售后服务费、包装费、加工费、相应材料费及人工费等由乙方承担，乙方于甲方付款前开具增值税发票。</w:t>
      </w:r>
      <w:r>
        <w:rPr>
          <w:rFonts w:ascii="Times New Roman" w:hAnsi="Times New Roman" w:eastAsia="宋体" w:cs="Times New Roman"/>
          <w:kern w:val="0"/>
          <w:sz w:val="28"/>
          <w:szCs w:val="28"/>
        </w:rPr>
        <w:t>合同成交价为含增值税发票金额，除本合同总金额外，甲方不再支付任何其他费用。</w:t>
      </w:r>
    </w:p>
    <w:p w14:paraId="41002EA5">
      <w:pPr>
        <w:widowControl/>
        <w:spacing w:line="276" w:lineRule="auto"/>
        <w:jc w:val="left"/>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三、交货地点</w:t>
      </w:r>
    </w:p>
    <w:p w14:paraId="3F0A3CBE">
      <w:pPr>
        <w:widowControl/>
        <w:spacing w:line="276" w:lineRule="auto"/>
        <w:jc w:val="left"/>
        <w:rPr>
          <w:rFonts w:ascii="Times New Roman" w:hAnsi="Times New Roman" w:eastAsia="宋体" w:cs="Times New Roman"/>
          <w:color w:val="000000"/>
          <w:kern w:val="0"/>
          <w:sz w:val="28"/>
          <w:szCs w:val="28"/>
        </w:rPr>
      </w:pPr>
      <w:r>
        <w:rPr>
          <w:rFonts w:ascii="Times New Roman" w:hAnsi="Times New Roman" w:eastAsia="宋体" w:cs="Times New Roman"/>
          <w:kern w:val="0"/>
          <w:sz w:val="28"/>
          <w:szCs w:val="28"/>
        </w:rPr>
        <w:t xml:space="preserve">    陕西西安西安工业大学未央校区指定地点。</w:t>
      </w:r>
      <w:r>
        <w:rPr>
          <w:rFonts w:ascii="Times New Roman" w:hAnsi="Times New Roman" w:eastAsia="宋体" w:cs="Times New Roman"/>
          <w:color w:val="000000"/>
          <w:kern w:val="0"/>
          <w:sz w:val="28"/>
          <w:szCs w:val="28"/>
        </w:rPr>
        <w:t>特殊时期(如疫情)送货时需按照甲方要求提供相关证明材料，无不可抗力因素不能延迟到货。</w:t>
      </w:r>
    </w:p>
    <w:p w14:paraId="06C925D6">
      <w:pPr>
        <w:widowControl/>
        <w:spacing w:line="36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四、</w:t>
      </w:r>
      <w:r>
        <w:rPr>
          <w:rFonts w:ascii="Times New Roman" w:hAnsi="Times New Roman" w:eastAsia="宋体" w:cs="Times New Roman"/>
          <w:b/>
          <w:color w:val="000000"/>
          <w:kern w:val="0"/>
          <w:sz w:val="28"/>
          <w:szCs w:val="28"/>
        </w:rPr>
        <w:t>供货服务期</w:t>
      </w:r>
      <w:r>
        <w:rPr>
          <w:rFonts w:ascii="Times New Roman" w:hAnsi="Times New Roman" w:eastAsia="宋体" w:cs="Times New Roman"/>
          <w:color w:val="000000"/>
          <w:kern w:val="0"/>
          <w:sz w:val="28"/>
          <w:szCs w:val="28"/>
        </w:rPr>
        <w:t>：</w:t>
      </w:r>
      <w:r>
        <w:rPr>
          <w:rFonts w:ascii="Times New Roman" w:hAnsi="Times New Roman" w:eastAsia="宋体" w:cs="Times New Roman"/>
          <w:b/>
          <w:bCs/>
          <w:kern w:val="0"/>
          <w:sz w:val="28"/>
          <w:szCs w:val="28"/>
        </w:rPr>
        <w:t xml:space="preserve"> </w:t>
      </w:r>
    </w:p>
    <w:p w14:paraId="6DBD29ED">
      <w:pPr>
        <w:widowControl/>
        <w:spacing w:line="360" w:lineRule="auto"/>
        <w:jc w:val="left"/>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五、交货日期：</w:t>
      </w:r>
      <w:r>
        <w:rPr>
          <w:rFonts w:ascii="Times New Roman" w:hAnsi="Times New Roman" w:eastAsia="宋体" w:cs="Times New Roman"/>
          <w:kern w:val="0"/>
          <w:sz w:val="28"/>
          <w:szCs w:val="28"/>
        </w:rPr>
        <w:t xml:space="preserve"> </w:t>
      </w:r>
    </w:p>
    <w:p w14:paraId="0CFE693A">
      <w:pPr>
        <w:widowControl/>
        <w:spacing w:line="300" w:lineRule="auto"/>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六、风险承担</w:t>
      </w:r>
    </w:p>
    <w:p w14:paraId="1717A0ED">
      <w:pPr>
        <w:widowControl/>
        <w:spacing w:line="360"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1、</w:t>
      </w:r>
      <w:r>
        <w:rPr>
          <w:rFonts w:ascii="Times New Roman" w:hAnsi="Times New Roman" w:eastAsia="宋体" w:cs="Times New Roman"/>
          <w:color w:val="000000"/>
          <w:kern w:val="0"/>
          <w:sz w:val="28"/>
          <w:szCs w:val="20"/>
        </w:rPr>
        <w:t>甲方最终验收合格</w:t>
      </w:r>
      <w:r>
        <w:rPr>
          <w:rFonts w:ascii="Times New Roman" w:hAnsi="Times New Roman" w:eastAsia="宋体" w:cs="Times New Roman"/>
          <w:color w:val="000000"/>
          <w:kern w:val="0"/>
          <w:sz w:val="28"/>
          <w:szCs w:val="28"/>
        </w:rPr>
        <w:t>前一切风险、责任及费用均由乙方承担。</w:t>
      </w:r>
    </w:p>
    <w:p w14:paraId="00856930">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七、运输</w:t>
      </w:r>
    </w:p>
    <w:p w14:paraId="1920F5AF">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1、乙方负责所有</w:t>
      </w:r>
      <w:r>
        <w:rPr>
          <w:rFonts w:hint="eastAsia" w:ascii="Times New Roman" w:hAnsi="Times New Roman" w:eastAsia="宋体" w:cs="Times New Roman"/>
          <w:color w:val="000000"/>
          <w:kern w:val="0"/>
          <w:sz w:val="28"/>
          <w:szCs w:val="28"/>
        </w:rPr>
        <w:t>图书</w:t>
      </w:r>
      <w:r>
        <w:rPr>
          <w:rFonts w:ascii="Times New Roman" w:hAnsi="Times New Roman" w:eastAsia="宋体" w:cs="Times New Roman"/>
          <w:color w:val="000000"/>
          <w:kern w:val="0"/>
          <w:sz w:val="28"/>
          <w:szCs w:val="28"/>
        </w:rPr>
        <w:t>的运输。确保</w:t>
      </w:r>
      <w:r>
        <w:rPr>
          <w:rFonts w:hint="eastAsia" w:ascii="Times New Roman" w:hAnsi="Times New Roman" w:eastAsia="宋体" w:cs="Times New Roman"/>
          <w:color w:val="000000"/>
          <w:kern w:val="0"/>
          <w:sz w:val="28"/>
          <w:szCs w:val="28"/>
        </w:rPr>
        <w:t>图书</w:t>
      </w:r>
      <w:r>
        <w:rPr>
          <w:rFonts w:ascii="Times New Roman" w:hAnsi="Times New Roman" w:eastAsia="宋体" w:cs="Times New Roman"/>
          <w:color w:val="000000"/>
          <w:kern w:val="0"/>
          <w:sz w:val="28"/>
          <w:szCs w:val="28"/>
        </w:rPr>
        <w:t>安全、完整到达使用地点，运杂费用包含在总价内，包括</w:t>
      </w:r>
      <w:r>
        <w:rPr>
          <w:rFonts w:ascii="Times New Roman" w:hAnsi="Times New Roman" w:eastAsia="宋体" w:cs="Times New Roman"/>
          <w:color w:val="000000"/>
          <w:kern w:val="0"/>
          <w:sz w:val="28"/>
          <w:szCs w:val="20"/>
        </w:rPr>
        <w:t>但不限于</w:t>
      </w:r>
      <w:r>
        <w:rPr>
          <w:rFonts w:ascii="Times New Roman" w:hAnsi="Times New Roman" w:eastAsia="宋体" w:cs="Times New Roman"/>
          <w:color w:val="000000"/>
          <w:kern w:val="0"/>
          <w:sz w:val="28"/>
          <w:szCs w:val="28"/>
        </w:rPr>
        <w:t>货物从供货地点到使用地点的运输费、保险费、搬运费等。</w:t>
      </w:r>
    </w:p>
    <w:p w14:paraId="207E0A9A">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2、所有</w:t>
      </w:r>
      <w:r>
        <w:rPr>
          <w:rFonts w:hint="eastAsia" w:ascii="Times New Roman" w:hAnsi="Times New Roman" w:eastAsia="宋体" w:cs="Times New Roman"/>
          <w:color w:val="000000"/>
          <w:kern w:val="0"/>
          <w:sz w:val="28"/>
          <w:szCs w:val="28"/>
        </w:rPr>
        <w:t>图书</w:t>
      </w:r>
      <w:r>
        <w:rPr>
          <w:rFonts w:ascii="Times New Roman" w:hAnsi="Times New Roman" w:eastAsia="宋体" w:cs="Times New Roman"/>
          <w:color w:val="000000"/>
          <w:kern w:val="0"/>
          <w:sz w:val="28"/>
          <w:szCs w:val="28"/>
        </w:rPr>
        <w:t>在运输、搬运的过程中，造成</w:t>
      </w:r>
      <w:r>
        <w:rPr>
          <w:rFonts w:ascii="Times New Roman" w:hAnsi="Times New Roman" w:eastAsia="宋体" w:cs="Times New Roman"/>
          <w:color w:val="000000"/>
          <w:kern w:val="0"/>
          <w:sz w:val="28"/>
          <w:szCs w:val="20"/>
        </w:rPr>
        <w:t>货物或者</w:t>
      </w:r>
      <w:r>
        <w:rPr>
          <w:rFonts w:ascii="Times New Roman" w:hAnsi="Times New Roman" w:eastAsia="宋体" w:cs="Times New Roman"/>
          <w:color w:val="000000"/>
          <w:kern w:val="0"/>
          <w:sz w:val="28"/>
          <w:szCs w:val="28"/>
        </w:rPr>
        <w:t>甲方损失的，由乙方</w:t>
      </w:r>
      <w:r>
        <w:rPr>
          <w:rFonts w:ascii="Times New Roman" w:hAnsi="Times New Roman" w:eastAsia="宋体" w:cs="Times New Roman"/>
          <w:color w:val="000000"/>
          <w:kern w:val="0"/>
          <w:sz w:val="28"/>
          <w:szCs w:val="20"/>
        </w:rPr>
        <w:t>免费</w:t>
      </w:r>
      <w:r>
        <w:rPr>
          <w:rFonts w:ascii="Times New Roman" w:hAnsi="Times New Roman" w:eastAsia="宋体" w:cs="Times New Roman"/>
          <w:color w:val="000000"/>
          <w:kern w:val="0"/>
          <w:sz w:val="28"/>
          <w:szCs w:val="28"/>
        </w:rPr>
        <w:t>修复、更新、赔偿。</w:t>
      </w:r>
    </w:p>
    <w:p w14:paraId="1E6974A0">
      <w:pPr>
        <w:widowControl/>
        <w:spacing w:line="276" w:lineRule="auto"/>
        <w:ind w:firstLine="420"/>
        <w:jc w:val="left"/>
        <w:rPr>
          <w:rFonts w:ascii="Times New Roman" w:hAnsi="Times New Roman" w:eastAsia="宋体" w:cs="Times New Roman"/>
          <w:b/>
          <w:bCs/>
          <w:kern w:val="0"/>
          <w:sz w:val="28"/>
          <w:szCs w:val="28"/>
        </w:rPr>
      </w:pPr>
      <w:r>
        <w:rPr>
          <w:rFonts w:ascii="Times New Roman" w:hAnsi="Times New Roman" w:eastAsia="宋体" w:cs="Times New Roman"/>
          <w:color w:val="000000"/>
          <w:kern w:val="0"/>
          <w:sz w:val="28"/>
          <w:szCs w:val="28"/>
        </w:rPr>
        <w:t>3、乙方可根据供货有效期、运输条件自行选择运输方式(</w:t>
      </w:r>
      <w:r>
        <w:rPr>
          <w:rFonts w:ascii="Times New Roman" w:hAnsi="Times New Roman" w:eastAsia="宋体" w:cs="Times New Roman"/>
          <w:color w:val="000000"/>
          <w:kern w:val="0"/>
          <w:sz w:val="28"/>
          <w:szCs w:val="20"/>
        </w:rPr>
        <w:t>双方</w:t>
      </w:r>
      <w:r>
        <w:rPr>
          <w:rFonts w:ascii="Times New Roman" w:hAnsi="Times New Roman" w:eastAsia="宋体" w:cs="Times New Roman"/>
          <w:color w:val="000000"/>
          <w:kern w:val="0"/>
          <w:sz w:val="28"/>
          <w:szCs w:val="28"/>
        </w:rPr>
        <w:t>另有约定的除外) ，承担运输费用。</w:t>
      </w:r>
    </w:p>
    <w:p w14:paraId="4EABE292">
      <w:pPr>
        <w:widowControl/>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八、质量保证</w:t>
      </w:r>
    </w:p>
    <w:p w14:paraId="331FE553">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1、乙方所供图书印刷、装订质量应符合相关法规及标准，确保出版物为全新的国家批准的正式出版物、无知识产权纠纷。</w:t>
      </w:r>
    </w:p>
    <w:p w14:paraId="69AD810F">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2、乙方应当保证所供图书的来源渠道正常，图书是全新的、未使用过的、且完全符合合同规定的质量、指标等要求。</w:t>
      </w:r>
    </w:p>
    <w:p w14:paraId="403D0978">
      <w:pPr>
        <w:widowControl/>
        <w:spacing w:line="276" w:lineRule="auto"/>
        <w:ind w:firstLine="420"/>
        <w:jc w:val="left"/>
        <w:rPr>
          <w:rFonts w:ascii="Times New Roman" w:hAnsi="Times New Roman" w:eastAsia="宋体" w:cs="Times New Roman"/>
          <w:b/>
          <w:bCs/>
          <w:kern w:val="0"/>
          <w:sz w:val="28"/>
          <w:szCs w:val="28"/>
        </w:rPr>
      </w:pPr>
      <w:r>
        <w:rPr>
          <w:rFonts w:ascii="Times New Roman" w:hAnsi="Times New Roman" w:eastAsia="宋体" w:cs="Times New Roman"/>
          <w:color w:val="000000"/>
          <w:kern w:val="0"/>
          <w:sz w:val="28"/>
          <w:szCs w:val="28"/>
        </w:rPr>
        <w:t>3、乙方应当明确售后服务公约，承诺服务条件。</w:t>
      </w:r>
    </w:p>
    <w:p w14:paraId="00A12574">
      <w:pPr>
        <w:widowControl/>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九、图书加工</w:t>
      </w:r>
    </w:p>
    <w:p w14:paraId="412672FC">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1、乙方送达新书后，及时提供图书数据规范化编目、审校、物理加工等所有售后加工服务。</w:t>
      </w:r>
    </w:p>
    <w:p w14:paraId="7B160EF4">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2、乙方提供的编目Marc数据严格按照国家机读目录著录格式和CALIS编目标准编制，且著录详细，并与所购图书同时送达</w:t>
      </w:r>
      <w:r>
        <w:rPr>
          <w:rFonts w:hint="eastAsia" w:ascii="Times New Roman" w:hAnsi="Times New Roman" w:eastAsia="宋体" w:cs="Times New Roman"/>
          <w:color w:val="000000"/>
          <w:kern w:val="0"/>
          <w:sz w:val="28"/>
          <w:szCs w:val="28"/>
        </w:rPr>
        <w:t>甲方指定地点</w:t>
      </w:r>
      <w:r>
        <w:rPr>
          <w:rFonts w:ascii="Times New Roman" w:hAnsi="Times New Roman" w:eastAsia="宋体" w:cs="Times New Roman"/>
          <w:color w:val="000000"/>
          <w:kern w:val="0"/>
          <w:sz w:val="28"/>
          <w:szCs w:val="28"/>
        </w:rPr>
        <w:t>。同时，确保所提供的数据能正常传递、下载、导入并及时更新，到馆编目人员须具有CALIS或国家图书馆认证的编目资质。</w:t>
      </w:r>
    </w:p>
    <w:p w14:paraId="1848910B">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3、乙方为甲方所供图书每册加盖2个“西安工业大学图书馆”馆藏章，一个加盖在图书书名页</w:t>
      </w:r>
      <w:r>
        <w:rPr>
          <w:rFonts w:hint="eastAsia" w:ascii="Times New Roman" w:hAnsi="Times New Roman" w:eastAsia="宋体" w:cs="Times New Roman"/>
          <w:color w:val="000000"/>
          <w:kern w:val="0"/>
          <w:sz w:val="28"/>
          <w:szCs w:val="28"/>
          <w:lang w:val="en-US" w:eastAsia="zh-CN"/>
        </w:rPr>
        <w:t>题名</w:t>
      </w:r>
      <w:r>
        <w:rPr>
          <w:rFonts w:ascii="Times New Roman" w:hAnsi="Times New Roman" w:eastAsia="宋体" w:cs="Times New Roman"/>
          <w:color w:val="000000"/>
          <w:kern w:val="0"/>
          <w:sz w:val="28"/>
          <w:szCs w:val="28"/>
        </w:rPr>
        <w:t>正下方，另一个加盖在图书书口。</w:t>
      </w:r>
    </w:p>
    <w:p w14:paraId="32F103C7">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4、乙方为甲方所供图书每册图书内页隐秘处加贴钻基复合型磁条(科晶公司生产的正规16cm长钻基</w:t>
      </w:r>
      <w:r>
        <w:rPr>
          <w:rFonts w:hint="eastAsia" w:ascii="Times New Roman" w:hAnsi="Times New Roman" w:eastAsia="宋体" w:cs="Times New Roman"/>
          <w:color w:val="000000"/>
          <w:kern w:val="0"/>
          <w:sz w:val="28"/>
          <w:szCs w:val="28"/>
          <w:lang w:eastAsia="zh-CN"/>
        </w:rPr>
        <w:t>复合型</w:t>
      </w:r>
      <w:r>
        <w:rPr>
          <w:rFonts w:ascii="Times New Roman" w:hAnsi="Times New Roman" w:eastAsia="宋体" w:cs="Times New Roman"/>
          <w:color w:val="000000"/>
          <w:kern w:val="0"/>
          <w:sz w:val="28"/>
          <w:szCs w:val="28"/>
        </w:rPr>
        <w:t xml:space="preserve">防盗磁条)，300页以下图书夹磁条1根，300 页以上500页以下夹2根，500 页以上夹3根。 </w:t>
      </w:r>
    </w:p>
    <w:p w14:paraId="632AA648">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5.乙方为甲方所供图书每册加贴两个条形码，一个加贴在书名页</w:t>
      </w:r>
      <w:r>
        <w:rPr>
          <w:rFonts w:hint="eastAsia" w:ascii="Times New Roman" w:hAnsi="Times New Roman" w:eastAsia="宋体" w:cs="Times New Roman"/>
          <w:color w:val="000000"/>
          <w:kern w:val="0"/>
          <w:sz w:val="28"/>
          <w:szCs w:val="28"/>
          <w:lang w:val="en-US" w:eastAsia="zh-CN"/>
        </w:rPr>
        <w:t>正</w:t>
      </w:r>
      <w:r>
        <w:rPr>
          <w:rFonts w:ascii="Times New Roman" w:hAnsi="Times New Roman" w:eastAsia="宋体" w:cs="Times New Roman"/>
          <w:color w:val="000000"/>
          <w:kern w:val="0"/>
          <w:sz w:val="28"/>
          <w:szCs w:val="28"/>
        </w:rPr>
        <w:t>下方，另一个加贴在图书末页正下方。条形码规格： 50×25mm， 属性：128B。</w:t>
      </w:r>
    </w:p>
    <w:p w14:paraId="763A12D0">
      <w:pPr>
        <w:widowControl/>
        <w:spacing w:line="276" w:lineRule="auto"/>
        <w:ind w:firstLine="420"/>
        <w:jc w:val="left"/>
        <w:rPr>
          <w:rFonts w:ascii="Times New Roman" w:hAnsi="Times New Roman" w:eastAsia="宋体" w:cs="Times New Roman"/>
          <w:b/>
          <w:bCs/>
          <w:kern w:val="0"/>
          <w:sz w:val="28"/>
          <w:szCs w:val="28"/>
        </w:rPr>
      </w:pPr>
      <w:r>
        <w:rPr>
          <w:rFonts w:ascii="Times New Roman" w:hAnsi="Times New Roman" w:eastAsia="宋体" w:cs="Times New Roman"/>
          <w:color w:val="000000"/>
          <w:kern w:val="0"/>
          <w:sz w:val="28"/>
          <w:szCs w:val="28"/>
        </w:rPr>
        <w:t>6.乙方为甲方所供图书每册书脊距底边3厘米处加贴书标并覆膜，双书皮图书在里面再加贴一个书标并覆膜，书标规格： 50×27mm 覆膜规格：60×30mm。</w:t>
      </w:r>
    </w:p>
    <w:p w14:paraId="2CF09CAA">
      <w:pPr>
        <w:widowControl/>
        <w:spacing w:line="276" w:lineRule="auto"/>
        <w:jc w:val="left"/>
        <w:rPr>
          <w:rFonts w:ascii="Times New Roman" w:hAnsi="Times New Roman" w:eastAsia="宋体" w:cs="Times New Roman"/>
          <w:b/>
          <w:kern w:val="0"/>
          <w:sz w:val="28"/>
          <w:szCs w:val="28"/>
        </w:rPr>
      </w:pPr>
      <w:r>
        <w:rPr>
          <w:rFonts w:ascii="Times New Roman" w:hAnsi="Times New Roman" w:eastAsia="宋体" w:cs="Times New Roman"/>
          <w:b/>
          <w:color w:val="000000"/>
          <w:kern w:val="0"/>
          <w:sz w:val="28"/>
          <w:szCs w:val="28"/>
        </w:rPr>
        <w:t>十、</w:t>
      </w:r>
      <w:r>
        <w:rPr>
          <w:rFonts w:ascii="Times New Roman" w:hAnsi="Times New Roman" w:eastAsia="宋体" w:cs="Times New Roman"/>
          <w:b/>
          <w:kern w:val="0"/>
          <w:sz w:val="28"/>
          <w:szCs w:val="28"/>
        </w:rPr>
        <w:t>验收标准</w:t>
      </w:r>
    </w:p>
    <w:p w14:paraId="25B6FD33">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送交图书时，应同时提交发货清单要求。甲方(必要时邀请有关专家或有关质检部门)对图书进行初步直验，其内容包括确认书籍的数量、单价、出版社、出版时间、图书真伪、加工质量、书目数据等进行逐项检查，合格者给予签收，不合格的不予签收。</w:t>
      </w:r>
    </w:p>
    <w:p w14:paraId="781C6664">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2、配送的图书为保证质量，用防潮、防破损的纸张包装，为方便验收，做到按类编号、打包，一包一清单，清单上注明包号、征订号、书名、ISBN、出版社、单价、种数、册数、复本等详细信息，每包有小计，整批合计单上有订单号、种数、册数、总金额，发货清单一式两份，内容一致并且加盖公章，附于包装货件内一并交给甲方，另附每批电子版总清单，所有清单均清晰、准确、无涂改。</w:t>
      </w:r>
    </w:p>
    <w:p w14:paraId="7490F480">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3、乙方所供图书必须与甲方提供的图书采购订单相符，不得更换或搭配未订购图书，并且累计金额不可超过合同总金额，如果出现违例，超出订单或合同总金额以外的图书甲方不予付款。</w:t>
      </w:r>
    </w:p>
    <w:p w14:paraId="7800BB2C">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4、在验收图书的过程中，如发现因出版信息、预定信息不完整造成的不适合甲方图书馆收藏的，或其他原因造成重订、错订等图书，无论加工与否，乙方应当无条件退货</w:t>
      </w:r>
      <w:r>
        <w:rPr>
          <w:rFonts w:ascii="Times New Roman" w:hAnsi="Times New Roman" w:eastAsia="宋体" w:cs="Times New Roman"/>
          <w:color w:val="000000"/>
          <w:kern w:val="0"/>
          <w:sz w:val="28"/>
          <w:szCs w:val="20"/>
        </w:rPr>
        <w:t>退款，并赔偿甲方所有损失</w:t>
      </w:r>
      <w:r>
        <w:rPr>
          <w:rFonts w:ascii="Times New Roman" w:hAnsi="Times New Roman" w:eastAsia="宋体" w:cs="Times New Roman"/>
          <w:color w:val="000000"/>
          <w:kern w:val="0"/>
          <w:sz w:val="28"/>
          <w:szCs w:val="28"/>
        </w:rPr>
        <w:t>。因包装或运输过程造成的图书质量问题或损失，由乙方负责</w:t>
      </w:r>
      <w:r>
        <w:rPr>
          <w:rFonts w:ascii="Times New Roman" w:hAnsi="Times New Roman" w:eastAsia="宋体" w:cs="Times New Roman"/>
          <w:color w:val="000000"/>
          <w:kern w:val="0"/>
          <w:sz w:val="28"/>
          <w:szCs w:val="20"/>
        </w:rPr>
        <w:t>整改至符合甲方要求</w:t>
      </w:r>
      <w:r>
        <w:rPr>
          <w:rFonts w:ascii="Times New Roman" w:hAnsi="Times New Roman" w:eastAsia="宋体" w:cs="Times New Roman"/>
          <w:color w:val="000000"/>
          <w:kern w:val="0"/>
          <w:sz w:val="28"/>
          <w:szCs w:val="28"/>
        </w:rPr>
        <w:t>。</w:t>
      </w:r>
    </w:p>
    <w:p w14:paraId="4F197DBF">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5、图书质量：要求所供图书必须是国家正式出版社出版的、全新的、未经使用的正版图书，符合国家规定及行业标准、无盗版图书和积压图书及其它类型非法出版物。若出现开胶、散页、倒装、残页、缺页、坏页、附件缺失、污损、错配、印刷装祯等质量不符合要求的图书，无论加工与否，乙方必须限期无条件调换，所造成的损失由乙方承担。若出现有盗版或其它类型非法出版物，甲方有权拒付书款，</w:t>
      </w:r>
      <w:r>
        <w:rPr>
          <w:rFonts w:ascii="Times New Roman" w:hAnsi="Times New Roman" w:eastAsia="宋体" w:cs="Times New Roman"/>
          <w:color w:val="000000"/>
          <w:kern w:val="0"/>
          <w:sz w:val="28"/>
          <w:szCs w:val="20"/>
        </w:rPr>
        <w:t>单方解除本</w:t>
      </w:r>
      <w:r>
        <w:rPr>
          <w:rFonts w:ascii="Times New Roman" w:hAnsi="Times New Roman" w:eastAsia="宋体" w:cs="Times New Roman"/>
          <w:color w:val="000000"/>
          <w:kern w:val="0"/>
          <w:sz w:val="28"/>
          <w:szCs w:val="28"/>
        </w:rPr>
        <w:t>合同，乙方承担所有经济损失和法律责任。</w:t>
      </w:r>
    </w:p>
    <w:p w14:paraId="1FF9DE7B">
      <w:pPr>
        <w:widowControl/>
        <w:spacing w:line="276" w:lineRule="auto"/>
        <w:ind w:firstLine="420"/>
        <w:jc w:val="left"/>
        <w:rPr>
          <w:rFonts w:ascii="Times New Roman" w:hAnsi="Times New Roman" w:eastAsia="宋体" w:cs="Times New Roman"/>
          <w:color w:val="000000"/>
          <w:kern w:val="0"/>
          <w:sz w:val="28"/>
          <w:szCs w:val="28"/>
        </w:rPr>
      </w:pPr>
      <w:r>
        <w:rPr>
          <w:rFonts w:ascii="Times New Roman" w:hAnsi="Times New Roman" w:eastAsia="宋体" w:cs="Times New Roman"/>
          <w:color w:val="000000"/>
          <w:kern w:val="0"/>
          <w:sz w:val="28"/>
          <w:szCs w:val="28"/>
        </w:rPr>
        <w:t>6、验收依据：在甲方确认符合以上标准和乙方服务承诺后为验收合格，验收合格须交接项目实施的全部资料。验收须以合同</w:t>
      </w:r>
      <w:r>
        <w:rPr>
          <w:rFonts w:hint="eastAsia" w:ascii="Times New Roman" w:hAnsi="Times New Roman" w:eastAsia="宋体" w:cs="Times New Roman"/>
          <w:color w:val="000000"/>
          <w:kern w:val="0"/>
          <w:sz w:val="28"/>
          <w:szCs w:val="28"/>
          <w:lang w:eastAsia="zh-CN"/>
        </w:rPr>
        <w:t>、</w:t>
      </w:r>
      <w:r>
        <w:rPr>
          <w:rFonts w:ascii="Times New Roman" w:hAnsi="Times New Roman" w:eastAsia="宋体" w:cs="Times New Roman"/>
          <w:color w:val="000000"/>
          <w:kern w:val="0"/>
          <w:sz w:val="28"/>
          <w:szCs w:val="28"/>
        </w:rPr>
        <w:t xml:space="preserve">招投标文件、澄清及国家相应的标准、规范等为依据。 </w:t>
      </w:r>
    </w:p>
    <w:p w14:paraId="4FD8E335">
      <w:pPr>
        <w:widowControl/>
        <w:spacing w:line="276" w:lineRule="auto"/>
        <w:jc w:val="left"/>
        <w:rPr>
          <w:rFonts w:ascii="Times New Roman" w:hAnsi="Times New Roman" w:eastAsia="宋体" w:cs="Times New Roman"/>
          <w:kern w:val="0"/>
          <w:sz w:val="28"/>
          <w:szCs w:val="28"/>
        </w:rPr>
      </w:pPr>
      <w:r>
        <w:rPr>
          <w:rFonts w:ascii="Times New Roman" w:hAnsi="Times New Roman" w:eastAsia="宋体" w:cs="Times New Roman"/>
          <w:b/>
          <w:color w:val="000000"/>
          <w:kern w:val="0"/>
          <w:sz w:val="28"/>
          <w:szCs w:val="28"/>
        </w:rPr>
        <w:t>十一、售后服务</w:t>
      </w:r>
    </w:p>
    <w:p w14:paraId="4E914FE1">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乙方每周发送最新的全国各大出版社图书标准MARC和Excel数据供甲方选购，书目数据完整包含ISBN、书名、作者、价格、摘要、读者对象、丛编、版本、开本、页码、分类号、主题词、出版时间等详细信息。依据甲方学科专业设置，提供光电、机械、材料、电子、自动化、工学、管理学、理学、艺术、书法等学科中文图书，尤其是核心出版社</w:t>
      </w:r>
      <w:r>
        <w:rPr>
          <w:rFonts w:ascii="Times New Roman" w:hAnsi="Times New Roman" w:eastAsia="宋体" w:cs="Times New Roman"/>
          <w:kern w:val="0"/>
          <w:sz w:val="28"/>
          <w:szCs w:val="28"/>
        </w:rPr>
        <w:t>(高等教育出版社、国防工业出版社、化学工业出版社、机械工业出版社、科学出版社、电子工业出版社、人民邮电出版社、清华大学出版社、北京大学出版社、中国人民大学出版社、商务印书馆、三联书店、中信出版社、社科文献出版社、中央编译出版社</w:t>
      </w:r>
      <w:r>
        <w:rPr>
          <w:rFonts w:ascii="Times New Roman" w:hAnsi="Times New Roman" w:eastAsia="宋体" w:cs="Times New Roman"/>
          <w:color w:val="000000"/>
          <w:kern w:val="0"/>
          <w:sz w:val="28"/>
          <w:szCs w:val="28"/>
        </w:rPr>
        <w:t>等)的期货图书与现货图书书目(MARC格式与EXCEL格式)，书目内容全面、无遗漏、信息内容详尽，并保证与甲方的系统无障碍使用。</w:t>
      </w:r>
    </w:p>
    <w:p w14:paraId="57FB6291">
      <w:pPr>
        <w:widowControl/>
        <w:spacing w:line="276" w:lineRule="auto"/>
        <w:ind w:firstLine="420"/>
        <w:jc w:val="left"/>
        <w:rPr>
          <w:rFonts w:ascii="Times New Roman" w:hAnsi="Times New Roman" w:eastAsia="宋体" w:cs="Times New Roman"/>
          <w:color w:val="000000"/>
          <w:kern w:val="0"/>
          <w:sz w:val="28"/>
          <w:szCs w:val="28"/>
        </w:rPr>
      </w:pPr>
      <w:r>
        <w:rPr>
          <w:rFonts w:ascii="Times New Roman" w:hAnsi="Times New Roman" w:eastAsia="宋体" w:cs="Times New Roman"/>
          <w:color w:val="000000"/>
          <w:kern w:val="0"/>
          <w:sz w:val="28"/>
          <w:szCs w:val="28"/>
        </w:rPr>
        <w:t>2、乙方承诺并保证根据甲方的要求提供采访数据，不可包含教材、高职高专</w:t>
      </w:r>
      <w:r>
        <w:rPr>
          <w:rFonts w:hint="eastAsia" w:ascii="Times New Roman" w:hAnsi="Times New Roman" w:eastAsia="宋体" w:cs="Times New Roman"/>
          <w:color w:val="000000"/>
          <w:kern w:val="0"/>
          <w:sz w:val="28"/>
          <w:szCs w:val="28"/>
          <w:lang w:val="en-US" w:eastAsia="zh-CN"/>
        </w:rPr>
        <w:t>教辅</w:t>
      </w:r>
      <w:r>
        <w:rPr>
          <w:rFonts w:ascii="Times New Roman" w:hAnsi="Times New Roman" w:eastAsia="宋体" w:cs="Times New Roman"/>
          <w:color w:val="000000"/>
          <w:kern w:val="0"/>
          <w:sz w:val="28"/>
          <w:szCs w:val="28"/>
        </w:rPr>
        <w:t>、中小学</w:t>
      </w:r>
      <w:r>
        <w:rPr>
          <w:rFonts w:hint="eastAsia" w:ascii="Times New Roman" w:hAnsi="Times New Roman" w:eastAsia="宋体" w:cs="Times New Roman"/>
          <w:color w:val="000000"/>
          <w:kern w:val="0"/>
          <w:sz w:val="28"/>
          <w:szCs w:val="28"/>
          <w:lang w:val="en-US" w:eastAsia="zh-CN"/>
        </w:rPr>
        <w:t>教辅</w:t>
      </w:r>
      <w:r>
        <w:rPr>
          <w:rFonts w:ascii="Times New Roman" w:hAnsi="Times New Roman" w:eastAsia="宋体" w:cs="Times New Roman"/>
          <w:color w:val="000000"/>
          <w:kern w:val="0"/>
          <w:sz w:val="28"/>
          <w:szCs w:val="28"/>
        </w:rPr>
        <w:t>等图书(特殊情况除外)，提供的采访数据以Marc和Excel两种格式提供，</w:t>
      </w:r>
      <w:r>
        <w:rPr>
          <w:rFonts w:hint="eastAsia" w:ascii="Times New Roman" w:hAnsi="Times New Roman" w:eastAsia="宋体" w:cs="Times New Roman"/>
          <w:color w:val="000000"/>
          <w:kern w:val="0"/>
          <w:sz w:val="28"/>
          <w:szCs w:val="28"/>
          <w:lang w:val="en-US" w:eastAsia="zh-CN"/>
        </w:rPr>
        <w:t>并</w:t>
      </w:r>
      <w:r>
        <w:rPr>
          <w:rFonts w:ascii="Times New Roman" w:hAnsi="Times New Roman" w:eastAsia="宋体" w:cs="Times New Roman"/>
          <w:color w:val="000000"/>
          <w:kern w:val="0"/>
          <w:sz w:val="28"/>
          <w:szCs w:val="28"/>
        </w:rPr>
        <w:t>按照要求将两种格式相互转换。按照采购需</w:t>
      </w:r>
      <w:r>
        <w:rPr>
          <w:rFonts w:hint="eastAsia" w:ascii="Times New Roman" w:hAnsi="Times New Roman" w:eastAsia="宋体" w:cs="Times New Roman"/>
          <w:color w:val="000000"/>
          <w:kern w:val="0"/>
          <w:sz w:val="28"/>
          <w:szCs w:val="28"/>
          <w:lang w:val="en-US" w:eastAsia="zh-CN"/>
        </w:rPr>
        <w:t>求</w:t>
      </w:r>
      <w:r>
        <w:rPr>
          <w:rFonts w:ascii="Times New Roman" w:hAnsi="Times New Roman" w:eastAsia="宋体" w:cs="Times New Roman"/>
          <w:color w:val="000000"/>
          <w:kern w:val="0"/>
          <w:sz w:val="28"/>
          <w:szCs w:val="28"/>
        </w:rPr>
        <w:t>提供分类、分社的采访数据，采访数据根据图书发行计划及时间完整及时提供给甲方。</w:t>
      </w:r>
    </w:p>
    <w:p w14:paraId="4E314599">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3、收到订单后在一个工作日内以电话、电子邮件方式回告，核实订单的图书预订册数和金额，以最短时间、最优方案根据甲方提供的书目订单组织图书。及时向甲方通报图书组织情况，对于未采购到的图书说明原因，及时同甲方联系确认以免误订，保证收到的图书准确无误。乙方核算既往订单配货金额总数，配货超出本合同金额图书，凡经验收后，视为</w:t>
      </w:r>
      <w:r>
        <w:rPr>
          <w:rFonts w:ascii="Times New Roman" w:hAnsi="Times New Roman" w:eastAsia="宋体" w:cs="Times New Roman"/>
          <w:color w:val="000000"/>
          <w:kern w:val="0"/>
          <w:sz w:val="28"/>
          <w:szCs w:val="20"/>
        </w:rPr>
        <w:t>无条件无偿</w:t>
      </w:r>
      <w:r>
        <w:rPr>
          <w:rFonts w:ascii="Times New Roman" w:hAnsi="Times New Roman" w:eastAsia="宋体" w:cs="Times New Roman"/>
          <w:color w:val="000000"/>
          <w:kern w:val="0"/>
          <w:sz w:val="28"/>
          <w:szCs w:val="28"/>
        </w:rPr>
        <w:t>自愿赠与。</w:t>
      </w:r>
    </w:p>
    <w:p w14:paraId="5347EB61">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4、乙方收到甲方发来的零星补订订单后，在一个工作日内以电话、电子邮件方式回告核实订单的图书预定册数及金额，对于所订图书能否到货说明原因。</w:t>
      </w:r>
    </w:p>
    <w:p w14:paraId="091DB831">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5、当部分图书出版实际价格高于订单价格、ISBN和书名等信息与采访数据不符时，乙方及时与甲方联系，</w:t>
      </w:r>
      <w:r>
        <w:rPr>
          <w:rFonts w:ascii="Times New Roman" w:hAnsi="Times New Roman" w:eastAsia="宋体" w:cs="Times New Roman"/>
          <w:color w:val="000000"/>
          <w:kern w:val="0"/>
          <w:sz w:val="28"/>
          <w:szCs w:val="20"/>
        </w:rPr>
        <w:t>经甲方书面</w:t>
      </w:r>
      <w:r>
        <w:rPr>
          <w:rFonts w:ascii="Times New Roman" w:hAnsi="Times New Roman" w:eastAsia="宋体" w:cs="Times New Roman"/>
          <w:color w:val="000000"/>
          <w:kern w:val="0"/>
          <w:sz w:val="28"/>
          <w:szCs w:val="28"/>
        </w:rPr>
        <w:t>确认后再采购图书；否则，甲方有权拒收。</w:t>
      </w:r>
    </w:p>
    <w:p w14:paraId="542FDC02">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6、乙方满足甲方提出的到全国大型书市、各级图书展览会或指定地点现场采购图书的要求，负责安排图书现采事宜，所需费用由乙方承担，保证每年2-3次参加全国图书博览会。</w:t>
      </w:r>
    </w:p>
    <w:p w14:paraId="4B181902">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7、乙方收到甲方图书订购单之日起，现采图书20个工作日内到书，到书率不低于98%，预订图书60个工作日内到书，到书率不低于90%，并对未到图书原因作详细说明。</w:t>
      </w:r>
    </w:p>
    <w:p w14:paraId="76844B39">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8、乙方提供图书加工人员到馆加工服务，实现门对门服务，对于甲方提出的临时性服务，乙方</w:t>
      </w:r>
      <w:r>
        <w:rPr>
          <w:rFonts w:ascii="Times New Roman" w:hAnsi="Times New Roman" w:eastAsia="宋体" w:cs="Times New Roman"/>
          <w:color w:val="000000"/>
          <w:kern w:val="0"/>
          <w:sz w:val="28"/>
          <w:szCs w:val="20"/>
        </w:rPr>
        <w:t>应当24小时内到达甲方指定场所</w:t>
      </w:r>
      <w:r>
        <w:rPr>
          <w:rFonts w:ascii="Times New Roman" w:hAnsi="Times New Roman" w:eastAsia="宋体" w:cs="Times New Roman"/>
          <w:color w:val="000000"/>
          <w:kern w:val="0"/>
          <w:sz w:val="28"/>
          <w:szCs w:val="28"/>
        </w:rPr>
        <w:t>全方位配合甲方工作。</w:t>
      </w:r>
    </w:p>
    <w:p w14:paraId="4C46C051">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9、所有工作流程必须按甲方标准执行，人力支援数量以甲方工作需要而定。</w:t>
      </w:r>
    </w:p>
    <w:p w14:paraId="514CD1F2">
      <w:pPr>
        <w:widowControl/>
        <w:spacing w:line="276" w:lineRule="auto"/>
        <w:ind w:firstLine="420"/>
        <w:jc w:val="left"/>
        <w:rPr>
          <w:rFonts w:ascii="Times New Roman" w:hAnsi="Times New Roman" w:eastAsia="宋体" w:cs="Times New Roman"/>
          <w:color w:val="000000"/>
          <w:kern w:val="0"/>
          <w:sz w:val="28"/>
          <w:szCs w:val="28"/>
        </w:rPr>
      </w:pPr>
      <w:r>
        <w:rPr>
          <w:rFonts w:ascii="Times New Roman" w:hAnsi="Times New Roman" w:eastAsia="宋体" w:cs="Times New Roman"/>
          <w:color w:val="000000"/>
          <w:kern w:val="0"/>
          <w:sz w:val="28"/>
          <w:szCs w:val="28"/>
        </w:rPr>
        <w:t>10、乙方</w:t>
      </w:r>
      <w:r>
        <w:rPr>
          <w:rFonts w:hint="eastAsia" w:ascii="Times New Roman" w:hAnsi="Times New Roman" w:eastAsia="宋体" w:cs="Times New Roman"/>
          <w:color w:val="000000"/>
          <w:kern w:val="0"/>
          <w:sz w:val="28"/>
          <w:szCs w:val="28"/>
        </w:rPr>
        <w:t>为</w:t>
      </w:r>
      <w:r>
        <w:rPr>
          <w:rFonts w:ascii="Times New Roman" w:hAnsi="Times New Roman" w:eastAsia="宋体" w:cs="Times New Roman"/>
          <w:color w:val="000000"/>
          <w:kern w:val="0"/>
          <w:sz w:val="28"/>
          <w:szCs w:val="28"/>
        </w:rPr>
        <w:t>甲方加工现有馆藏图书4000册。</w:t>
      </w:r>
    </w:p>
    <w:p w14:paraId="0B1F07AF">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11、乙方提供对学校总体定位及发展具有实际使用价值的服务。</w:t>
      </w:r>
    </w:p>
    <w:p w14:paraId="40768516">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12、甲方使用图书过程中，发现图书版权问题、质量问题，乙方应当根据甲方要求及时更换或者退货；因此给甲方造成损失的，按照合同金额的20%向甲方支付违约金并赔偿甲方全部损失。</w:t>
      </w:r>
    </w:p>
    <w:p w14:paraId="4792B83D">
      <w:pPr>
        <w:widowControl/>
        <w:spacing w:line="276" w:lineRule="auto"/>
        <w:ind w:firstLine="420"/>
        <w:jc w:val="left"/>
        <w:rPr>
          <w:rFonts w:ascii="Times New Roman" w:hAnsi="Times New Roman" w:eastAsia="宋体" w:cs="Times New Roman"/>
          <w:color w:val="000000"/>
          <w:kern w:val="0"/>
          <w:sz w:val="28"/>
          <w:szCs w:val="28"/>
        </w:rPr>
      </w:pPr>
      <w:r>
        <w:rPr>
          <w:rFonts w:ascii="Times New Roman" w:hAnsi="Times New Roman" w:eastAsia="宋体" w:cs="Times New Roman"/>
          <w:color w:val="000000"/>
          <w:kern w:val="0"/>
          <w:sz w:val="28"/>
          <w:szCs w:val="28"/>
        </w:rPr>
        <w:t>13、乙方承诺为</w:t>
      </w:r>
      <w:r>
        <w:rPr>
          <w:rFonts w:hint="eastAsia" w:ascii="Times New Roman" w:hAnsi="Times New Roman" w:eastAsia="宋体" w:cs="Times New Roman"/>
          <w:color w:val="000000"/>
          <w:kern w:val="0"/>
          <w:sz w:val="28"/>
          <w:szCs w:val="28"/>
        </w:rPr>
        <w:t>甲方</w:t>
      </w:r>
      <w:r>
        <w:rPr>
          <w:rFonts w:ascii="Times New Roman" w:hAnsi="Times New Roman" w:eastAsia="宋体" w:cs="Times New Roman"/>
          <w:color w:val="000000"/>
          <w:kern w:val="0"/>
          <w:sz w:val="28"/>
          <w:szCs w:val="28"/>
        </w:rPr>
        <w:t>读者提供线上选书服务、举办阅读推广活动、邀请名家到校现场讲座、到馆举办新书推介展等资源推广活动，每年不少于4次，活动方案经甲方审定后，由乙方负责实施</w:t>
      </w:r>
      <w:r>
        <w:rPr>
          <w:rFonts w:ascii="Times New Roman" w:hAnsi="Times New Roman" w:eastAsia="宋体" w:cs="Times New Roman"/>
          <w:color w:val="000000"/>
          <w:kern w:val="0"/>
          <w:sz w:val="28"/>
          <w:szCs w:val="20"/>
        </w:rPr>
        <w:t>，费用均由乙方承担。举办活动次数不够的，甲方代替乙方举办活动的，甲方可向乙方主张举办活动的所有费用</w:t>
      </w:r>
      <w:r>
        <w:rPr>
          <w:rFonts w:ascii="Times New Roman" w:hAnsi="Times New Roman" w:eastAsia="宋体" w:cs="Times New Roman"/>
          <w:color w:val="000000"/>
          <w:kern w:val="0"/>
          <w:sz w:val="28"/>
          <w:szCs w:val="28"/>
        </w:rPr>
        <w:t>。</w:t>
      </w:r>
    </w:p>
    <w:p w14:paraId="5D06CCFA">
      <w:pPr>
        <w:widowControl/>
        <w:spacing w:line="276" w:lineRule="auto"/>
        <w:ind w:firstLine="420"/>
        <w:jc w:val="left"/>
        <w:rPr>
          <w:rFonts w:hint="eastAsia" w:ascii="Times New Roman" w:hAnsi="Times New Roman" w:eastAsia="宋体" w:cs="Times New Roman"/>
          <w:kern w:val="0"/>
          <w:sz w:val="28"/>
          <w:szCs w:val="28"/>
        </w:rPr>
      </w:pPr>
      <w:r>
        <w:rPr>
          <w:rFonts w:hint="eastAsia" w:ascii="Times New Roman" w:hAnsi="Times New Roman" w:eastAsia="宋体" w:cs="Times New Roman"/>
          <w:kern w:val="0"/>
          <w:sz w:val="28"/>
          <w:szCs w:val="28"/>
        </w:rPr>
        <w:t>14、乙方为甲方现有</w:t>
      </w:r>
      <w:r>
        <w:rPr>
          <w:rFonts w:ascii="Times New Roman" w:hAnsi="Times New Roman" w:eastAsia="宋体" w:cs="Times New Roman"/>
          <w:kern w:val="0"/>
          <w:sz w:val="28"/>
          <w:szCs w:val="28"/>
        </w:rPr>
        <w:t>1000册学位论文提供贴</w:t>
      </w:r>
      <w:r>
        <w:rPr>
          <w:rFonts w:hint="eastAsia" w:ascii="Times New Roman" w:hAnsi="Times New Roman" w:eastAsia="宋体" w:cs="Times New Roman"/>
          <w:kern w:val="0"/>
          <w:sz w:val="28"/>
          <w:szCs w:val="28"/>
          <w:lang w:val="en-US" w:eastAsia="zh-CN"/>
        </w:rPr>
        <w:t>条码</w:t>
      </w:r>
      <w:r>
        <w:rPr>
          <w:rFonts w:ascii="Times New Roman" w:hAnsi="Times New Roman" w:eastAsia="宋体" w:cs="Times New Roman"/>
          <w:kern w:val="0"/>
          <w:sz w:val="28"/>
          <w:szCs w:val="28"/>
        </w:rPr>
        <w:t>、盖馆藏章、粘贴书标</w:t>
      </w:r>
      <w:r>
        <w:rPr>
          <w:rFonts w:hint="eastAsia" w:ascii="Times New Roman" w:hAnsi="Times New Roman" w:eastAsia="宋体" w:cs="Times New Roman"/>
          <w:kern w:val="0"/>
          <w:sz w:val="28"/>
          <w:szCs w:val="28"/>
          <w:lang w:eastAsia="zh-CN"/>
        </w:rPr>
        <w:t>、</w:t>
      </w:r>
      <w:r>
        <w:rPr>
          <w:rFonts w:hint="eastAsia" w:ascii="Times New Roman" w:hAnsi="Times New Roman" w:eastAsia="宋体" w:cs="Times New Roman"/>
          <w:kern w:val="0"/>
          <w:sz w:val="28"/>
          <w:szCs w:val="28"/>
          <w:lang w:val="en-US" w:eastAsia="zh-CN"/>
        </w:rPr>
        <w:t>贴磁条</w:t>
      </w:r>
      <w:r>
        <w:rPr>
          <w:rFonts w:ascii="Times New Roman" w:hAnsi="Times New Roman" w:eastAsia="宋体" w:cs="Times New Roman"/>
          <w:kern w:val="0"/>
          <w:sz w:val="28"/>
          <w:szCs w:val="28"/>
        </w:rPr>
        <w:t>等加工服务。</w:t>
      </w:r>
    </w:p>
    <w:p w14:paraId="3009610F">
      <w:pPr>
        <w:widowControl/>
        <w:spacing w:line="276" w:lineRule="auto"/>
        <w:ind w:firstLine="420"/>
        <w:jc w:val="left"/>
        <w:rPr>
          <w:rFonts w:ascii="Times New Roman" w:hAnsi="Times New Roman" w:eastAsia="宋体" w:cs="Times New Roman"/>
          <w:b/>
          <w:bCs/>
          <w:kern w:val="0"/>
          <w:sz w:val="28"/>
          <w:szCs w:val="28"/>
        </w:rPr>
      </w:pPr>
      <w:r>
        <w:rPr>
          <w:rFonts w:ascii="Times New Roman" w:hAnsi="Times New Roman" w:eastAsia="宋体" w:cs="Times New Roman"/>
          <w:color w:val="000000"/>
          <w:kern w:val="0"/>
          <w:sz w:val="28"/>
          <w:szCs w:val="28"/>
        </w:rPr>
        <w:t>1</w:t>
      </w:r>
      <w:r>
        <w:rPr>
          <w:rFonts w:hint="eastAsia" w:ascii="Times New Roman" w:hAnsi="Times New Roman" w:eastAsia="宋体" w:cs="Times New Roman"/>
          <w:color w:val="000000"/>
          <w:kern w:val="0"/>
          <w:sz w:val="28"/>
          <w:szCs w:val="28"/>
        </w:rPr>
        <w:t>5</w:t>
      </w:r>
      <w:r>
        <w:rPr>
          <w:rFonts w:ascii="Times New Roman" w:hAnsi="Times New Roman" w:eastAsia="宋体" w:cs="Times New Roman"/>
          <w:color w:val="000000"/>
          <w:kern w:val="0"/>
          <w:sz w:val="28"/>
          <w:szCs w:val="28"/>
        </w:rPr>
        <w:t>、乙方提供响应文件中的其他服务。</w:t>
      </w:r>
      <w:bookmarkStart w:id="1" w:name="_GoBack"/>
      <w:bookmarkEnd w:id="1"/>
    </w:p>
    <w:p w14:paraId="72DD3F22">
      <w:pPr>
        <w:widowControl/>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十二、保密</w:t>
      </w:r>
    </w:p>
    <w:p w14:paraId="2CCBEE85">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1、双方应对本合同履行过程中所知悉的双方商业秘密、技术成果、经营计划和战略、客户信息及其它非技术性信息承担保密义务。</w:t>
      </w:r>
    </w:p>
    <w:p w14:paraId="268A1ED6">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2、未经双方书面同意，不得向社会公众或第三方</w:t>
      </w:r>
      <w:r>
        <w:rPr>
          <w:rFonts w:hint="eastAsia" w:ascii="Times New Roman" w:hAnsi="Times New Roman" w:eastAsia="宋体" w:cs="Times New Roman"/>
          <w:kern w:val="0"/>
          <w:sz w:val="28"/>
          <w:szCs w:val="28"/>
          <w:lang w:val="en-US" w:eastAsia="zh-CN"/>
        </w:rPr>
        <w:t>经</w:t>
      </w:r>
      <w:r>
        <w:rPr>
          <w:rFonts w:ascii="Times New Roman" w:hAnsi="Times New Roman" w:eastAsia="宋体" w:cs="Times New Roman"/>
          <w:kern w:val="0"/>
          <w:sz w:val="28"/>
          <w:szCs w:val="28"/>
        </w:rPr>
        <w:t>任何途径出示、泄露，不得对上述信息进行复制、传播和销售。双方同时应约束其员工履行保密义务。</w:t>
      </w:r>
    </w:p>
    <w:p w14:paraId="1BCDCC44">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3、本条所约定的双方承担保密义务</w:t>
      </w:r>
      <w:bookmarkStart w:id="0" w:name="OLE_LINK1"/>
      <w:r>
        <w:rPr>
          <w:rFonts w:ascii="Times New Roman" w:hAnsi="Times New Roman" w:eastAsia="宋体" w:cs="Times New Roman"/>
          <w:kern w:val="0"/>
          <w:sz w:val="28"/>
          <w:szCs w:val="28"/>
        </w:rPr>
        <w:t>不因本合同履行完毕而失效</w:t>
      </w:r>
      <w:bookmarkEnd w:id="0"/>
      <w:r>
        <w:rPr>
          <w:rFonts w:ascii="Times New Roman" w:hAnsi="Times New Roman" w:eastAsia="宋体" w:cs="Times New Roman"/>
          <w:kern w:val="0"/>
          <w:sz w:val="28"/>
          <w:szCs w:val="28"/>
        </w:rPr>
        <w:t>。</w:t>
      </w:r>
    </w:p>
    <w:p w14:paraId="4121FBFC">
      <w:pPr>
        <w:widowControl/>
        <w:spacing w:line="300" w:lineRule="auto"/>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十三、付款方式</w:t>
      </w:r>
    </w:p>
    <w:p w14:paraId="4FCCBDA0">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1、订购图书经甲方最终验收合格后予以付款，付款金额以实际验收图书为准。按批次到货结算，付款金额=实际验收图书定价×</w:t>
      </w:r>
      <w:r>
        <w:rPr>
          <w:rFonts w:hint="eastAsia" w:ascii="Times New Roman" w:hAnsi="Times New Roman" w:eastAsia="宋体" w:cs="Times New Roman"/>
          <w:color w:val="000000"/>
          <w:kern w:val="0"/>
          <w:sz w:val="28"/>
          <w:szCs w:val="28"/>
        </w:rPr>
        <w:t>折扣价</w:t>
      </w:r>
      <w:r>
        <w:rPr>
          <w:rFonts w:ascii="Times New Roman" w:hAnsi="Times New Roman" w:eastAsia="宋体" w:cs="Times New Roman"/>
          <w:color w:val="000000"/>
          <w:kern w:val="0"/>
          <w:sz w:val="28"/>
          <w:szCs w:val="28"/>
        </w:rPr>
        <w:t>，最终付款金额不得超过预算。乙方应履行其价格折扣，提供合法正规的发票，若出现开具造假发票等舞弊现象，所供图书</w:t>
      </w:r>
      <w:r>
        <w:rPr>
          <w:rFonts w:ascii="Times New Roman" w:hAnsi="Times New Roman" w:eastAsia="宋体" w:cs="Times New Roman"/>
          <w:color w:val="000000"/>
          <w:kern w:val="0"/>
          <w:sz w:val="28"/>
          <w:szCs w:val="20"/>
        </w:rPr>
        <w:t>甲方无需支付任何费用</w:t>
      </w:r>
      <w:r>
        <w:rPr>
          <w:rFonts w:ascii="Times New Roman" w:hAnsi="Times New Roman" w:eastAsia="宋体" w:cs="Times New Roman"/>
          <w:color w:val="000000"/>
          <w:kern w:val="0"/>
          <w:sz w:val="28"/>
          <w:szCs w:val="28"/>
        </w:rPr>
        <w:t>且乙方承担</w:t>
      </w:r>
      <w:r>
        <w:rPr>
          <w:rFonts w:ascii="Times New Roman" w:hAnsi="Times New Roman" w:eastAsia="宋体" w:cs="Times New Roman"/>
          <w:color w:val="000000"/>
          <w:kern w:val="0"/>
          <w:sz w:val="28"/>
          <w:szCs w:val="20"/>
        </w:rPr>
        <w:t>全部损失</w:t>
      </w:r>
      <w:r>
        <w:rPr>
          <w:rFonts w:ascii="Times New Roman" w:hAnsi="Times New Roman" w:eastAsia="宋体" w:cs="Times New Roman"/>
          <w:color w:val="000000"/>
          <w:kern w:val="0"/>
          <w:sz w:val="28"/>
          <w:szCs w:val="28"/>
        </w:rPr>
        <w:t>。</w:t>
      </w:r>
    </w:p>
    <w:p w14:paraId="7C937D1C">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甲方以银行转账的方式支付合同款项，乙方指定的收款账户信息为：</w:t>
      </w:r>
    </w:p>
    <w:p w14:paraId="4133A125">
      <w:pPr>
        <w:widowControl/>
        <w:spacing w:line="276" w:lineRule="auto"/>
        <w:ind w:firstLine="420"/>
        <w:jc w:val="left"/>
        <w:rPr>
          <w:rFonts w:hint="eastAsia" w:ascii="Times New Roman" w:hAnsi="Times New Roman" w:eastAsia="宋体" w:cs="Times New Roman"/>
          <w:kern w:val="0"/>
          <w:sz w:val="28"/>
          <w:szCs w:val="28"/>
          <w:u w:val="single"/>
        </w:rPr>
      </w:pPr>
      <w:r>
        <w:rPr>
          <w:rFonts w:ascii="Times New Roman" w:hAnsi="Times New Roman" w:eastAsia="宋体" w:cs="Times New Roman"/>
          <w:color w:val="000000"/>
          <w:kern w:val="0"/>
          <w:sz w:val="28"/>
          <w:szCs w:val="28"/>
        </w:rPr>
        <w:t>开户名：</w:t>
      </w:r>
      <w:r>
        <w:rPr>
          <w:rFonts w:ascii="Times New Roman" w:hAnsi="Times New Roman" w:eastAsia="宋体" w:cs="Times New Roman"/>
          <w:kern w:val="0"/>
          <w:sz w:val="28"/>
          <w:szCs w:val="28"/>
        </w:rPr>
        <w:t xml:space="preserve"> </w:t>
      </w:r>
      <w:r>
        <w:rPr>
          <w:rFonts w:hint="eastAsia" w:ascii="Times New Roman" w:hAnsi="Times New Roman" w:eastAsia="宋体" w:cs="Times New Roman"/>
          <w:kern w:val="0"/>
          <w:sz w:val="28"/>
          <w:szCs w:val="28"/>
          <w:u w:val="single"/>
        </w:rPr>
        <w:t xml:space="preserve">                             </w:t>
      </w:r>
    </w:p>
    <w:p w14:paraId="74B9D996">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开户行：</w:t>
      </w:r>
      <w:r>
        <w:rPr>
          <w:rFonts w:hint="eastAsia" w:ascii="Times New Roman" w:hAnsi="Times New Roman" w:eastAsia="宋体" w:cs="Times New Roman"/>
          <w:color w:val="000000"/>
          <w:kern w:val="0"/>
          <w:sz w:val="28"/>
          <w:szCs w:val="28"/>
        </w:rPr>
        <w:t xml:space="preserve"> </w:t>
      </w:r>
      <w:r>
        <w:rPr>
          <w:rFonts w:hint="eastAsia" w:ascii="Times New Roman" w:hAnsi="Times New Roman" w:eastAsia="宋体" w:cs="Times New Roman"/>
          <w:color w:val="000000"/>
          <w:kern w:val="0"/>
          <w:sz w:val="28"/>
          <w:szCs w:val="28"/>
          <w:u w:val="single"/>
        </w:rPr>
        <w:t xml:space="preserve">                             </w:t>
      </w:r>
      <w:r>
        <w:rPr>
          <w:rFonts w:ascii="Times New Roman" w:hAnsi="Times New Roman" w:eastAsia="宋体" w:cs="Times New Roman"/>
          <w:kern w:val="0"/>
          <w:sz w:val="28"/>
          <w:szCs w:val="28"/>
        </w:rPr>
        <w:t xml:space="preserve"> </w:t>
      </w:r>
    </w:p>
    <w:p w14:paraId="18DD44D5">
      <w:pPr>
        <w:widowControl/>
        <w:spacing w:line="276" w:lineRule="auto"/>
        <w:ind w:firstLine="420"/>
        <w:jc w:val="left"/>
        <w:rPr>
          <w:rFonts w:hint="eastAsia" w:ascii="Times New Roman" w:hAnsi="Times New Roman" w:eastAsia="宋体" w:cs="Times New Roman"/>
          <w:kern w:val="0"/>
          <w:sz w:val="28"/>
          <w:szCs w:val="28"/>
          <w:u w:val="single"/>
        </w:rPr>
      </w:pPr>
      <w:r>
        <w:rPr>
          <w:rFonts w:ascii="Times New Roman" w:hAnsi="Times New Roman" w:eastAsia="宋体" w:cs="Times New Roman"/>
          <w:color w:val="000000"/>
          <w:kern w:val="0"/>
          <w:sz w:val="28"/>
          <w:szCs w:val="28"/>
        </w:rPr>
        <w:t>账号：</w:t>
      </w:r>
      <w:r>
        <w:rPr>
          <w:rFonts w:hint="eastAsia" w:ascii="Times New Roman" w:hAnsi="Times New Roman" w:eastAsia="宋体" w:cs="Times New Roman"/>
          <w:color w:val="000000"/>
          <w:kern w:val="0"/>
          <w:sz w:val="28"/>
          <w:szCs w:val="28"/>
        </w:rPr>
        <w:t xml:space="preserve"> </w:t>
      </w:r>
      <w:r>
        <w:rPr>
          <w:rFonts w:hint="eastAsia" w:ascii="Times New Roman" w:hAnsi="Times New Roman" w:eastAsia="宋体" w:cs="Times New Roman"/>
          <w:color w:val="000000"/>
          <w:kern w:val="0"/>
          <w:sz w:val="28"/>
          <w:szCs w:val="28"/>
          <w:u w:val="single"/>
        </w:rPr>
        <w:t xml:space="preserve">                               </w:t>
      </w:r>
    </w:p>
    <w:p w14:paraId="7BA6643C">
      <w:pPr>
        <w:widowControl/>
        <w:spacing w:line="300" w:lineRule="auto"/>
        <w:ind w:firstLine="560"/>
        <w:jc w:val="left"/>
        <w:rPr>
          <w:rFonts w:ascii="Times New Roman" w:hAnsi="Times New Roman" w:eastAsia="宋体" w:cs="Times New Roman"/>
          <w:kern w:val="0"/>
          <w:sz w:val="28"/>
          <w:szCs w:val="28"/>
          <w:u w:val="single"/>
        </w:rPr>
      </w:pPr>
      <w:r>
        <w:rPr>
          <w:rFonts w:ascii="Times New Roman" w:hAnsi="Times New Roman" w:eastAsia="宋体" w:cs="Times New Roman"/>
          <w:kern w:val="0"/>
          <w:sz w:val="28"/>
          <w:szCs w:val="28"/>
        </w:rPr>
        <w:t>乙方指定收款账户如有变更的，应提前10个工作日书面通知甲方，否则由此产生的损失由乙方承担。</w:t>
      </w:r>
      <w:r>
        <w:rPr>
          <w:rFonts w:ascii="Times New Roman" w:hAnsi="Times New Roman" w:eastAsia="宋体" w:cs="Times New Roman"/>
          <w:kern w:val="0"/>
          <w:sz w:val="28"/>
          <w:szCs w:val="28"/>
          <w:u w:val="single"/>
        </w:rPr>
        <w:t>甲方支付合同款项前，乙方应当向甲方提供合法符合甲方要求的增值税发票，否则，甲方有权拒绝支付</w:t>
      </w:r>
      <w:r>
        <w:rPr>
          <w:rFonts w:ascii="Times New Roman" w:hAnsi="Times New Roman" w:eastAsia="宋体" w:cs="Times New Roman"/>
          <w:color w:val="000000"/>
          <w:kern w:val="0"/>
          <w:sz w:val="28"/>
          <w:szCs w:val="20"/>
          <w:u w:val="single"/>
        </w:rPr>
        <w:t>且不构成违约</w:t>
      </w:r>
      <w:r>
        <w:rPr>
          <w:rFonts w:ascii="Times New Roman" w:hAnsi="Times New Roman" w:eastAsia="宋体" w:cs="Times New Roman"/>
          <w:kern w:val="0"/>
          <w:sz w:val="28"/>
          <w:szCs w:val="28"/>
          <w:u w:val="single"/>
        </w:rPr>
        <w:t>。</w:t>
      </w:r>
    </w:p>
    <w:p w14:paraId="39604F3A">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宋体" w:cs="Times New Roman"/>
          <w:color w:val="000000"/>
          <w:kern w:val="0"/>
          <w:sz w:val="28"/>
          <w:szCs w:val="20"/>
          <w:u w:val="single"/>
        </w:rPr>
        <w:t>甲方开票信息：</w:t>
      </w:r>
    </w:p>
    <w:p w14:paraId="3ECC409B">
      <w:pPr>
        <w:widowControl/>
        <w:spacing w:line="300" w:lineRule="auto"/>
        <w:ind w:firstLine="560"/>
        <w:jc w:val="left"/>
        <w:rPr>
          <w:rFonts w:ascii="Times New Roman" w:hAnsi="Times New Roman" w:eastAsia="宋体" w:cs="Times New Roman"/>
          <w:color w:val="000000"/>
          <w:kern w:val="0"/>
          <w:sz w:val="28"/>
          <w:szCs w:val="20"/>
        </w:rPr>
      </w:pPr>
      <w:r>
        <w:rPr>
          <w:rFonts w:ascii="Times New Roman" w:hAnsi="Times New Roman" w:eastAsia="宋体" w:cs="Times New Roman"/>
          <w:color w:val="000000"/>
          <w:kern w:val="0"/>
          <w:sz w:val="28"/>
          <w:szCs w:val="20"/>
        </w:rPr>
        <w:t>单位名称:西安工业大学</w:t>
      </w:r>
    </w:p>
    <w:p w14:paraId="3CD760A9">
      <w:pPr>
        <w:widowControl/>
        <w:spacing w:line="300" w:lineRule="auto"/>
        <w:ind w:firstLine="560"/>
        <w:jc w:val="left"/>
        <w:rPr>
          <w:rFonts w:ascii="Times New Roman" w:hAnsi="Times New Roman" w:eastAsia="宋体" w:cs="Times New Roman"/>
          <w:color w:val="000000"/>
          <w:kern w:val="0"/>
          <w:sz w:val="28"/>
          <w:szCs w:val="20"/>
        </w:rPr>
      </w:pPr>
      <w:r>
        <w:rPr>
          <w:rFonts w:ascii="Times New Roman" w:hAnsi="Times New Roman" w:eastAsia="宋体" w:cs="Times New Roman"/>
          <w:color w:val="000000"/>
          <w:kern w:val="0"/>
          <w:sz w:val="28"/>
          <w:szCs w:val="20"/>
        </w:rPr>
        <w:t>银行账户:61001781300052502618</w:t>
      </w:r>
    </w:p>
    <w:p w14:paraId="2DA411E1">
      <w:pPr>
        <w:widowControl/>
        <w:spacing w:line="300" w:lineRule="auto"/>
        <w:ind w:firstLine="560"/>
        <w:jc w:val="left"/>
        <w:rPr>
          <w:rFonts w:ascii="Times New Roman" w:hAnsi="Times New Roman" w:eastAsia="宋体" w:cs="Times New Roman"/>
          <w:color w:val="000000"/>
          <w:kern w:val="0"/>
          <w:sz w:val="28"/>
          <w:szCs w:val="20"/>
        </w:rPr>
      </w:pPr>
      <w:r>
        <w:rPr>
          <w:rFonts w:ascii="Times New Roman" w:hAnsi="Times New Roman" w:eastAsia="宋体" w:cs="Times New Roman"/>
          <w:color w:val="000000"/>
          <w:kern w:val="0"/>
          <w:sz w:val="28"/>
          <w:szCs w:val="20"/>
        </w:rPr>
        <w:t>开户行:建行大明宫支行</w:t>
      </w:r>
    </w:p>
    <w:p w14:paraId="0A4EC074">
      <w:pPr>
        <w:widowControl/>
        <w:spacing w:line="300" w:lineRule="auto"/>
        <w:ind w:firstLine="560"/>
        <w:jc w:val="left"/>
        <w:rPr>
          <w:rFonts w:ascii="Times New Roman" w:hAnsi="Times New Roman" w:eastAsia="宋体" w:cs="Times New Roman"/>
          <w:color w:val="000000"/>
          <w:kern w:val="0"/>
          <w:sz w:val="28"/>
          <w:szCs w:val="20"/>
        </w:rPr>
      </w:pPr>
      <w:r>
        <w:rPr>
          <w:rFonts w:ascii="Times New Roman" w:hAnsi="Times New Roman" w:eastAsia="宋体" w:cs="Times New Roman"/>
          <w:color w:val="000000"/>
          <w:kern w:val="0"/>
          <w:sz w:val="28"/>
          <w:szCs w:val="20"/>
        </w:rPr>
        <w:t>统一社会信用代码:126100004352312623(税号)</w:t>
      </w:r>
    </w:p>
    <w:p w14:paraId="0A39E235">
      <w:pPr>
        <w:widowControl/>
        <w:spacing w:line="300" w:lineRule="auto"/>
        <w:ind w:firstLine="560"/>
        <w:jc w:val="left"/>
        <w:rPr>
          <w:rFonts w:ascii="Times New Roman" w:hAnsi="Times New Roman" w:eastAsia="宋体" w:cs="Times New Roman"/>
          <w:color w:val="000000"/>
          <w:kern w:val="0"/>
          <w:sz w:val="28"/>
          <w:szCs w:val="20"/>
        </w:rPr>
      </w:pPr>
      <w:r>
        <w:rPr>
          <w:rFonts w:ascii="Times New Roman" w:hAnsi="Times New Roman" w:eastAsia="宋体" w:cs="Times New Roman"/>
          <w:color w:val="000000"/>
          <w:kern w:val="0"/>
          <w:sz w:val="28"/>
          <w:szCs w:val="20"/>
        </w:rPr>
        <w:t>学校地址:西安市金花北路四号</w:t>
      </w:r>
    </w:p>
    <w:p w14:paraId="57734030">
      <w:pPr>
        <w:widowControl/>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十四、履约保证金</w:t>
      </w:r>
    </w:p>
    <w:p w14:paraId="650A698F">
      <w:pPr>
        <w:widowControl/>
        <w:spacing w:line="300" w:lineRule="auto"/>
        <w:ind w:firstLine="560" w:firstLineChars="200"/>
        <w:jc w:val="left"/>
        <w:rPr>
          <w:rFonts w:ascii="Times New Roman" w:hAnsi="Times New Roman" w:eastAsia="宋体" w:cs="Times New Roman"/>
          <w:b/>
          <w:bCs/>
          <w:kern w:val="0"/>
          <w:sz w:val="28"/>
          <w:szCs w:val="28"/>
        </w:rPr>
      </w:pPr>
      <w:r>
        <w:rPr>
          <w:rFonts w:ascii="Times New Roman" w:hAnsi="Times New Roman" w:eastAsia="宋体" w:cs="Times New Roman"/>
          <w:color w:val="000000"/>
          <w:kern w:val="0"/>
          <w:sz w:val="28"/>
          <w:szCs w:val="28"/>
        </w:rPr>
        <w:t>签订</w:t>
      </w:r>
      <w:r>
        <w:rPr>
          <w:rFonts w:hint="eastAsia" w:ascii="Times New Roman" w:hAnsi="Times New Roman" w:eastAsia="宋体" w:cs="Times New Roman"/>
          <w:color w:val="000000"/>
          <w:kern w:val="0"/>
          <w:sz w:val="28"/>
          <w:szCs w:val="28"/>
        </w:rPr>
        <w:t>合</w:t>
      </w:r>
      <w:r>
        <w:rPr>
          <w:rFonts w:ascii="Times New Roman" w:hAnsi="Times New Roman" w:eastAsia="宋体" w:cs="Times New Roman"/>
          <w:color w:val="000000"/>
          <w:kern w:val="0"/>
          <w:sz w:val="28"/>
          <w:szCs w:val="28"/>
        </w:rPr>
        <w:t>同前须向甲方缴纳中标金额的5% 履约保证金，整体项目验收合格后无息退还履约保证金。</w:t>
      </w:r>
    </w:p>
    <w:p w14:paraId="5B8079C0">
      <w:pPr>
        <w:widowControl/>
        <w:spacing w:line="276" w:lineRule="auto"/>
        <w:ind w:firstLine="420"/>
        <w:jc w:val="left"/>
        <w:rPr>
          <w:rFonts w:ascii="Times New Roman" w:hAnsi="Times New Roman" w:eastAsia="宋体" w:cs="Times New Roman"/>
          <w:kern w:val="0"/>
          <w:sz w:val="28"/>
          <w:szCs w:val="28"/>
        </w:rPr>
      </w:pPr>
      <w:r>
        <w:rPr>
          <w:rFonts w:ascii="Times New Roman" w:hAnsi="Times New Roman" w:eastAsia="宋体" w:cs="Times New Roman"/>
          <w:color w:val="000000"/>
          <w:kern w:val="0"/>
          <w:sz w:val="28"/>
          <w:szCs w:val="28"/>
        </w:rPr>
        <w:t>若一旦出现货源盗版或非法，扣除所缴纳的全部履约保证金，盗版或非法书籍不予退还，乙方避免出现市场二次交易，否则报送上级相关部门处理。</w:t>
      </w:r>
    </w:p>
    <w:p w14:paraId="6ACB9CAE">
      <w:pPr>
        <w:widowControl/>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十五、争议解决</w:t>
      </w:r>
    </w:p>
    <w:p w14:paraId="2046A890">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双方在履行合同过程中，若发生争议，可以协商解决。如协商未果，双方向甲方所在地人民法院提起诉讼。乙方如果没有按照本合同约定履行合同，甲方有权终止合同。</w:t>
      </w:r>
    </w:p>
    <w:p w14:paraId="51BD5EC6">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十六、违约责任</w:t>
      </w:r>
    </w:p>
    <w:p w14:paraId="68E9B030">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1、乙方逾期供货一天按本合同总金额的0.1%</w:t>
      </w:r>
      <w:r>
        <w:rPr>
          <w:rFonts w:ascii="Times New Roman" w:hAnsi="Times New Roman" w:eastAsia="宋体" w:cs="Times New Roman"/>
          <w:color w:val="000000"/>
          <w:kern w:val="0"/>
          <w:sz w:val="28"/>
          <w:szCs w:val="20"/>
        </w:rPr>
        <w:t>支付违约金</w:t>
      </w:r>
      <w:r>
        <w:rPr>
          <w:rFonts w:ascii="Times New Roman" w:hAnsi="Times New Roman" w:eastAsia="宋体" w:cs="Times New Roman"/>
          <w:kern w:val="0"/>
          <w:sz w:val="28"/>
          <w:szCs w:val="28"/>
        </w:rPr>
        <w:t>，逾期交货超过15天甲方有权单方解除本合同，</w:t>
      </w:r>
      <w:r>
        <w:rPr>
          <w:rFonts w:ascii="Times New Roman" w:hAnsi="Times New Roman" w:eastAsia="宋体" w:cs="Times New Roman"/>
          <w:color w:val="000000"/>
          <w:kern w:val="0"/>
          <w:sz w:val="28"/>
          <w:szCs w:val="20"/>
        </w:rPr>
        <w:t>合同解除后，甲方不向乙方支付任何费用，</w:t>
      </w:r>
      <w:r>
        <w:rPr>
          <w:rFonts w:ascii="Times New Roman" w:hAnsi="Times New Roman" w:eastAsia="宋体" w:cs="Times New Roman"/>
          <w:kern w:val="0"/>
          <w:sz w:val="28"/>
          <w:szCs w:val="28"/>
        </w:rPr>
        <w:t>乙方需向甲方支付合同总金额30%的违约金</w:t>
      </w:r>
      <w:r>
        <w:rPr>
          <w:rFonts w:ascii="Times New Roman" w:hAnsi="Times New Roman" w:eastAsia="宋体" w:cs="Times New Roman"/>
          <w:color w:val="000000"/>
          <w:kern w:val="0"/>
          <w:sz w:val="28"/>
          <w:szCs w:val="20"/>
        </w:rPr>
        <w:t>，并赔偿甲方全部</w:t>
      </w:r>
      <w:r>
        <w:rPr>
          <w:rFonts w:ascii="Times New Roman" w:hAnsi="Times New Roman" w:eastAsia="宋体" w:cs="Times New Roman"/>
          <w:kern w:val="0"/>
          <w:sz w:val="28"/>
          <w:szCs w:val="28"/>
        </w:rPr>
        <w:t>损失。</w:t>
      </w:r>
    </w:p>
    <w:p w14:paraId="68190E9B">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Times New Roman" w:cs="Times New Roman"/>
          <w:color w:val="000000"/>
          <w:kern w:val="0"/>
          <w:sz w:val="28"/>
          <w:szCs w:val="20"/>
        </w:rPr>
        <w:t>2</w:t>
      </w:r>
      <w:r>
        <w:rPr>
          <w:rFonts w:ascii="Times New Roman" w:hAnsi="Times New Roman" w:eastAsia="宋体" w:cs="Times New Roman"/>
          <w:color w:val="000000"/>
          <w:kern w:val="0"/>
          <w:sz w:val="28"/>
          <w:szCs w:val="20"/>
        </w:rPr>
        <w:t>、乙方提供的产品，甲方验收（含开箱验收、初验、及整体验收）不合格的，乙方应当及时整改，乙方拒不整改或者整改2次后仍不到位的，甲方有权单方解除本合同，合同解除后，甲方不向乙方支付任何费用，乙方应向甲方支付本合同总金额</w:t>
      </w:r>
      <w:r>
        <w:rPr>
          <w:rFonts w:ascii="Times New Roman" w:hAnsi="Times New Roman" w:eastAsia="Times New Roman" w:cs="Times New Roman"/>
          <w:color w:val="000000"/>
          <w:kern w:val="0"/>
          <w:sz w:val="28"/>
          <w:szCs w:val="20"/>
        </w:rPr>
        <w:t>30%</w:t>
      </w:r>
      <w:r>
        <w:rPr>
          <w:rFonts w:ascii="Times New Roman" w:hAnsi="Times New Roman" w:eastAsia="宋体" w:cs="Times New Roman"/>
          <w:color w:val="000000"/>
          <w:kern w:val="0"/>
          <w:sz w:val="28"/>
          <w:szCs w:val="20"/>
        </w:rPr>
        <w:t>的违约金，并赔偿甲方全部损失。</w:t>
      </w:r>
    </w:p>
    <w:p w14:paraId="2452431A">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Times New Roman" w:cs="Times New Roman"/>
          <w:color w:val="000000"/>
          <w:kern w:val="0"/>
          <w:sz w:val="28"/>
          <w:szCs w:val="20"/>
        </w:rPr>
        <w:t>3</w:t>
      </w:r>
      <w:r>
        <w:rPr>
          <w:rFonts w:ascii="Times New Roman" w:hAnsi="Times New Roman" w:eastAsia="宋体" w:cs="Times New Roman"/>
          <w:color w:val="000000"/>
          <w:kern w:val="0"/>
          <w:sz w:val="28"/>
          <w:szCs w:val="20"/>
        </w:rPr>
        <w:t>、乙方逾期提供售后服务，每逾期一日，向甲方支付违约金200元，并赔偿给甲方造成的全部损失。</w:t>
      </w:r>
    </w:p>
    <w:p w14:paraId="02E4FA6A">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Times New Roman" w:cs="Times New Roman"/>
          <w:color w:val="000000"/>
          <w:kern w:val="0"/>
          <w:sz w:val="28"/>
          <w:szCs w:val="20"/>
        </w:rPr>
        <w:t>4</w:t>
      </w:r>
      <w:r>
        <w:rPr>
          <w:rFonts w:ascii="Times New Roman" w:hAnsi="Times New Roman" w:eastAsia="宋体" w:cs="Times New Roman"/>
          <w:color w:val="000000"/>
          <w:kern w:val="0"/>
          <w:sz w:val="28"/>
          <w:szCs w:val="20"/>
        </w:rPr>
        <w:t>、乙方工作人员在甲方场地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2567704D">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Times New Roman" w:cs="Times New Roman"/>
          <w:color w:val="000000"/>
          <w:kern w:val="0"/>
          <w:sz w:val="28"/>
          <w:szCs w:val="20"/>
        </w:rPr>
        <w:t>5</w:t>
      </w:r>
      <w:r>
        <w:rPr>
          <w:rFonts w:ascii="Times New Roman" w:hAnsi="Times New Roman" w:eastAsia="宋体" w:cs="Times New Roman"/>
          <w:color w:val="000000"/>
          <w:kern w:val="0"/>
          <w:sz w:val="28"/>
          <w:szCs w:val="20"/>
        </w:rPr>
        <w:t>、因乙方提供产品导致甲方与第三方产生包括但不限于知识产权侵权等任何纠纷的，由乙方承担全部赔偿责任，甲方先行承担的有权向乙方追偿，且乙方还应当向甲方支付本合同总金额</w:t>
      </w:r>
      <w:r>
        <w:rPr>
          <w:rFonts w:ascii="Times New Roman" w:hAnsi="Times New Roman" w:eastAsia="Times New Roman" w:cs="Times New Roman"/>
          <w:color w:val="000000"/>
          <w:kern w:val="0"/>
          <w:sz w:val="28"/>
          <w:szCs w:val="20"/>
        </w:rPr>
        <w:t>30%</w:t>
      </w:r>
      <w:r>
        <w:rPr>
          <w:rFonts w:ascii="Times New Roman" w:hAnsi="Times New Roman" w:eastAsia="宋体" w:cs="Times New Roman"/>
          <w:color w:val="000000"/>
          <w:kern w:val="0"/>
          <w:sz w:val="28"/>
          <w:szCs w:val="20"/>
        </w:rPr>
        <w:t>的违约金，赔偿甲方全部损失。</w:t>
      </w:r>
    </w:p>
    <w:p w14:paraId="0C4C11DF">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Times New Roman" w:cs="Times New Roman"/>
          <w:color w:val="000000"/>
          <w:kern w:val="0"/>
          <w:sz w:val="28"/>
          <w:szCs w:val="20"/>
        </w:rPr>
        <w:t>6</w:t>
      </w:r>
      <w:r>
        <w:rPr>
          <w:rFonts w:ascii="Times New Roman" w:hAnsi="Times New Roman" w:eastAsia="宋体" w:cs="Times New Roman"/>
          <w:color w:val="000000"/>
          <w:kern w:val="0"/>
          <w:sz w:val="28"/>
          <w:szCs w:val="20"/>
        </w:rPr>
        <w:t>、本合同约定的甲方损失包括但不限于直接与间接经济利益的减损、预期利益损失及甲方为实现本合同项下所有权益支出的诉讼费、保全费、保全保险费、调查取证费、律师代理费、差旅费、评估费、鉴定费等费用。</w:t>
      </w:r>
    </w:p>
    <w:p w14:paraId="5D563E99">
      <w:pPr>
        <w:widowControl/>
        <w:spacing w:line="300" w:lineRule="auto"/>
        <w:ind w:firstLine="560"/>
        <w:jc w:val="left"/>
        <w:rPr>
          <w:rFonts w:ascii="Times New Roman" w:hAnsi="Times New Roman" w:eastAsia="宋体" w:cs="Times New Roman"/>
          <w:kern w:val="0"/>
          <w:szCs w:val="20"/>
        </w:rPr>
      </w:pPr>
      <w:r>
        <w:rPr>
          <w:rFonts w:ascii="Times New Roman" w:hAnsi="Times New Roman" w:eastAsia="Times New Roman" w:cs="Times New Roman"/>
          <w:color w:val="000000"/>
          <w:kern w:val="0"/>
          <w:sz w:val="28"/>
          <w:szCs w:val="20"/>
        </w:rPr>
        <w:t>7</w:t>
      </w:r>
      <w:r>
        <w:rPr>
          <w:rFonts w:ascii="Times New Roman" w:hAnsi="Times New Roman" w:eastAsia="宋体" w:cs="Times New Roman"/>
          <w:color w:val="000000"/>
          <w:kern w:val="0"/>
          <w:sz w:val="28"/>
          <w:szCs w:val="20"/>
        </w:rPr>
        <w:t>、本合同约定的违约金、赔偿损失、各项费用等，甲方有权直接从货款中扣除，并不承担任何责任。</w:t>
      </w:r>
    </w:p>
    <w:p w14:paraId="50AC6253">
      <w:pPr>
        <w:widowControl/>
        <w:spacing w:line="300" w:lineRule="auto"/>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十七、其他</w:t>
      </w:r>
    </w:p>
    <w:p w14:paraId="0044F5D4">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 xml:space="preserve"> 1、</w:t>
      </w:r>
      <w:r>
        <w:rPr>
          <w:rFonts w:ascii="Times New Roman" w:hAnsi="Times New Roman" w:eastAsia="宋体" w:cs="Times New Roman"/>
          <w:color w:val="000000"/>
          <w:kern w:val="0"/>
          <w:sz w:val="28"/>
          <w:szCs w:val="20"/>
        </w:rPr>
        <w:t>本合同未尽事宜，双方可另行签订补充协议</w:t>
      </w:r>
      <w:r>
        <w:rPr>
          <w:rFonts w:ascii="Times New Roman" w:hAnsi="Times New Roman" w:eastAsia="宋体" w:cs="Times New Roman"/>
          <w:kern w:val="0"/>
          <w:sz w:val="28"/>
          <w:szCs w:val="28"/>
        </w:rPr>
        <w:t>；本合同替代双方以前</w:t>
      </w:r>
      <w:r>
        <w:rPr>
          <w:rFonts w:ascii="Times New Roman" w:hAnsi="Times New Roman" w:eastAsia="宋体" w:cs="Times New Roman"/>
          <w:color w:val="000000"/>
          <w:kern w:val="0"/>
          <w:sz w:val="28"/>
          <w:szCs w:val="20"/>
        </w:rPr>
        <w:t>就本合同事项</w:t>
      </w:r>
      <w:r>
        <w:rPr>
          <w:rFonts w:ascii="Times New Roman" w:hAnsi="Times New Roman" w:eastAsia="宋体" w:cs="Times New Roman"/>
          <w:kern w:val="0"/>
          <w:sz w:val="28"/>
          <w:szCs w:val="28"/>
        </w:rPr>
        <w:t>所做的任何口头交流、声明或合同。</w:t>
      </w:r>
    </w:p>
    <w:p w14:paraId="70977A2A">
      <w:pPr>
        <w:widowControl/>
        <w:spacing w:line="300" w:lineRule="auto"/>
        <w:ind w:firstLine="56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2、本合同壹式</w:t>
      </w:r>
      <w:r>
        <w:rPr>
          <w:rFonts w:ascii="Times New Roman" w:hAnsi="Times New Roman" w:eastAsia="宋体" w:cs="Times New Roman"/>
          <w:kern w:val="0"/>
          <w:sz w:val="28"/>
          <w:szCs w:val="28"/>
          <w:u w:val="single"/>
        </w:rPr>
        <w:t>陆</w:t>
      </w:r>
      <w:r>
        <w:rPr>
          <w:rFonts w:ascii="Times New Roman" w:hAnsi="Times New Roman" w:eastAsia="宋体" w:cs="Times New Roman"/>
          <w:kern w:val="0"/>
          <w:sz w:val="28"/>
          <w:szCs w:val="28"/>
        </w:rPr>
        <w:t>份，甲方</w:t>
      </w:r>
      <w:r>
        <w:rPr>
          <w:rFonts w:ascii="Times New Roman" w:hAnsi="Times New Roman" w:eastAsia="宋体" w:cs="Times New Roman"/>
          <w:kern w:val="0"/>
          <w:sz w:val="28"/>
          <w:szCs w:val="28"/>
          <w:u w:val="single"/>
        </w:rPr>
        <w:t>肆</w:t>
      </w:r>
      <w:r>
        <w:rPr>
          <w:rFonts w:ascii="Times New Roman" w:hAnsi="Times New Roman" w:eastAsia="宋体" w:cs="Times New Roman"/>
          <w:kern w:val="0"/>
          <w:sz w:val="28"/>
          <w:szCs w:val="28"/>
        </w:rPr>
        <w:t>份，乙方</w:t>
      </w:r>
      <w:r>
        <w:rPr>
          <w:rFonts w:ascii="Times New Roman" w:hAnsi="Times New Roman" w:eastAsia="宋体" w:cs="Times New Roman"/>
          <w:kern w:val="0"/>
          <w:sz w:val="28"/>
          <w:szCs w:val="28"/>
          <w:u w:val="single"/>
        </w:rPr>
        <w:t>贰</w:t>
      </w:r>
      <w:r>
        <w:rPr>
          <w:rFonts w:ascii="Times New Roman" w:hAnsi="Times New Roman" w:eastAsia="宋体" w:cs="Times New Roman"/>
          <w:kern w:val="0"/>
          <w:sz w:val="28"/>
          <w:szCs w:val="28"/>
        </w:rPr>
        <w:t>份，采购文件、供应商响应文件与合同具有同等的法律效力。本合同自双方签字盖章之日起生效。</w:t>
      </w:r>
    </w:p>
    <w:p w14:paraId="7E368748">
      <w:pPr>
        <w:widowControl/>
        <w:spacing w:line="300" w:lineRule="auto"/>
        <w:ind w:firstLine="562"/>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（以下无正文）</w:t>
      </w:r>
    </w:p>
    <w:p w14:paraId="3F057171">
      <w:pPr>
        <w:pStyle w:val="4"/>
        <w:spacing w:line="336" w:lineRule="auto"/>
        <w:ind w:firstLine="480" w:firstLineChars="200"/>
        <w:rPr>
          <w:rFonts w:hint="eastAsia" w:ascii="仿宋" w:hAnsi="仿宋" w:eastAsia="仿宋" w:cs="仿宋"/>
          <w:sz w:val="24"/>
          <w:szCs w:val="24"/>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569D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927" w:type="dxa"/>
          </w:tcPr>
          <w:p w14:paraId="3B09BA42">
            <w:pPr>
              <w:widowControl/>
              <w:spacing w:line="300" w:lineRule="auto"/>
              <w:jc w:val="left"/>
              <w:rPr>
                <w:rFonts w:ascii="Times New Roman" w:hAnsi="Times New Roman" w:eastAsia="宋体" w:cs="Times New Roman"/>
                <w:b/>
                <w:bCs/>
                <w:kern w:val="0"/>
                <w:sz w:val="28"/>
                <w:szCs w:val="28"/>
              </w:rPr>
            </w:pPr>
            <w:r>
              <w:rPr>
                <w:rFonts w:ascii="Times New Roman" w:hAnsi="Times New Roman" w:eastAsia="宋体" w:cs="Times New Roman"/>
                <w:b/>
                <w:kern w:val="0"/>
                <w:sz w:val="28"/>
                <w:szCs w:val="28"/>
              </w:rPr>
              <w:t>甲方（盖章）： 西安工业大学</w:t>
            </w:r>
          </w:p>
          <w:p w14:paraId="7F3B54C2">
            <w:pPr>
              <w:widowControl/>
              <w:spacing w:line="300" w:lineRule="auto"/>
              <w:jc w:val="left"/>
              <w:rPr>
                <w:rFonts w:ascii="Times New Roman" w:hAnsi="Times New Roman" w:eastAsia="宋体" w:cs="Times New Roman"/>
                <w:kern w:val="0"/>
                <w:sz w:val="28"/>
                <w:szCs w:val="28"/>
              </w:rPr>
            </w:pPr>
          </w:p>
        </w:tc>
        <w:tc>
          <w:tcPr>
            <w:tcW w:w="4927" w:type="dxa"/>
          </w:tcPr>
          <w:p w14:paraId="222F8E10">
            <w:pPr>
              <w:widowControl/>
              <w:spacing w:line="300" w:lineRule="auto"/>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 xml:space="preserve">乙方（盖章）： </w:t>
            </w:r>
          </w:p>
        </w:tc>
      </w:tr>
      <w:tr w14:paraId="314D9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27" w:type="dxa"/>
            <w:vAlign w:val="center"/>
          </w:tcPr>
          <w:p w14:paraId="17A0C011">
            <w:pPr>
              <w:widowControl/>
              <w:spacing w:line="300" w:lineRule="auto"/>
              <w:rPr>
                <w:rFonts w:ascii="Times New Roman" w:hAnsi="Times New Roman" w:eastAsia="宋体" w:cs="Times New Roman"/>
                <w:b/>
                <w:bCs/>
                <w:kern w:val="0"/>
                <w:sz w:val="28"/>
                <w:szCs w:val="28"/>
              </w:rPr>
            </w:pPr>
            <w:r>
              <w:rPr>
                <w:rFonts w:ascii="Times New Roman" w:hAnsi="Times New Roman" w:eastAsia="宋体" w:cs="Times New Roman"/>
                <w:b/>
                <w:color w:val="000000"/>
                <w:kern w:val="0"/>
                <w:sz w:val="28"/>
                <w:szCs w:val="20"/>
              </w:rPr>
              <w:t>法定代表人</w:t>
            </w:r>
            <w:r>
              <w:rPr>
                <w:rFonts w:ascii="Times New Roman" w:hAnsi="Times New Roman" w:eastAsia="Times New Roman" w:cs="Times New Roman"/>
                <w:b/>
                <w:color w:val="000000"/>
                <w:kern w:val="0"/>
                <w:sz w:val="28"/>
                <w:szCs w:val="20"/>
              </w:rPr>
              <w:t>/</w:t>
            </w:r>
            <w:r>
              <w:rPr>
                <w:rFonts w:ascii="Times New Roman" w:hAnsi="Times New Roman" w:eastAsia="宋体" w:cs="Times New Roman"/>
                <w:b/>
                <w:color w:val="000000"/>
                <w:kern w:val="0"/>
                <w:sz w:val="28"/>
                <w:szCs w:val="20"/>
              </w:rPr>
              <w:t>委托代理人（签字）：</w:t>
            </w:r>
          </w:p>
        </w:tc>
        <w:tc>
          <w:tcPr>
            <w:tcW w:w="4927" w:type="dxa"/>
            <w:vAlign w:val="center"/>
          </w:tcPr>
          <w:p w14:paraId="0CF515AF">
            <w:pPr>
              <w:widowControl/>
              <w:spacing w:line="300" w:lineRule="auto"/>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法定代表人/委托代理人（签字）：</w:t>
            </w:r>
          </w:p>
        </w:tc>
      </w:tr>
      <w:tr w14:paraId="17DE1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927" w:type="dxa"/>
          </w:tcPr>
          <w:p w14:paraId="08662DDB">
            <w:pPr>
              <w:widowControl/>
              <w:spacing w:line="300" w:lineRule="auto"/>
              <w:jc w:val="left"/>
              <w:rPr>
                <w:rFonts w:ascii="Times New Roman" w:hAnsi="Times New Roman" w:eastAsia="宋体" w:cs="Times New Roman"/>
                <w:b/>
                <w:bCs/>
                <w:kern w:val="0"/>
                <w:sz w:val="28"/>
                <w:szCs w:val="28"/>
              </w:rPr>
            </w:pPr>
          </w:p>
        </w:tc>
        <w:tc>
          <w:tcPr>
            <w:tcW w:w="4927" w:type="dxa"/>
          </w:tcPr>
          <w:p w14:paraId="52F9CD79">
            <w:pPr>
              <w:widowControl/>
              <w:spacing w:line="300" w:lineRule="auto"/>
              <w:jc w:val="left"/>
              <w:rPr>
                <w:rFonts w:ascii="Times New Roman" w:hAnsi="Times New Roman" w:eastAsia="宋体" w:cs="Times New Roman"/>
                <w:b/>
                <w:kern w:val="0"/>
                <w:sz w:val="28"/>
                <w:szCs w:val="28"/>
              </w:rPr>
            </w:pPr>
          </w:p>
          <w:p w14:paraId="544C8D85">
            <w:pPr>
              <w:widowControl/>
              <w:spacing w:line="300" w:lineRule="auto"/>
              <w:jc w:val="left"/>
              <w:rPr>
                <w:rFonts w:ascii="Times New Roman" w:hAnsi="Times New Roman" w:eastAsia="宋体" w:cs="Times New Roman"/>
                <w:b/>
                <w:kern w:val="0"/>
                <w:sz w:val="28"/>
                <w:szCs w:val="28"/>
              </w:rPr>
            </w:pPr>
          </w:p>
        </w:tc>
      </w:tr>
      <w:tr w14:paraId="60935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F0F5CF7">
            <w:pPr>
              <w:widowControl/>
              <w:spacing w:line="300" w:lineRule="auto"/>
              <w:jc w:val="left"/>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 xml:space="preserve">日期：  年 </w:t>
            </w:r>
            <w:r>
              <w:rPr>
                <w:rFonts w:hint="eastAsia" w:ascii="Times New Roman" w:hAnsi="Times New Roman" w:eastAsia="宋体" w:cs="Times New Roman"/>
                <w:b/>
                <w:kern w:val="0"/>
                <w:sz w:val="28"/>
                <w:szCs w:val="28"/>
              </w:rPr>
              <w:t xml:space="preserve"> </w:t>
            </w:r>
            <w:r>
              <w:rPr>
                <w:rFonts w:ascii="Times New Roman" w:hAnsi="Times New Roman" w:eastAsia="宋体" w:cs="Times New Roman"/>
                <w:b/>
                <w:kern w:val="0"/>
                <w:sz w:val="28"/>
                <w:szCs w:val="28"/>
              </w:rPr>
              <w:t xml:space="preserve"> 月 </w:t>
            </w:r>
            <w:r>
              <w:rPr>
                <w:rFonts w:hint="eastAsia" w:ascii="Times New Roman" w:hAnsi="Times New Roman" w:eastAsia="宋体" w:cs="Times New Roman"/>
                <w:b/>
                <w:kern w:val="0"/>
                <w:sz w:val="28"/>
                <w:szCs w:val="28"/>
              </w:rPr>
              <w:t xml:space="preserve"> </w:t>
            </w:r>
            <w:r>
              <w:rPr>
                <w:rFonts w:ascii="Times New Roman" w:hAnsi="Times New Roman" w:eastAsia="宋体" w:cs="Times New Roman"/>
                <w:b/>
                <w:kern w:val="0"/>
                <w:sz w:val="28"/>
                <w:szCs w:val="28"/>
              </w:rPr>
              <w:t xml:space="preserve"> 日</w:t>
            </w:r>
          </w:p>
        </w:tc>
        <w:tc>
          <w:tcPr>
            <w:tcW w:w="4927" w:type="dxa"/>
          </w:tcPr>
          <w:p w14:paraId="4B6E467F">
            <w:pPr>
              <w:widowControl/>
              <w:spacing w:line="300" w:lineRule="auto"/>
              <w:jc w:val="left"/>
              <w:rPr>
                <w:rFonts w:ascii="Times New Roman" w:hAnsi="Times New Roman" w:eastAsia="宋体" w:cs="Times New Roman"/>
                <w:b/>
                <w:kern w:val="0"/>
                <w:sz w:val="28"/>
                <w:szCs w:val="28"/>
              </w:rPr>
            </w:pPr>
            <w:r>
              <w:rPr>
                <w:rFonts w:ascii="Times New Roman" w:hAnsi="Times New Roman" w:eastAsia="宋体" w:cs="Times New Roman"/>
                <w:b/>
                <w:kern w:val="0"/>
                <w:sz w:val="28"/>
                <w:szCs w:val="28"/>
              </w:rPr>
              <w:t xml:space="preserve">日期：  年  </w:t>
            </w:r>
            <w:r>
              <w:rPr>
                <w:rFonts w:hint="eastAsia" w:ascii="Times New Roman" w:hAnsi="Times New Roman" w:eastAsia="宋体" w:cs="Times New Roman"/>
                <w:b/>
                <w:kern w:val="0"/>
                <w:sz w:val="28"/>
                <w:szCs w:val="28"/>
              </w:rPr>
              <w:t xml:space="preserve"> </w:t>
            </w:r>
            <w:r>
              <w:rPr>
                <w:rFonts w:ascii="Times New Roman" w:hAnsi="Times New Roman" w:eastAsia="宋体" w:cs="Times New Roman"/>
                <w:b/>
                <w:kern w:val="0"/>
                <w:sz w:val="28"/>
                <w:szCs w:val="28"/>
              </w:rPr>
              <w:t xml:space="preserve">月  </w:t>
            </w:r>
            <w:r>
              <w:rPr>
                <w:rFonts w:hint="eastAsia" w:ascii="Times New Roman" w:hAnsi="Times New Roman" w:eastAsia="宋体" w:cs="Times New Roman"/>
                <w:b/>
                <w:kern w:val="0"/>
                <w:sz w:val="28"/>
                <w:szCs w:val="28"/>
              </w:rPr>
              <w:t xml:space="preserve"> </w:t>
            </w:r>
            <w:r>
              <w:rPr>
                <w:rFonts w:ascii="Times New Roman" w:hAnsi="Times New Roman" w:eastAsia="宋体" w:cs="Times New Roman"/>
                <w:b/>
                <w:kern w:val="0"/>
                <w:sz w:val="28"/>
                <w:szCs w:val="28"/>
              </w:rPr>
              <w:t>日</w:t>
            </w:r>
          </w:p>
        </w:tc>
      </w:tr>
    </w:tbl>
    <w:p w14:paraId="7AB17100">
      <w:pPr>
        <w:pStyle w:val="8"/>
        <w:rPr>
          <w:rFonts w:ascii="仿宋" w:hAnsi="仿宋" w:eastAsia="仿宋" w:cs="仿宋"/>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KSOF4B1AA1F4">
    <w:panose1 w:val="020B0604020202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C1F0E"/>
    <w:multiLevelType w:val="multilevel"/>
    <w:tmpl w:val="0AAC1F0E"/>
    <w:lvl w:ilvl="0" w:tentative="0">
      <w:start w:val="1"/>
      <w:numFmt w:val="japaneseCounting"/>
      <w:suff w:val="space"/>
      <w:lvlText w:val="%1、"/>
      <w:lvlJc w:val="left"/>
      <w:pPr>
        <w:ind w:left="450" w:hanging="450"/>
      </w:pPr>
    </w:lvl>
    <w:lvl w:ilvl="1" w:tentative="0">
      <w:start w:val="1"/>
      <w:numFmt w:val="lowerLetter"/>
      <w:suff w:val="space"/>
      <w:lvlText w:val="%2)"/>
      <w:lvlJc w:val="left"/>
      <w:pPr>
        <w:ind w:left="840" w:hanging="420"/>
      </w:pPr>
    </w:lvl>
    <w:lvl w:ilvl="2" w:tentative="0">
      <w:start w:val="1"/>
      <w:numFmt w:val="lowerRoman"/>
      <w:suff w:val="space"/>
      <w:lvlText w:val="%3."/>
      <w:lvlJc w:val="right"/>
      <w:pPr>
        <w:ind w:left="1260" w:hanging="420"/>
      </w:pPr>
    </w:lvl>
    <w:lvl w:ilvl="3" w:tentative="0">
      <w:start w:val="1"/>
      <w:numFmt w:val="decimal"/>
      <w:suff w:val="space"/>
      <w:lvlText w:val="%4."/>
      <w:lvlJc w:val="left"/>
      <w:pPr>
        <w:ind w:left="1680" w:hanging="420"/>
      </w:pPr>
    </w:lvl>
    <w:lvl w:ilvl="4" w:tentative="0">
      <w:start w:val="1"/>
      <w:numFmt w:val="lowerLetter"/>
      <w:suff w:val="space"/>
      <w:lvlText w:val="%5)"/>
      <w:lvlJc w:val="left"/>
      <w:pPr>
        <w:ind w:left="2100" w:hanging="420"/>
      </w:pPr>
    </w:lvl>
    <w:lvl w:ilvl="5" w:tentative="0">
      <w:start w:val="1"/>
      <w:numFmt w:val="lowerRoman"/>
      <w:suff w:val="space"/>
      <w:lvlText w:val="%6."/>
      <w:lvlJc w:val="right"/>
      <w:pPr>
        <w:ind w:left="2520" w:hanging="420"/>
      </w:pPr>
    </w:lvl>
    <w:lvl w:ilvl="6" w:tentative="0">
      <w:start w:val="1"/>
      <w:numFmt w:val="decimal"/>
      <w:suff w:val="space"/>
      <w:lvlText w:val="%7."/>
      <w:lvlJc w:val="left"/>
      <w:pPr>
        <w:ind w:left="2940" w:hanging="420"/>
      </w:pPr>
    </w:lvl>
    <w:lvl w:ilvl="7" w:tentative="0">
      <w:start w:val="1"/>
      <w:numFmt w:val="lowerLetter"/>
      <w:suff w:val="space"/>
      <w:lvlText w:val="%8)"/>
      <w:lvlJc w:val="left"/>
      <w:pPr>
        <w:ind w:left="3360" w:hanging="420"/>
      </w:pPr>
    </w:lvl>
    <w:lvl w:ilvl="8" w:tentative="0">
      <w:start w:val="1"/>
      <w:numFmt w:val="lowerRoman"/>
      <w:suff w:val="space"/>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E8C"/>
    <w:rsid w:val="000972CD"/>
    <w:rsid w:val="00365086"/>
    <w:rsid w:val="00413C46"/>
    <w:rsid w:val="006B676A"/>
    <w:rsid w:val="007E4168"/>
    <w:rsid w:val="00864EBD"/>
    <w:rsid w:val="00CC388D"/>
    <w:rsid w:val="00CF3005"/>
    <w:rsid w:val="00CF7EB7"/>
    <w:rsid w:val="00D86953"/>
    <w:rsid w:val="00D87B88"/>
    <w:rsid w:val="00DC1480"/>
    <w:rsid w:val="00EB3C1B"/>
    <w:rsid w:val="00F92E8C"/>
    <w:rsid w:val="00FD54AC"/>
    <w:rsid w:val="09954C14"/>
    <w:rsid w:val="3B526E04"/>
    <w:rsid w:val="46CE240E"/>
    <w:rsid w:val="5AB87E0C"/>
    <w:rsid w:val="5F110BFA"/>
    <w:rsid w:val="718B33A8"/>
    <w:rsid w:val="71A5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720"/>
      </w:tabs>
      <w:spacing w:line="0" w:lineRule="atLeast"/>
    </w:pPr>
    <w:rPr>
      <w:sz w:val="28"/>
    </w:rPr>
  </w:style>
  <w:style w:type="paragraph" w:styleId="3">
    <w:name w:val="annotation text"/>
    <w:basedOn w:val="1"/>
    <w:qFormat/>
    <w:uiPriority w:val="0"/>
    <w:pPr>
      <w:jc w:val="left"/>
    </w:pPr>
  </w:style>
  <w:style w:type="paragraph" w:styleId="4">
    <w:name w:val="Plain Text"/>
    <w:basedOn w:val="1"/>
    <w:qFormat/>
    <w:uiPriority w:val="99"/>
    <w:rPr>
      <w:rFonts w:ascii="宋体" w:hAnsi="Courier New"/>
      <w:szCs w:val="21"/>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table" w:customStyle="1" w:styleId="9">
    <w:name w:val="网格型1"/>
    <w:basedOn w:val="5"/>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
    <w:name w:val="网格型2"/>
    <w:basedOn w:val="5"/>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
    <w:name w:val="网格型3"/>
    <w:basedOn w:val="5"/>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4767</Words>
  <Characters>4931</Characters>
  <Lines>447</Lines>
  <Paragraphs>742</Paragraphs>
  <TotalTime>12</TotalTime>
  <ScaleCrop>false</ScaleCrop>
  <LinksUpToDate>false</LinksUpToDate>
  <CharactersWithSpaces>5069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2026-06-05T08:13:00Z</dcterms:created>
  <dc:creator>think</dc:creator>
  <cp:lastModifiedBy>燕丫头</cp:lastModifiedBy>
  <dcterms:modified xsi:type="dcterms:W3CDTF">2026-06-11T02:31:05Z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eyJoZGlkIjoiNzBiZDUxOWE2MjhlZjA4Njg1YmE2M2NiZTliNjNmNjAiLCJ1c2VySWQiOiIzMDg3MjEyNDcifQ==</vt:lpwstr>
  </property>
  <property fmtid="{D5CDD505-2E9C-101B-9397-08002B2CF9AE}" pid="4" name="ICV">
    <vt:lpwstr>A6BDC31420834BB7A99756CBA14DBAB2_13</vt:lpwstr>
  </property>
</Properties>
</file>