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54536">
      <w:pPr>
        <w:pStyle w:val="5"/>
        <w:spacing w:line="540" w:lineRule="exact"/>
        <w:jc w:val="both"/>
        <w:rPr>
          <w:rFonts w:ascii="仿宋_GB2312" w:hAnsi="仿宋_GB2312" w:eastAsia="仿宋_GB2312" w:cs="仿宋_GB2312"/>
          <w:lang w:eastAsia="zh-CN"/>
        </w:rPr>
      </w:pPr>
    </w:p>
    <w:p w14:paraId="4C86A6EF">
      <w:pPr>
        <w:pStyle w:val="5"/>
        <w:spacing w:line="540" w:lineRule="exact"/>
        <w:jc w:val="both"/>
        <w:rPr>
          <w:rFonts w:ascii="仿宋_GB2312" w:hAnsi="仿宋_GB2312" w:eastAsia="仿宋_GB2312" w:cs="仿宋_GB2312"/>
        </w:rPr>
      </w:pPr>
    </w:p>
    <w:p w14:paraId="172D633A">
      <w:pPr>
        <w:pStyle w:val="5"/>
        <w:spacing w:line="540" w:lineRule="exact"/>
        <w:jc w:val="center"/>
        <w:rPr>
          <w:rFonts w:ascii="仿宋_GB2312" w:hAnsi="仿宋_GB2312" w:eastAsia="仿宋_GB2312" w:cs="仿宋_GB2312"/>
          <w:b/>
          <w:bCs/>
          <w:sz w:val="52"/>
          <w:szCs w:val="52"/>
          <w:lang w:eastAsia="zh-CN"/>
        </w:rPr>
      </w:pPr>
      <w:r>
        <w:rPr>
          <w:rFonts w:hint="eastAsia" w:ascii="仿宋_GB2312" w:hAnsi="仿宋_GB2312" w:eastAsia="仿宋_GB2312" w:cs="仿宋_GB2312"/>
          <w:b/>
          <w:bCs/>
          <w:sz w:val="52"/>
          <w:szCs w:val="52"/>
          <w:lang w:eastAsia="zh-CN"/>
        </w:rPr>
        <w:t>政府采购供货合同</w:t>
      </w:r>
    </w:p>
    <w:p w14:paraId="067D5C22">
      <w:pPr>
        <w:pStyle w:val="5"/>
        <w:spacing w:line="540" w:lineRule="exact"/>
        <w:jc w:val="center"/>
        <w:rPr>
          <w:rFonts w:ascii="仿宋_GB2312" w:hAnsi="仿宋_GB2312" w:eastAsia="仿宋_GB2312" w:cs="仿宋_GB2312"/>
          <w:b/>
          <w:bCs/>
          <w:sz w:val="72"/>
          <w:szCs w:val="72"/>
          <w:lang w:eastAsia="zh-CN"/>
        </w:rPr>
      </w:pPr>
    </w:p>
    <w:p w14:paraId="24425F40">
      <w:pPr>
        <w:pStyle w:val="5"/>
        <w:spacing w:line="540" w:lineRule="exact"/>
        <w:rPr>
          <w:rFonts w:ascii="仿宋_GB2312" w:hAnsi="仿宋_GB2312" w:eastAsia="仿宋_GB2312" w:cs="仿宋_GB2312"/>
          <w:lang w:eastAsia="zh-CN"/>
        </w:rPr>
      </w:pPr>
    </w:p>
    <w:p w14:paraId="461A980B">
      <w:pPr>
        <w:pStyle w:val="5"/>
        <w:spacing w:line="540" w:lineRule="exact"/>
        <w:rPr>
          <w:rFonts w:ascii="仿宋_GB2312" w:hAnsi="仿宋_GB2312" w:eastAsia="仿宋_GB2312" w:cs="仿宋_GB2312"/>
          <w:lang w:eastAsia="zh-CN"/>
        </w:rPr>
      </w:pPr>
    </w:p>
    <w:p w14:paraId="0914CC31">
      <w:pPr>
        <w:pStyle w:val="5"/>
        <w:spacing w:line="540" w:lineRule="exact"/>
        <w:rPr>
          <w:rFonts w:ascii="仿宋_GB2312" w:hAnsi="仿宋_GB2312" w:eastAsia="仿宋_GB2312" w:cs="仿宋_GB2312"/>
          <w:lang w:eastAsia="zh-CN"/>
        </w:rPr>
      </w:pPr>
    </w:p>
    <w:p w14:paraId="1FD91A67">
      <w:pPr>
        <w:pStyle w:val="5"/>
        <w:spacing w:line="540" w:lineRule="exact"/>
        <w:rPr>
          <w:rFonts w:ascii="仿宋_GB2312" w:hAnsi="仿宋_GB2312" w:eastAsia="仿宋_GB2312" w:cs="仿宋_GB2312"/>
          <w:lang w:eastAsia="zh-CN"/>
        </w:rPr>
      </w:pPr>
    </w:p>
    <w:p w14:paraId="53818FDE">
      <w:pPr>
        <w:pStyle w:val="5"/>
        <w:spacing w:line="540" w:lineRule="exact"/>
        <w:rPr>
          <w:rFonts w:ascii="仿宋_GB2312" w:hAnsi="仿宋_GB2312" w:eastAsia="仿宋_GB2312" w:cs="仿宋_GB2312"/>
          <w:lang w:eastAsia="zh-CN"/>
        </w:rPr>
      </w:pPr>
    </w:p>
    <w:p w14:paraId="52AC9EF3">
      <w:pPr>
        <w:pStyle w:val="5"/>
        <w:spacing w:line="540" w:lineRule="exact"/>
        <w:rPr>
          <w:rFonts w:ascii="仿宋_GB2312" w:hAnsi="仿宋_GB2312" w:eastAsia="仿宋_GB2312" w:cs="仿宋_GB2312"/>
          <w:lang w:eastAsia="zh-CN"/>
        </w:rPr>
      </w:pPr>
    </w:p>
    <w:p w14:paraId="5D0CC705">
      <w:pPr>
        <w:pStyle w:val="5"/>
        <w:spacing w:line="540" w:lineRule="exact"/>
        <w:rPr>
          <w:rFonts w:ascii="仿宋_GB2312" w:hAnsi="仿宋_GB2312" w:eastAsia="仿宋_GB2312" w:cs="仿宋_GB2312"/>
          <w:lang w:eastAsia="zh-CN"/>
        </w:rPr>
      </w:pPr>
    </w:p>
    <w:p w14:paraId="522F23A7">
      <w:pPr>
        <w:pStyle w:val="5"/>
        <w:spacing w:line="540" w:lineRule="exact"/>
        <w:rPr>
          <w:rFonts w:ascii="仿宋_GB2312" w:hAnsi="仿宋_GB2312" w:eastAsia="仿宋_GB2312" w:cs="仿宋_GB2312"/>
          <w:lang w:eastAsia="zh-CN"/>
        </w:rPr>
      </w:pPr>
    </w:p>
    <w:p w14:paraId="47D4E697">
      <w:pPr>
        <w:pStyle w:val="5"/>
        <w:spacing w:line="540" w:lineRule="exact"/>
        <w:rPr>
          <w:rFonts w:ascii="仿宋_GB2312" w:hAnsi="仿宋_GB2312" w:eastAsia="仿宋_GB2312" w:cs="仿宋_GB2312"/>
          <w:lang w:eastAsia="zh-CN"/>
        </w:rPr>
      </w:pPr>
    </w:p>
    <w:p w14:paraId="7150ACCA">
      <w:pPr>
        <w:pStyle w:val="5"/>
        <w:spacing w:line="540" w:lineRule="exact"/>
        <w:ind w:firstLine="2080" w:firstLineChars="6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甲方（采购人）： </w:t>
      </w:r>
    </w:p>
    <w:p w14:paraId="42C1459D">
      <w:pPr>
        <w:pStyle w:val="5"/>
        <w:spacing w:line="540" w:lineRule="exact"/>
        <w:ind w:firstLine="2080" w:firstLineChars="6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乙方（中标人）： </w:t>
      </w:r>
    </w:p>
    <w:p w14:paraId="1BE1315B">
      <w:pPr>
        <w:pStyle w:val="5"/>
        <w:spacing w:line="540" w:lineRule="exact"/>
        <w:ind w:firstLine="1920" w:firstLineChars="600"/>
        <w:jc w:val="both"/>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签订日期： _______ 年 ______ 月 ______ 日</w:t>
      </w:r>
    </w:p>
    <w:p w14:paraId="7B3E7389">
      <w:pPr>
        <w:spacing w:after="0" w:line="540" w:lineRule="exact"/>
        <w:rPr>
          <w:rFonts w:asciiTheme="majorEastAsia" w:hAnsiTheme="majorEastAsia" w:eastAsiaTheme="majorEastAsia" w:cstheme="majorEastAsia"/>
          <w:sz w:val="32"/>
          <w:szCs w:val="32"/>
          <w:lang w:eastAsia="zh-CN"/>
        </w:rPr>
        <w:sectPr>
          <w:pgSz w:w="12240" w:h="15840"/>
          <w:pgMar w:top="1440" w:right="1800" w:bottom="1440" w:left="1800" w:header="720" w:footer="720" w:gutter="0"/>
          <w:cols w:space="720" w:num="1"/>
        </w:sectPr>
      </w:pPr>
    </w:p>
    <w:p w14:paraId="6AE17CFD">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合同编号： </w:t>
      </w:r>
    </w:p>
    <w:p w14:paraId="2E1463AA">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签订地点： </w:t>
      </w:r>
    </w:p>
    <w:p w14:paraId="236AE4E8">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签订时间：</w:t>
      </w:r>
    </w:p>
    <w:p w14:paraId="71401960">
      <w:pPr>
        <w:pStyle w:val="16"/>
        <w:spacing w:line="540" w:lineRule="exact"/>
        <w:ind w:firstLine="640"/>
        <w:rPr>
          <w:rFonts w:ascii="仿宋_GB2312" w:hAnsi="仿宋_GB2312" w:eastAsia="仿宋_GB2312" w:cs="仿宋_GB2312"/>
          <w:sz w:val="32"/>
          <w:szCs w:val="32"/>
          <w:u w:val="single"/>
          <w:lang w:eastAsia="zh-CN"/>
        </w:rPr>
      </w:pPr>
      <w:r>
        <w:rPr>
          <w:rFonts w:hint="eastAsia" w:ascii="仿宋_GB2312" w:hAnsi="仿宋_GB2312" w:eastAsia="仿宋_GB2312" w:cs="仿宋_GB2312"/>
          <w:sz w:val="32"/>
          <w:szCs w:val="32"/>
          <w:lang w:eastAsia="zh-CN"/>
        </w:rPr>
        <w:t>采购人（甲方）：</w:t>
      </w:r>
    </w:p>
    <w:p w14:paraId="10E9EAD0">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中标人（乙方）：</w:t>
      </w:r>
    </w:p>
    <w:p w14:paraId="17D958E9">
      <w:pPr>
        <w:pStyle w:val="16"/>
        <w:spacing w:beforeLines="50"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根据《中华人民共和国政府采购法》及实施条例、《中华人民共和国</w:t>
      </w:r>
      <w:r>
        <w:rPr>
          <w:rFonts w:hint="eastAsia" w:ascii="仿宋_GB2312" w:hAnsi="仿宋_GB2312" w:eastAsia="仿宋_GB2312" w:cs="仿宋_GB2312"/>
          <w:sz w:val="32"/>
          <w:szCs w:val="32"/>
          <w:lang w:val="en-US" w:eastAsia="zh-CN"/>
        </w:rPr>
        <w:t>民法典</w:t>
      </w:r>
      <w:r>
        <w:rPr>
          <w:rFonts w:hint="eastAsia" w:ascii="仿宋_GB2312" w:hAnsi="仿宋_GB2312" w:eastAsia="仿宋_GB2312" w:cs="仿宋_GB2312"/>
          <w:sz w:val="32"/>
          <w:szCs w:val="32"/>
          <w:lang w:eastAsia="zh-CN"/>
        </w:rPr>
        <w:t>》和甲方 采购项目（采购项目编号：     ）的招标文件、投标文件等有关规定，为确保甲方采购项目的顺利实施，甲、乙双方在平等自愿原则下签订本合同，并共同遵守如下条款：</w:t>
      </w:r>
    </w:p>
    <w:p w14:paraId="2EB5CC9C">
      <w:pPr>
        <w:pStyle w:val="16"/>
        <w:spacing w:beforeLines="50" w:line="540" w:lineRule="exact"/>
        <w:ind w:firstLine="640"/>
        <w:rPr>
          <w:rFonts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第一条 合同标的及数量</w:t>
      </w:r>
    </w:p>
    <w:p w14:paraId="2387BFD0">
      <w:pPr>
        <w:pStyle w:val="16"/>
        <w:spacing w:beforeLines="50" w:line="540" w:lineRule="exact"/>
        <w:ind w:firstLine="640"/>
        <w:rPr>
          <w:rFonts w:ascii="仿宋_GB2312" w:hAnsi="仿宋_GB2312" w:eastAsia="仿宋_GB2312" w:cs="仿宋_GB2312"/>
          <w:b/>
          <w:sz w:val="32"/>
          <w:szCs w:val="32"/>
          <w:lang w:eastAsia="zh-CN"/>
        </w:rPr>
      </w:pPr>
      <w:r>
        <w:rPr>
          <w:rFonts w:hint="eastAsia" w:ascii="仿宋_GB2312" w:hAnsi="仿宋_GB2312" w:eastAsia="仿宋_GB2312" w:cs="仿宋_GB2312"/>
          <w:sz w:val="32"/>
          <w:szCs w:val="32"/>
          <w:lang w:eastAsia="zh-CN"/>
        </w:rPr>
        <w:t>乙方向甲方提供下列货物（产品）：</w:t>
      </w:r>
    </w:p>
    <w:p w14:paraId="5C115B1A">
      <w:pPr>
        <w:pStyle w:val="3"/>
        <w:spacing w:beforeLines="50" w:afterLines="50" w:line="420" w:lineRule="exact"/>
        <w:jc w:val="center"/>
        <w:rPr>
          <w:rFonts w:ascii="仿宋_GB2312" w:hAnsi="仿宋_GB2312" w:eastAsia="仿宋_GB2312" w:cs="仿宋_GB2312"/>
          <w:b/>
          <w:sz w:val="32"/>
          <w:szCs w:val="32"/>
        </w:rPr>
      </w:pPr>
      <w:r>
        <w:rPr>
          <w:rFonts w:hint="eastAsia" w:ascii="仿宋_GB2312" w:hAnsi="仿宋_GB2312" w:eastAsia="仿宋_GB2312" w:cs="仿宋_GB2312"/>
          <w:b/>
          <w:sz w:val="32"/>
          <w:szCs w:val="32"/>
        </w:rPr>
        <w:t>供货一览表</w:t>
      </w:r>
    </w:p>
    <w:tbl>
      <w:tblPr>
        <w:tblStyle w:val="9"/>
        <w:tblpPr w:leftFromText="180" w:rightFromText="180" w:vertAnchor="text" w:horzAnchor="margin" w:tblpY="30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333"/>
        <w:gridCol w:w="761"/>
        <w:gridCol w:w="1481"/>
        <w:gridCol w:w="531"/>
        <w:gridCol w:w="717"/>
        <w:gridCol w:w="730"/>
        <w:gridCol w:w="1060"/>
        <w:gridCol w:w="1461"/>
      </w:tblGrid>
      <w:tr w14:paraId="766282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12" w:space="0"/>
              <w:left w:val="single" w:color="auto" w:sz="12" w:space="0"/>
              <w:bottom w:val="single" w:color="auto" w:sz="4" w:space="0"/>
              <w:right w:val="single" w:color="auto" w:sz="4" w:space="0"/>
            </w:tcBorders>
            <w:noWrap/>
            <w:vAlign w:val="center"/>
          </w:tcPr>
          <w:p w14:paraId="3724F0A8">
            <w:pPr>
              <w:pStyle w:val="2"/>
              <w:spacing w:before="0" w:line="420" w:lineRule="exact"/>
              <w:jc w:val="center"/>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序号</w:t>
            </w:r>
          </w:p>
        </w:tc>
        <w:tc>
          <w:tcPr>
            <w:tcW w:w="1333" w:type="dxa"/>
            <w:tcBorders>
              <w:top w:val="single" w:color="auto" w:sz="12" w:space="0"/>
              <w:left w:val="single" w:color="auto" w:sz="4" w:space="0"/>
              <w:bottom w:val="single" w:color="auto" w:sz="4" w:space="0"/>
              <w:right w:val="single" w:color="auto" w:sz="4" w:space="0"/>
            </w:tcBorders>
            <w:noWrap/>
            <w:vAlign w:val="center"/>
          </w:tcPr>
          <w:p w14:paraId="7EAAFE32">
            <w:pPr>
              <w:pStyle w:val="2"/>
              <w:spacing w:before="0" w:line="420" w:lineRule="exact"/>
              <w:jc w:val="center"/>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货物名称</w:t>
            </w:r>
          </w:p>
        </w:tc>
        <w:tc>
          <w:tcPr>
            <w:tcW w:w="761" w:type="dxa"/>
            <w:tcBorders>
              <w:top w:val="single" w:color="auto" w:sz="12" w:space="0"/>
              <w:left w:val="single" w:color="auto" w:sz="4" w:space="0"/>
              <w:bottom w:val="single" w:color="auto" w:sz="4" w:space="0"/>
              <w:right w:val="single" w:color="auto" w:sz="4" w:space="0"/>
            </w:tcBorders>
            <w:noWrap/>
            <w:vAlign w:val="center"/>
          </w:tcPr>
          <w:p w14:paraId="3CC482B9">
            <w:pPr>
              <w:pStyle w:val="2"/>
              <w:spacing w:before="0" w:line="420" w:lineRule="exact"/>
              <w:jc w:val="center"/>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品目代码</w:t>
            </w:r>
          </w:p>
        </w:tc>
        <w:tc>
          <w:tcPr>
            <w:tcW w:w="1481" w:type="dxa"/>
            <w:tcBorders>
              <w:top w:val="single" w:color="auto" w:sz="12" w:space="0"/>
              <w:left w:val="single" w:color="auto" w:sz="4" w:space="0"/>
              <w:bottom w:val="single" w:color="auto" w:sz="4" w:space="0"/>
              <w:right w:val="single" w:color="auto" w:sz="4" w:space="0"/>
            </w:tcBorders>
            <w:noWrap/>
            <w:vAlign w:val="center"/>
          </w:tcPr>
          <w:p w14:paraId="5870442C">
            <w:pPr>
              <w:pStyle w:val="2"/>
              <w:spacing w:before="0" w:line="420" w:lineRule="exact"/>
              <w:jc w:val="center"/>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品牌/型号</w:t>
            </w:r>
          </w:p>
        </w:tc>
        <w:tc>
          <w:tcPr>
            <w:tcW w:w="531" w:type="dxa"/>
            <w:tcBorders>
              <w:top w:val="single" w:color="auto" w:sz="12" w:space="0"/>
              <w:left w:val="single" w:color="auto" w:sz="4" w:space="0"/>
              <w:bottom w:val="single" w:color="auto" w:sz="4" w:space="0"/>
              <w:right w:val="single" w:color="auto" w:sz="4" w:space="0"/>
            </w:tcBorders>
            <w:noWrap/>
            <w:vAlign w:val="center"/>
          </w:tcPr>
          <w:p w14:paraId="13F0A308">
            <w:pPr>
              <w:pStyle w:val="2"/>
              <w:spacing w:before="0" w:line="420" w:lineRule="exact"/>
              <w:jc w:val="center"/>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规格</w:t>
            </w:r>
          </w:p>
        </w:tc>
        <w:tc>
          <w:tcPr>
            <w:tcW w:w="717" w:type="dxa"/>
            <w:tcBorders>
              <w:top w:val="single" w:color="auto" w:sz="12" w:space="0"/>
              <w:left w:val="single" w:color="auto" w:sz="4" w:space="0"/>
              <w:bottom w:val="single" w:color="auto" w:sz="4" w:space="0"/>
              <w:right w:val="single" w:color="auto" w:sz="4" w:space="0"/>
            </w:tcBorders>
            <w:noWrap/>
            <w:vAlign w:val="center"/>
          </w:tcPr>
          <w:p w14:paraId="1FCF9E3A">
            <w:pPr>
              <w:pStyle w:val="2"/>
              <w:spacing w:before="0" w:line="420" w:lineRule="exact"/>
              <w:jc w:val="center"/>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计量单位</w:t>
            </w:r>
          </w:p>
        </w:tc>
        <w:tc>
          <w:tcPr>
            <w:tcW w:w="730" w:type="dxa"/>
            <w:tcBorders>
              <w:top w:val="single" w:color="auto" w:sz="12" w:space="0"/>
              <w:left w:val="single" w:color="auto" w:sz="4" w:space="0"/>
              <w:bottom w:val="single" w:color="auto" w:sz="4" w:space="0"/>
              <w:right w:val="single" w:color="auto" w:sz="4" w:space="0"/>
            </w:tcBorders>
            <w:noWrap/>
            <w:vAlign w:val="center"/>
          </w:tcPr>
          <w:p w14:paraId="5A68CDF5">
            <w:pPr>
              <w:pStyle w:val="2"/>
              <w:spacing w:before="0" w:line="420" w:lineRule="exact"/>
              <w:jc w:val="center"/>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数量</w:t>
            </w:r>
          </w:p>
        </w:tc>
        <w:tc>
          <w:tcPr>
            <w:tcW w:w="1060" w:type="dxa"/>
            <w:tcBorders>
              <w:top w:val="single" w:color="auto" w:sz="12" w:space="0"/>
              <w:left w:val="single" w:color="auto" w:sz="4" w:space="0"/>
              <w:bottom w:val="single" w:color="auto" w:sz="4" w:space="0"/>
              <w:right w:val="single" w:color="auto" w:sz="4" w:space="0"/>
            </w:tcBorders>
            <w:noWrap/>
            <w:vAlign w:val="center"/>
          </w:tcPr>
          <w:p w14:paraId="4558D326">
            <w:pPr>
              <w:pStyle w:val="2"/>
              <w:spacing w:before="0" w:line="420" w:lineRule="exact"/>
              <w:jc w:val="center"/>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单价（元）</w:t>
            </w:r>
          </w:p>
        </w:tc>
        <w:tc>
          <w:tcPr>
            <w:tcW w:w="1461" w:type="dxa"/>
            <w:tcBorders>
              <w:top w:val="single" w:color="auto" w:sz="12" w:space="0"/>
              <w:left w:val="single" w:color="auto" w:sz="4" w:space="0"/>
              <w:bottom w:val="single" w:color="auto" w:sz="4" w:space="0"/>
              <w:right w:val="single" w:color="auto" w:sz="12" w:space="0"/>
            </w:tcBorders>
            <w:noWrap/>
            <w:vAlign w:val="center"/>
          </w:tcPr>
          <w:p w14:paraId="7A9A69FC">
            <w:pPr>
              <w:pStyle w:val="2"/>
              <w:spacing w:before="0" w:line="420" w:lineRule="exact"/>
              <w:ind w:left="314" w:hanging="315" w:hangingChars="98"/>
              <w:jc w:val="center"/>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金额 (元)</w:t>
            </w:r>
          </w:p>
        </w:tc>
      </w:tr>
      <w:tr w14:paraId="65910A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3E8DD10C">
            <w:pPr>
              <w:pStyle w:val="2"/>
              <w:spacing w:before="0" w:line="420" w:lineRule="exact"/>
              <w:rPr>
                <w:rFonts w:ascii="仿宋_GB2312" w:hAnsi="仿宋_GB2312" w:eastAsia="仿宋_GB2312" w:cs="仿宋_GB2312"/>
                <w:color w:val="000000" w:themeColor="text1"/>
                <w:kern w:val="2"/>
              </w:rPr>
            </w:pPr>
          </w:p>
        </w:tc>
        <w:tc>
          <w:tcPr>
            <w:tcW w:w="1333" w:type="dxa"/>
            <w:tcBorders>
              <w:top w:val="single" w:color="auto" w:sz="4" w:space="0"/>
              <w:left w:val="single" w:color="auto" w:sz="4" w:space="0"/>
              <w:bottom w:val="single" w:color="auto" w:sz="4" w:space="0"/>
              <w:right w:val="single" w:color="auto" w:sz="4" w:space="0"/>
            </w:tcBorders>
            <w:noWrap/>
          </w:tcPr>
          <w:p w14:paraId="45E787C1">
            <w:pPr>
              <w:pStyle w:val="2"/>
              <w:spacing w:before="0" w:line="420" w:lineRule="exact"/>
              <w:rPr>
                <w:rFonts w:ascii="仿宋_GB2312" w:hAnsi="仿宋_GB2312" w:eastAsia="仿宋_GB2312" w:cs="仿宋_GB2312"/>
                <w:color w:val="000000" w:themeColor="text1"/>
                <w:kern w:val="2"/>
              </w:rPr>
            </w:pPr>
          </w:p>
        </w:tc>
        <w:tc>
          <w:tcPr>
            <w:tcW w:w="761" w:type="dxa"/>
            <w:tcBorders>
              <w:top w:val="single" w:color="auto" w:sz="4" w:space="0"/>
              <w:left w:val="single" w:color="auto" w:sz="4" w:space="0"/>
              <w:bottom w:val="single" w:color="auto" w:sz="4" w:space="0"/>
              <w:right w:val="single" w:color="auto" w:sz="4" w:space="0"/>
            </w:tcBorders>
            <w:noWrap/>
          </w:tcPr>
          <w:p w14:paraId="0EEFE3E8">
            <w:pPr>
              <w:pStyle w:val="2"/>
              <w:spacing w:before="0" w:line="420" w:lineRule="exact"/>
              <w:rPr>
                <w:rFonts w:ascii="仿宋_GB2312" w:hAnsi="仿宋_GB2312" w:eastAsia="仿宋_GB2312" w:cs="仿宋_GB2312"/>
                <w:color w:val="000000" w:themeColor="text1"/>
                <w:kern w:val="2"/>
              </w:rPr>
            </w:pPr>
          </w:p>
        </w:tc>
        <w:tc>
          <w:tcPr>
            <w:tcW w:w="1481" w:type="dxa"/>
            <w:tcBorders>
              <w:top w:val="single" w:color="auto" w:sz="4" w:space="0"/>
              <w:left w:val="single" w:color="auto" w:sz="4" w:space="0"/>
              <w:bottom w:val="single" w:color="auto" w:sz="4" w:space="0"/>
              <w:right w:val="single" w:color="auto" w:sz="4" w:space="0"/>
            </w:tcBorders>
            <w:noWrap/>
          </w:tcPr>
          <w:p w14:paraId="2D290F51">
            <w:pPr>
              <w:pStyle w:val="2"/>
              <w:spacing w:before="0" w:line="420" w:lineRule="exact"/>
              <w:rPr>
                <w:rFonts w:ascii="仿宋_GB2312" w:hAnsi="仿宋_GB2312" w:eastAsia="仿宋_GB2312" w:cs="仿宋_GB2312"/>
                <w:color w:val="000000" w:themeColor="text1"/>
                <w:kern w:val="2"/>
              </w:rPr>
            </w:pPr>
          </w:p>
        </w:tc>
        <w:tc>
          <w:tcPr>
            <w:tcW w:w="531" w:type="dxa"/>
            <w:tcBorders>
              <w:top w:val="single" w:color="auto" w:sz="4" w:space="0"/>
              <w:left w:val="single" w:color="auto" w:sz="4" w:space="0"/>
              <w:bottom w:val="single" w:color="auto" w:sz="4" w:space="0"/>
              <w:right w:val="single" w:color="auto" w:sz="4" w:space="0"/>
            </w:tcBorders>
            <w:noWrap/>
          </w:tcPr>
          <w:p w14:paraId="01312CDE">
            <w:pPr>
              <w:pStyle w:val="2"/>
              <w:spacing w:before="0" w:line="420" w:lineRule="exact"/>
              <w:rPr>
                <w:rFonts w:ascii="仿宋_GB2312" w:hAnsi="仿宋_GB2312" w:eastAsia="仿宋_GB2312" w:cs="仿宋_GB2312"/>
                <w:color w:val="000000" w:themeColor="text1"/>
                <w:kern w:val="2"/>
              </w:rPr>
            </w:pPr>
          </w:p>
        </w:tc>
        <w:tc>
          <w:tcPr>
            <w:tcW w:w="717" w:type="dxa"/>
            <w:tcBorders>
              <w:top w:val="single" w:color="auto" w:sz="4" w:space="0"/>
              <w:left w:val="single" w:color="auto" w:sz="4" w:space="0"/>
              <w:bottom w:val="single" w:color="auto" w:sz="4" w:space="0"/>
              <w:right w:val="single" w:color="auto" w:sz="4" w:space="0"/>
            </w:tcBorders>
            <w:noWrap/>
          </w:tcPr>
          <w:p w14:paraId="1499B976">
            <w:pPr>
              <w:pStyle w:val="2"/>
              <w:spacing w:before="0" w:line="420" w:lineRule="exact"/>
              <w:rPr>
                <w:rFonts w:ascii="仿宋_GB2312" w:hAnsi="仿宋_GB2312" w:eastAsia="仿宋_GB2312" w:cs="仿宋_GB2312"/>
                <w:color w:val="000000" w:themeColor="text1"/>
                <w:kern w:val="2"/>
              </w:rPr>
            </w:pPr>
          </w:p>
        </w:tc>
        <w:tc>
          <w:tcPr>
            <w:tcW w:w="730" w:type="dxa"/>
            <w:tcBorders>
              <w:top w:val="single" w:color="auto" w:sz="4" w:space="0"/>
              <w:left w:val="single" w:color="auto" w:sz="4" w:space="0"/>
              <w:bottom w:val="single" w:color="auto" w:sz="4" w:space="0"/>
              <w:right w:val="single" w:color="auto" w:sz="4" w:space="0"/>
            </w:tcBorders>
            <w:noWrap/>
          </w:tcPr>
          <w:p w14:paraId="6130EF1F">
            <w:pPr>
              <w:pStyle w:val="2"/>
              <w:spacing w:before="0" w:line="420" w:lineRule="exact"/>
              <w:rPr>
                <w:rFonts w:ascii="仿宋_GB2312" w:hAnsi="仿宋_GB2312" w:eastAsia="仿宋_GB2312" w:cs="仿宋_GB2312"/>
                <w:color w:val="000000" w:themeColor="text1"/>
                <w:kern w:val="2"/>
              </w:rPr>
            </w:pPr>
          </w:p>
        </w:tc>
        <w:tc>
          <w:tcPr>
            <w:tcW w:w="1060" w:type="dxa"/>
            <w:tcBorders>
              <w:top w:val="single" w:color="auto" w:sz="4" w:space="0"/>
              <w:left w:val="single" w:color="auto" w:sz="4" w:space="0"/>
              <w:bottom w:val="single" w:color="auto" w:sz="4" w:space="0"/>
              <w:right w:val="single" w:color="auto" w:sz="4" w:space="0"/>
            </w:tcBorders>
            <w:noWrap/>
          </w:tcPr>
          <w:p w14:paraId="50A5E603">
            <w:pPr>
              <w:pStyle w:val="2"/>
              <w:spacing w:before="0" w:line="420" w:lineRule="exact"/>
              <w:rPr>
                <w:rFonts w:ascii="仿宋_GB2312" w:hAnsi="仿宋_GB2312" w:eastAsia="仿宋_GB2312" w:cs="仿宋_GB2312"/>
                <w:color w:val="000000" w:themeColor="text1"/>
                <w:kern w:val="2"/>
              </w:rPr>
            </w:pPr>
          </w:p>
        </w:tc>
        <w:tc>
          <w:tcPr>
            <w:tcW w:w="1461" w:type="dxa"/>
            <w:tcBorders>
              <w:top w:val="single" w:color="auto" w:sz="4" w:space="0"/>
              <w:left w:val="single" w:color="auto" w:sz="4" w:space="0"/>
              <w:bottom w:val="single" w:color="auto" w:sz="4" w:space="0"/>
              <w:right w:val="single" w:color="auto" w:sz="12" w:space="0"/>
            </w:tcBorders>
            <w:noWrap/>
          </w:tcPr>
          <w:p w14:paraId="560200F3">
            <w:pPr>
              <w:pStyle w:val="2"/>
              <w:spacing w:before="0" w:line="420" w:lineRule="exact"/>
              <w:rPr>
                <w:rFonts w:ascii="仿宋_GB2312" w:hAnsi="仿宋_GB2312" w:eastAsia="仿宋_GB2312" w:cs="仿宋_GB2312"/>
                <w:color w:val="000000" w:themeColor="text1"/>
                <w:kern w:val="2"/>
              </w:rPr>
            </w:pPr>
          </w:p>
        </w:tc>
      </w:tr>
      <w:tr w14:paraId="49F1B7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59307585">
            <w:pPr>
              <w:pStyle w:val="2"/>
              <w:spacing w:before="0" w:line="420" w:lineRule="exact"/>
              <w:rPr>
                <w:rFonts w:ascii="仿宋_GB2312" w:hAnsi="仿宋_GB2312" w:eastAsia="仿宋_GB2312" w:cs="仿宋_GB2312"/>
                <w:color w:val="000000" w:themeColor="text1"/>
                <w:kern w:val="2"/>
              </w:rPr>
            </w:pPr>
          </w:p>
        </w:tc>
        <w:tc>
          <w:tcPr>
            <w:tcW w:w="1333" w:type="dxa"/>
            <w:tcBorders>
              <w:top w:val="single" w:color="auto" w:sz="4" w:space="0"/>
              <w:left w:val="single" w:color="auto" w:sz="4" w:space="0"/>
              <w:bottom w:val="single" w:color="auto" w:sz="4" w:space="0"/>
              <w:right w:val="single" w:color="auto" w:sz="4" w:space="0"/>
            </w:tcBorders>
            <w:noWrap/>
          </w:tcPr>
          <w:p w14:paraId="6957E3B3">
            <w:pPr>
              <w:pStyle w:val="2"/>
              <w:spacing w:before="0" w:line="420" w:lineRule="exact"/>
              <w:rPr>
                <w:rFonts w:ascii="仿宋_GB2312" w:hAnsi="仿宋_GB2312" w:eastAsia="仿宋_GB2312" w:cs="仿宋_GB2312"/>
                <w:color w:val="000000" w:themeColor="text1"/>
                <w:kern w:val="2"/>
              </w:rPr>
            </w:pPr>
          </w:p>
        </w:tc>
        <w:tc>
          <w:tcPr>
            <w:tcW w:w="761" w:type="dxa"/>
            <w:tcBorders>
              <w:top w:val="single" w:color="auto" w:sz="4" w:space="0"/>
              <w:left w:val="single" w:color="auto" w:sz="4" w:space="0"/>
              <w:bottom w:val="single" w:color="auto" w:sz="4" w:space="0"/>
              <w:right w:val="single" w:color="auto" w:sz="4" w:space="0"/>
            </w:tcBorders>
            <w:noWrap/>
          </w:tcPr>
          <w:p w14:paraId="6DFEBA12">
            <w:pPr>
              <w:pStyle w:val="2"/>
              <w:spacing w:before="0" w:line="420" w:lineRule="exact"/>
              <w:rPr>
                <w:rFonts w:ascii="仿宋_GB2312" w:hAnsi="仿宋_GB2312" w:eastAsia="仿宋_GB2312" w:cs="仿宋_GB2312"/>
                <w:color w:val="000000" w:themeColor="text1"/>
                <w:kern w:val="2"/>
              </w:rPr>
            </w:pPr>
          </w:p>
        </w:tc>
        <w:tc>
          <w:tcPr>
            <w:tcW w:w="1481" w:type="dxa"/>
            <w:tcBorders>
              <w:top w:val="single" w:color="auto" w:sz="4" w:space="0"/>
              <w:left w:val="single" w:color="auto" w:sz="4" w:space="0"/>
              <w:bottom w:val="single" w:color="auto" w:sz="4" w:space="0"/>
              <w:right w:val="single" w:color="auto" w:sz="4" w:space="0"/>
            </w:tcBorders>
            <w:noWrap/>
          </w:tcPr>
          <w:p w14:paraId="237A8404">
            <w:pPr>
              <w:pStyle w:val="2"/>
              <w:spacing w:before="0" w:line="420" w:lineRule="exact"/>
              <w:rPr>
                <w:rFonts w:ascii="仿宋_GB2312" w:hAnsi="仿宋_GB2312" w:eastAsia="仿宋_GB2312" w:cs="仿宋_GB2312"/>
                <w:color w:val="000000" w:themeColor="text1"/>
                <w:kern w:val="2"/>
              </w:rPr>
            </w:pPr>
          </w:p>
        </w:tc>
        <w:tc>
          <w:tcPr>
            <w:tcW w:w="531" w:type="dxa"/>
            <w:tcBorders>
              <w:top w:val="single" w:color="auto" w:sz="4" w:space="0"/>
              <w:left w:val="single" w:color="auto" w:sz="4" w:space="0"/>
              <w:bottom w:val="single" w:color="auto" w:sz="4" w:space="0"/>
              <w:right w:val="single" w:color="auto" w:sz="4" w:space="0"/>
            </w:tcBorders>
            <w:noWrap/>
          </w:tcPr>
          <w:p w14:paraId="7B1DECCB">
            <w:pPr>
              <w:pStyle w:val="2"/>
              <w:spacing w:before="0" w:line="420" w:lineRule="exact"/>
              <w:rPr>
                <w:rFonts w:ascii="仿宋_GB2312" w:hAnsi="仿宋_GB2312" w:eastAsia="仿宋_GB2312" w:cs="仿宋_GB2312"/>
                <w:color w:val="000000" w:themeColor="text1"/>
                <w:kern w:val="2"/>
              </w:rPr>
            </w:pPr>
          </w:p>
        </w:tc>
        <w:tc>
          <w:tcPr>
            <w:tcW w:w="717" w:type="dxa"/>
            <w:tcBorders>
              <w:top w:val="single" w:color="auto" w:sz="4" w:space="0"/>
              <w:left w:val="single" w:color="auto" w:sz="4" w:space="0"/>
              <w:bottom w:val="single" w:color="auto" w:sz="4" w:space="0"/>
              <w:right w:val="single" w:color="auto" w:sz="4" w:space="0"/>
            </w:tcBorders>
            <w:noWrap/>
          </w:tcPr>
          <w:p w14:paraId="11162013">
            <w:pPr>
              <w:pStyle w:val="2"/>
              <w:spacing w:before="0" w:line="420" w:lineRule="exact"/>
              <w:rPr>
                <w:rFonts w:ascii="仿宋_GB2312" w:hAnsi="仿宋_GB2312" w:eastAsia="仿宋_GB2312" w:cs="仿宋_GB2312"/>
                <w:color w:val="000000" w:themeColor="text1"/>
                <w:kern w:val="2"/>
              </w:rPr>
            </w:pPr>
          </w:p>
        </w:tc>
        <w:tc>
          <w:tcPr>
            <w:tcW w:w="730" w:type="dxa"/>
            <w:tcBorders>
              <w:top w:val="single" w:color="auto" w:sz="4" w:space="0"/>
              <w:left w:val="single" w:color="auto" w:sz="4" w:space="0"/>
              <w:bottom w:val="single" w:color="auto" w:sz="4" w:space="0"/>
              <w:right w:val="single" w:color="auto" w:sz="4" w:space="0"/>
            </w:tcBorders>
            <w:noWrap/>
          </w:tcPr>
          <w:p w14:paraId="4D7F7DE9">
            <w:pPr>
              <w:pStyle w:val="2"/>
              <w:spacing w:before="0" w:line="420" w:lineRule="exact"/>
              <w:rPr>
                <w:rFonts w:ascii="仿宋_GB2312" w:hAnsi="仿宋_GB2312" w:eastAsia="仿宋_GB2312" w:cs="仿宋_GB2312"/>
                <w:color w:val="000000" w:themeColor="text1"/>
                <w:kern w:val="2"/>
              </w:rPr>
            </w:pPr>
          </w:p>
        </w:tc>
        <w:tc>
          <w:tcPr>
            <w:tcW w:w="1060" w:type="dxa"/>
            <w:tcBorders>
              <w:top w:val="single" w:color="auto" w:sz="4" w:space="0"/>
              <w:left w:val="single" w:color="auto" w:sz="4" w:space="0"/>
              <w:bottom w:val="single" w:color="auto" w:sz="4" w:space="0"/>
              <w:right w:val="single" w:color="auto" w:sz="4" w:space="0"/>
            </w:tcBorders>
            <w:noWrap/>
          </w:tcPr>
          <w:p w14:paraId="6DBF9F62">
            <w:pPr>
              <w:pStyle w:val="2"/>
              <w:spacing w:before="0" w:line="420" w:lineRule="exact"/>
              <w:rPr>
                <w:rFonts w:ascii="仿宋_GB2312" w:hAnsi="仿宋_GB2312" w:eastAsia="仿宋_GB2312" w:cs="仿宋_GB2312"/>
                <w:color w:val="000000" w:themeColor="text1"/>
                <w:kern w:val="2"/>
              </w:rPr>
            </w:pPr>
          </w:p>
        </w:tc>
        <w:tc>
          <w:tcPr>
            <w:tcW w:w="1461" w:type="dxa"/>
            <w:tcBorders>
              <w:top w:val="single" w:color="auto" w:sz="4" w:space="0"/>
              <w:left w:val="single" w:color="auto" w:sz="4" w:space="0"/>
              <w:bottom w:val="single" w:color="auto" w:sz="4" w:space="0"/>
              <w:right w:val="single" w:color="auto" w:sz="12" w:space="0"/>
            </w:tcBorders>
            <w:noWrap/>
          </w:tcPr>
          <w:p w14:paraId="0CD85746">
            <w:pPr>
              <w:pStyle w:val="2"/>
              <w:spacing w:before="0" w:line="420" w:lineRule="exact"/>
              <w:rPr>
                <w:rFonts w:ascii="仿宋_GB2312" w:hAnsi="仿宋_GB2312" w:eastAsia="仿宋_GB2312" w:cs="仿宋_GB2312"/>
                <w:color w:val="000000" w:themeColor="text1"/>
                <w:kern w:val="2"/>
              </w:rPr>
            </w:pPr>
          </w:p>
        </w:tc>
      </w:tr>
      <w:tr w14:paraId="035741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03070654">
            <w:pPr>
              <w:pStyle w:val="2"/>
              <w:spacing w:before="0" w:line="420" w:lineRule="exact"/>
              <w:rPr>
                <w:rFonts w:ascii="仿宋_GB2312" w:hAnsi="仿宋_GB2312" w:eastAsia="仿宋_GB2312" w:cs="仿宋_GB2312"/>
                <w:color w:val="000000" w:themeColor="text1"/>
                <w:kern w:val="2"/>
              </w:rPr>
            </w:pPr>
          </w:p>
        </w:tc>
        <w:tc>
          <w:tcPr>
            <w:tcW w:w="1333" w:type="dxa"/>
            <w:tcBorders>
              <w:top w:val="single" w:color="auto" w:sz="4" w:space="0"/>
              <w:left w:val="single" w:color="auto" w:sz="4" w:space="0"/>
              <w:bottom w:val="single" w:color="auto" w:sz="4" w:space="0"/>
              <w:right w:val="single" w:color="auto" w:sz="4" w:space="0"/>
            </w:tcBorders>
            <w:noWrap/>
          </w:tcPr>
          <w:p w14:paraId="1BED4739">
            <w:pPr>
              <w:pStyle w:val="2"/>
              <w:spacing w:before="0" w:line="420" w:lineRule="exact"/>
              <w:rPr>
                <w:rFonts w:ascii="仿宋_GB2312" w:hAnsi="仿宋_GB2312" w:eastAsia="仿宋_GB2312" w:cs="仿宋_GB2312"/>
                <w:color w:val="000000" w:themeColor="text1"/>
                <w:kern w:val="2"/>
              </w:rPr>
            </w:pPr>
          </w:p>
        </w:tc>
        <w:tc>
          <w:tcPr>
            <w:tcW w:w="761" w:type="dxa"/>
            <w:tcBorders>
              <w:top w:val="single" w:color="auto" w:sz="4" w:space="0"/>
              <w:left w:val="single" w:color="auto" w:sz="4" w:space="0"/>
              <w:bottom w:val="single" w:color="auto" w:sz="4" w:space="0"/>
              <w:right w:val="single" w:color="auto" w:sz="4" w:space="0"/>
            </w:tcBorders>
            <w:noWrap/>
          </w:tcPr>
          <w:p w14:paraId="5D3398BA">
            <w:pPr>
              <w:pStyle w:val="2"/>
              <w:spacing w:before="0" w:line="420" w:lineRule="exact"/>
              <w:rPr>
                <w:rFonts w:ascii="仿宋_GB2312" w:hAnsi="仿宋_GB2312" w:eastAsia="仿宋_GB2312" w:cs="仿宋_GB2312"/>
                <w:color w:val="000000" w:themeColor="text1"/>
                <w:kern w:val="2"/>
              </w:rPr>
            </w:pPr>
          </w:p>
        </w:tc>
        <w:tc>
          <w:tcPr>
            <w:tcW w:w="1481" w:type="dxa"/>
            <w:tcBorders>
              <w:top w:val="single" w:color="auto" w:sz="4" w:space="0"/>
              <w:left w:val="single" w:color="auto" w:sz="4" w:space="0"/>
              <w:bottom w:val="single" w:color="auto" w:sz="4" w:space="0"/>
              <w:right w:val="single" w:color="auto" w:sz="4" w:space="0"/>
            </w:tcBorders>
            <w:noWrap/>
          </w:tcPr>
          <w:p w14:paraId="1D0A659C">
            <w:pPr>
              <w:pStyle w:val="2"/>
              <w:spacing w:before="0" w:line="420" w:lineRule="exact"/>
              <w:rPr>
                <w:rFonts w:ascii="仿宋_GB2312" w:hAnsi="仿宋_GB2312" w:eastAsia="仿宋_GB2312" w:cs="仿宋_GB2312"/>
                <w:color w:val="000000" w:themeColor="text1"/>
                <w:kern w:val="2"/>
              </w:rPr>
            </w:pPr>
          </w:p>
        </w:tc>
        <w:tc>
          <w:tcPr>
            <w:tcW w:w="531" w:type="dxa"/>
            <w:tcBorders>
              <w:top w:val="single" w:color="auto" w:sz="4" w:space="0"/>
              <w:left w:val="single" w:color="auto" w:sz="4" w:space="0"/>
              <w:bottom w:val="single" w:color="auto" w:sz="4" w:space="0"/>
              <w:right w:val="single" w:color="auto" w:sz="4" w:space="0"/>
            </w:tcBorders>
            <w:noWrap/>
          </w:tcPr>
          <w:p w14:paraId="51CB5252">
            <w:pPr>
              <w:pStyle w:val="2"/>
              <w:spacing w:before="0" w:line="420" w:lineRule="exact"/>
              <w:rPr>
                <w:rFonts w:ascii="仿宋_GB2312" w:hAnsi="仿宋_GB2312" w:eastAsia="仿宋_GB2312" w:cs="仿宋_GB2312"/>
                <w:color w:val="000000" w:themeColor="text1"/>
                <w:kern w:val="2"/>
              </w:rPr>
            </w:pPr>
          </w:p>
        </w:tc>
        <w:tc>
          <w:tcPr>
            <w:tcW w:w="717" w:type="dxa"/>
            <w:tcBorders>
              <w:top w:val="single" w:color="auto" w:sz="4" w:space="0"/>
              <w:left w:val="single" w:color="auto" w:sz="4" w:space="0"/>
              <w:bottom w:val="single" w:color="auto" w:sz="4" w:space="0"/>
              <w:right w:val="single" w:color="auto" w:sz="4" w:space="0"/>
            </w:tcBorders>
            <w:noWrap/>
          </w:tcPr>
          <w:p w14:paraId="3357C708">
            <w:pPr>
              <w:pStyle w:val="2"/>
              <w:spacing w:before="0" w:line="420" w:lineRule="exact"/>
              <w:rPr>
                <w:rFonts w:ascii="仿宋_GB2312" w:hAnsi="仿宋_GB2312" w:eastAsia="仿宋_GB2312" w:cs="仿宋_GB2312"/>
                <w:color w:val="000000" w:themeColor="text1"/>
                <w:kern w:val="2"/>
              </w:rPr>
            </w:pPr>
          </w:p>
        </w:tc>
        <w:tc>
          <w:tcPr>
            <w:tcW w:w="730" w:type="dxa"/>
            <w:tcBorders>
              <w:top w:val="single" w:color="auto" w:sz="4" w:space="0"/>
              <w:left w:val="single" w:color="auto" w:sz="4" w:space="0"/>
              <w:bottom w:val="single" w:color="auto" w:sz="4" w:space="0"/>
              <w:right w:val="single" w:color="auto" w:sz="4" w:space="0"/>
            </w:tcBorders>
            <w:noWrap/>
          </w:tcPr>
          <w:p w14:paraId="16BABA70">
            <w:pPr>
              <w:pStyle w:val="2"/>
              <w:spacing w:before="0" w:line="420" w:lineRule="exact"/>
              <w:rPr>
                <w:rFonts w:ascii="仿宋_GB2312" w:hAnsi="仿宋_GB2312" w:eastAsia="仿宋_GB2312" w:cs="仿宋_GB2312"/>
                <w:color w:val="000000" w:themeColor="text1"/>
                <w:kern w:val="2"/>
              </w:rPr>
            </w:pPr>
          </w:p>
        </w:tc>
        <w:tc>
          <w:tcPr>
            <w:tcW w:w="1060" w:type="dxa"/>
            <w:tcBorders>
              <w:top w:val="single" w:color="auto" w:sz="4" w:space="0"/>
              <w:left w:val="single" w:color="auto" w:sz="4" w:space="0"/>
              <w:bottom w:val="single" w:color="auto" w:sz="4" w:space="0"/>
              <w:right w:val="single" w:color="auto" w:sz="4" w:space="0"/>
            </w:tcBorders>
            <w:noWrap/>
          </w:tcPr>
          <w:p w14:paraId="6F3DC7AB">
            <w:pPr>
              <w:pStyle w:val="2"/>
              <w:spacing w:before="0" w:line="420" w:lineRule="exact"/>
              <w:rPr>
                <w:rFonts w:ascii="仿宋_GB2312" w:hAnsi="仿宋_GB2312" w:eastAsia="仿宋_GB2312" w:cs="仿宋_GB2312"/>
                <w:color w:val="000000" w:themeColor="text1"/>
                <w:kern w:val="2"/>
              </w:rPr>
            </w:pPr>
          </w:p>
        </w:tc>
        <w:tc>
          <w:tcPr>
            <w:tcW w:w="1461" w:type="dxa"/>
            <w:tcBorders>
              <w:top w:val="single" w:color="auto" w:sz="4" w:space="0"/>
              <w:left w:val="single" w:color="auto" w:sz="4" w:space="0"/>
              <w:bottom w:val="single" w:color="auto" w:sz="4" w:space="0"/>
              <w:right w:val="single" w:color="auto" w:sz="12" w:space="0"/>
            </w:tcBorders>
            <w:noWrap/>
          </w:tcPr>
          <w:p w14:paraId="2E57F9AB">
            <w:pPr>
              <w:pStyle w:val="2"/>
              <w:spacing w:before="0" w:line="420" w:lineRule="exact"/>
              <w:rPr>
                <w:rFonts w:ascii="仿宋_GB2312" w:hAnsi="仿宋_GB2312" w:eastAsia="仿宋_GB2312" w:cs="仿宋_GB2312"/>
                <w:color w:val="000000" w:themeColor="text1"/>
                <w:kern w:val="2"/>
              </w:rPr>
            </w:pPr>
          </w:p>
        </w:tc>
      </w:tr>
      <w:tr w14:paraId="3D66CC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01B4874C">
            <w:pPr>
              <w:pStyle w:val="2"/>
              <w:spacing w:before="0" w:line="420" w:lineRule="exact"/>
              <w:rPr>
                <w:rFonts w:ascii="仿宋_GB2312" w:hAnsi="仿宋_GB2312" w:eastAsia="仿宋_GB2312" w:cs="仿宋_GB2312"/>
                <w:color w:val="000000" w:themeColor="text1"/>
                <w:kern w:val="2"/>
              </w:rPr>
            </w:pPr>
          </w:p>
        </w:tc>
        <w:tc>
          <w:tcPr>
            <w:tcW w:w="1333" w:type="dxa"/>
            <w:tcBorders>
              <w:top w:val="single" w:color="auto" w:sz="4" w:space="0"/>
              <w:left w:val="single" w:color="auto" w:sz="4" w:space="0"/>
              <w:bottom w:val="single" w:color="auto" w:sz="4" w:space="0"/>
              <w:right w:val="single" w:color="auto" w:sz="4" w:space="0"/>
            </w:tcBorders>
            <w:noWrap/>
          </w:tcPr>
          <w:p w14:paraId="6CC4D443">
            <w:pPr>
              <w:pStyle w:val="2"/>
              <w:spacing w:before="0" w:line="420" w:lineRule="exact"/>
              <w:rPr>
                <w:rFonts w:ascii="仿宋_GB2312" w:hAnsi="仿宋_GB2312" w:eastAsia="仿宋_GB2312" w:cs="仿宋_GB2312"/>
                <w:color w:val="000000" w:themeColor="text1"/>
                <w:kern w:val="2"/>
              </w:rPr>
            </w:pPr>
          </w:p>
        </w:tc>
        <w:tc>
          <w:tcPr>
            <w:tcW w:w="761" w:type="dxa"/>
            <w:tcBorders>
              <w:top w:val="single" w:color="auto" w:sz="4" w:space="0"/>
              <w:left w:val="single" w:color="auto" w:sz="4" w:space="0"/>
              <w:bottom w:val="single" w:color="auto" w:sz="4" w:space="0"/>
              <w:right w:val="single" w:color="auto" w:sz="4" w:space="0"/>
            </w:tcBorders>
            <w:noWrap/>
          </w:tcPr>
          <w:p w14:paraId="4F314E42">
            <w:pPr>
              <w:pStyle w:val="2"/>
              <w:spacing w:before="0" w:line="420" w:lineRule="exact"/>
              <w:rPr>
                <w:rFonts w:ascii="仿宋_GB2312" w:hAnsi="仿宋_GB2312" w:eastAsia="仿宋_GB2312" w:cs="仿宋_GB2312"/>
                <w:color w:val="000000" w:themeColor="text1"/>
                <w:kern w:val="2"/>
              </w:rPr>
            </w:pPr>
          </w:p>
        </w:tc>
        <w:tc>
          <w:tcPr>
            <w:tcW w:w="1481" w:type="dxa"/>
            <w:tcBorders>
              <w:top w:val="single" w:color="auto" w:sz="4" w:space="0"/>
              <w:left w:val="single" w:color="auto" w:sz="4" w:space="0"/>
              <w:bottom w:val="single" w:color="auto" w:sz="4" w:space="0"/>
              <w:right w:val="single" w:color="auto" w:sz="4" w:space="0"/>
            </w:tcBorders>
            <w:noWrap/>
          </w:tcPr>
          <w:p w14:paraId="31B1E28E">
            <w:pPr>
              <w:pStyle w:val="2"/>
              <w:spacing w:before="0" w:line="420" w:lineRule="exact"/>
              <w:rPr>
                <w:rFonts w:ascii="仿宋_GB2312" w:hAnsi="仿宋_GB2312" w:eastAsia="仿宋_GB2312" w:cs="仿宋_GB2312"/>
                <w:color w:val="000000" w:themeColor="text1"/>
                <w:kern w:val="2"/>
              </w:rPr>
            </w:pPr>
          </w:p>
        </w:tc>
        <w:tc>
          <w:tcPr>
            <w:tcW w:w="531" w:type="dxa"/>
            <w:tcBorders>
              <w:top w:val="single" w:color="auto" w:sz="4" w:space="0"/>
              <w:left w:val="single" w:color="auto" w:sz="4" w:space="0"/>
              <w:bottom w:val="single" w:color="auto" w:sz="4" w:space="0"/>
              <w:right w:val="single" w:color="auto" w:sz="4" w:space="0"/>
            </w:tcBorders>
            <w:noWrap/>
          </w:tcPr>
          <w:p w14:paraId="62B24E1A">
            <w:pPr>
              <w:pStyle w:val="2"/>
              <w:spacing w:before="0" w:line="420" w:lineRule="exact"/>
              <w:rPr>
                <w:rFonts w:ascii="仿宋_GB2312" w:hAnsi="仿宋_GB2312" w:eastAsia="仿宋_GB2312" w:cs="仿宋_GB2312"/>
                <w:color w:val="000000" w:themeColor="text1"/>
                <w:kern w:val="2"/>
              </w:rPr>
            </w:pPr>
          </w:p>
        </w:tc>
        <w:tc>
          <w:tcPr>
            <w:tcW w:w="717" w:type="dxa"/>
            <w:tcBorders>
              <w:top w:val="single" w:color="auto" w:sz="4" w:space="0"/>
              <w:left w:val="single" w:color="auto" w:sz="4" w:space="0"/>
              <w:bottom w:val="single" w:color="auto" w:sz="4" w:space="0"/>
              <w:right w:val="single" w:color="auto" w:sz="4" w:space="0"/>
            </w:tcBorders>
            <w:noWrap/>
          </w:tcPr>
          <w:p w14:paraId="40F5E38D">
            <w:pPr>
              <w:pStyle w:val="2"/>
              <w:spacing w:before="0" w:line="420" w:lineRule="exact"/>
              <w:rPr>
                <w:rFonts w:ascii="仿宋_GB2312" w:hAnsi="仿宋_GB2312" w:eastAsia="仿宋_GB2312" w:cs="仿宋_GB2312"/>
                <w:color w:val="000000" w:themeColor="text1"/>
                <w:kern w:val="2"/>
              </w:rPr>
            </w:pPr>
          </w:p>
        </w:tc>
        <w:tc>
          <w:tcPr>
            <w:tcW w:w="730" w:type="dxa"/>
            <w:tcBorders>
              <w:top w:val="single" w:color="auto" w:sz="4" w:space="0"/>
              <w:left w:val="single" w:color="auto" w:sz="4" w:space="0"/>
              <w:bottom w:val="single" w:color="auto" w:sz="4" w:space="0"/>
              <w:right w:val="single" w:color="auto" w:sz="4" w:space="0"/>
            </w:tcBorders>
            <w:noWrap/>
          </w:tcPr>
          <w:p w14:paraId="5CEF29AD">
            <w:pPr>
              <w:pStyle w:val="2"/>
              <w:spacing w:before="0" w:line="420" w:lineRule="exact"/>
              <w:rPr>
                <w:rFonts w:ascii="仿宋_GB2312" w:hAnsi="仿宋_GB2312" w:eastAsia="仿宋_GB2312" w:cs="仿宋_GB2312"/>
                <w:color w:val="000000" w:themeColor="text1"/>
                <w:kern w:val="2"/>
              </w:rPr>
            </w:pPr>
          </w:p>
        </w:tc>
        <w:tc>
          <w:tcPr>
            <w:tcW w:w="1060" w:type="dxa"/>
            <w:tcBorders>
              <w:top w:val="single" w:color="auto" w:sz="4" w:space="0"/>
              <w:left w:val="single" w:color="auto" w:sz="4" w:space="0"/>
              <w:bottom w:val="single" w:color="auto" w:sz="4" w:space="0"/>
              <w:right w:val="single" w:color="auto" w:sz="4" w:space="0"/>
            </w:tcBorders>
            <w:noWrap/>
          </w:tcPr>
          <w:p w14:paraId="24A6D9B5">
            <w:pPr>
              <w:pStyle w:val="2"/>
              <w:spacing w:before="0" w:line="420" w:lineRule="exact"/>
              <w:rPr>
                <w:rFonts w:ascii="仿宋_GB2312" w:hAnsi="仿宋_GB2312" w:eastAsia="仿宋_GB2312" w:cs="仿宋_GB2312"/>
                <w:color w:val="000000" w:themeColor="text1"/>
                <w:kern w:val="2"/>
              </w:rPr>
            </w:pPr>
          </w:p>
        </w:tc>
        <w:tc>
          <w:tcPr>
            <w:tcW w:w="1461" w:type="dxa"/>
            <w:tcBorders>
              <w:top w:val="single" w:color="auto" w:sz="4" w:space="0"/>
              <w:left w:val="single" w:color="auto" w:sz="4" w:space="0"/>
              <w:bottom w:val="single" w:color="auto" w:sz="4" w:space="0"/>
              <w:right w:val="single" w:color="auto" w:sz="12" w:space="0"/>
            </w:tcBorders>
            <w:noWrap/>
          </w:tcPr>
          <w:p w14:paraId="41778172">
            <w:pPr>
              <w:pStyle w:val="2"/>
              <w:spacing w:before="0" w:line="420" w:lineRule="exact"/>
              <w:rPr>
                <w:rFonts w:ascii="仿宋_GB2312" w:hAnsi="仿宋_GB2312" w:eastAsia="仿宋_GB2312" w:cs="仿宋_GB2312"/>
                <w:color w:val="000000" w:themeColor="text1"/>
                <w:kern w:val="2"/>
              </w:rPr>
            </w:pPr>
          </w:p>
        </w:tc>
      </w:tr>
      <w:tr w14:paraId="6F6D12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285BB6F8">
            <w:pPr>
              <w:pStyle w:val="2"/>
              <w:spacing w:before="0" w:line="420" w:lineRule="exact"/>
              <w:rPr>
                <w:rFonts w:ascii="仿宋_GB2312" w:hAnsi="仿宋_GB2312" w:eastAsia="仿宋_GB2312" w:cs="仿宋_GB2312"/>
                <w:color w:val="000000" w:themeColor="text1"/>
                <w:kern w:val="2"/>
              </w:rPr>
            </w:pPr>
          </w:p>
        </w:tc>
        <w:tc>
          <w:tcPr>
            <w:tcW w:w="1333" w:type="dxa"/>
            <w:tcBorders>
              <w:top w:val="single" w:color="auto" w:sz="4" w:space="0"/>
              <w:left w:val="single" w:color="auto" w:sz="4" w:space="0"/>
              <w:bottom w:val="single" w:color="auto" w:sz="4" w:space="0"/>
              <w:right w:val="single" w:color="auto" w:sz="4" w:space="0"/>
            </w:tcBorders>
            <w:noWrap/>
          </w:tcPr>
          <w:p w14:paraId="500147CF">
            <w:pPr>
              <w:pStyle w:val="2"/>
              <w:spacing w:before="0" w:line="420" w:lineRule="exact"/>
              <w:rPr>
                <w:rFonts w:ascii="仿宋_GB2312" w:hAnsi="仿宋_GB2312" w:eastAsia="仿宋_GB2312" w:cs="仿宋_GB2312"/>
                <w:color w:val="000000" w:themeColor="text1"/>
                <w:kern w:val="2"/>
              </w:rPr>
            </w:pPr>
          </w:p>
        </w:tc>
        <w:tc>
          <w:tcPr>
            <w:tcW w:w="761" w:type="dxa"/>
            <w:tcBorders>
              <w:top w:val="single" w:color="auto" w:sz="4" w:space="0"/>
              <w:left w:val="single" w:color="auto" w:sz="4" w:space="0"/>
              <w:bottom w:val="single" w:color="auto" w:sz="4" w:space="0"/>
              <w:right w:val="single" w:color="auto" w:sz="4" w:space="0"/>
            </w:tcBorders>
            <w:noWrap/>
          </w:tcPr>
          <w:p w14:paraId="1F0FD721">
            <w:pPr>
              <w:pStyle w:val="2"/>
              <w:spacing w:before="0" w:line="420" w:lineRule="exact"/>
              <w:rPr>
                <w:rFonts w:ascii="仿宋_GB2312" w:hAnsi="仿宋_GB2312" w:eastAsia="仿宋_GB2312" w:cs="仿宋_GB2312"/>
                <w:color w:val="000000" w:themeColor="text1"/>
                <w:kern w:val="2"/>
              </w:rPr>
            </w:pPr>
          </w:p>
        </w:tc>
        <w:tc>
          <w:tcPr>
            <w:tcW w:w="1481" w:type="dxa"/>
            <w:tcBorders>
              <w:top w:val="single" w:color="auto" w:sz="4" w:space="0"/>
              <w:left w:val="single" w:color="auto" w:sz="4" w:space="0"/>
              <w:bottom w:val="single" w:color="auto" w:sz="4" w:space="0"/>
              <w:right w:val="single" w:color="auto" w:sz="4" w:space="0"/>
            </w:tcBorders>
            <w:noWrap/>
          </w:tcPr>
          <w:p w14:paraId="59DD6853">
            <w:pPr>
              <w:pStyle w:val="2"/>
              <w:spacing w:before="0" w:line="420" w:lineRule="exact"/>
              <w:rPr>
                <w:rFonts w:ascii="仿宋_GB2312" w:hAnsi="仿宋_GB2312" w:eastAsia="仿宋_GB2312" w:cs="仿宋_GB2312"/>
                <w:color w:val="000000" w:themeColor="text1"/>
                <w:kern w:val="2"/>
              </w:rPr>
            </w:pPr>
          </w:p>
        </w:tc>
        <w:tc>
          <w:tcPr>
            <w:tcW w:w="531" w:type="dxa"/>
            <w:tcBorders>
              <w:top w:val="single" w:color="auto" w:sz="4" w:space="0"/>
              <w:left w:val="single" w:color="auto" w:sz="4" w:space="0"/>
              <w:bottom w:val="single" w:color="auto" w:sz="4" w:space="0"/>
              <w:right w:val="single" w:color="auto" w:sz="4" w:space="0"/>
            </w:tcBorders>
            <w:noWrap/>
          </w:tcPr>
          <w:p w14:paraId="58299588">
            <w:pPr>
              <w:pStyle w:val="2"/>
              <w:spacing w:before="0" w:line="420" w:lineRule="exact"/>
              <w:rPr>
                <w:rFonts w:ascii="仿宋_GB2312" w:hAnsi="仿宋_GB2312" w:eastAsia="仿宋_GB2312" w:cs="仿宋_GB2312"/>
                <w:color w:val="000000" w:themeColor="text1"/>
                <w:kern w:val="2"/>
              </w:rPr>
            </w:pPr>
          </w:p>
        </w:tc>
        <w:tc>
          <w:tcPr>
            <w:tcW w:w="717" w:type="dxa"/>
            <w:tcBorders>
              <w:top w:val="single" w:color="auto" w:sz="4" w:space="0"/>
              <w:left w:val="single" w:color="auto" w:sz="4" w:space="0"/>
              <w:bottom w:val="single" w:color="auto" w:sz="4" w:space="0"/>
              <w:right w:val="single" w:color="auto" w:sz="4" w:space="0"/>
            </w:tcBorders>
            <w:noWrap/>
          </w:tcPr>
          <w:p w14:paraId="7E26EB2A">
            <w:pPr>
              <w:pStyle w:val="2"/>
              <w:spacing w:before="0" w:line="420" w:lineRule="exact"/>
              <w:rPr>
                <w:rFonts w:ascii="仿宋_GB2312" w:hAnsi="仿宋_GB2312" w:eastAsia="仿宋_GB2312" w:cs="仿宋_GB2312"/>
                <w:color w:val="000000" w:themeColor="text1"/>
                <w:kern w:val="2"/>
              </w:rPr>
            </w:pPr>
          </w:p>
        </w:tc>
        <w:tc>
          <w:tcPr>
            <w:tcW w:w="730" w:type="dxa"/>
            <w:tcBorders>
              <w:top w:val="single" w:color="auto" w:sz="4" w:space="0"/>
              <w:left w:val="single" w:color="auto" w:sz="4" w:space="0"/>
              <w:bottom w:val="single" w:color="auto" w:sz="4" w:space="0"/>
              <w:right w:val="single" w:color="auto" w:sz="4" w:space="0"/>
            </w:tcBorders>
            <w:noWrap/>
          </w:tcPr>
          <w:p w14:paraId="1456451E">
            <w:pPr>
              <w:pStyle w:val="2"/>
              <w:spacing w:before="0" w:line="420" w:lineRule="exact"/>
              <w:rPr>
                <w:rFonts w:ascii="仿宋_GB2312" w:hAnsi="仿宋_GB2312" w:eastAsia="仿宋_GB2312" w:cs="仿宋_GB2312"/>
                <w:color w:val="000000" w:themeColor="text1"/>
                <w:kern w:val="2"/>
              </w:rPr>
            </w:pPr>
          </w:p>
        </w:tc>
        <w:tc>
          <w:tcPr>
            <w:tcW w:w="1060" w:type="dxa"/>
            <w:tcBorders>
              <w:top w:val="single" w:color="auto" w:sz="4" w:space="0"/>
              <w:left w:val="single" w:color="auto" w:sz="4" w:space="0"/>
              <w:bottom w:val="single" w:color="auto" w:sz="4" w:space="0"/>
              <w:right w:val="single" w:color="auto" w:sz="4" w:space="0"/>
            </w:tcBorders>
            <w:noWrap/>
          </w:tcPr>
          <w:p w14:paraId="717E0A96">
            <w:pPr>
              <w:pStyle w:val="2"/>
              <w:spacing w:before="0" w:line="420" w:lineRule="exact"/>
              <w:rPr>
                <w:rFonts w:ascii="仿宋_GB2312" w:hAnsi="仿宋_GB2312" w:eastAsia="仿宋_GB2312" w:cs="仿宋_GB2312"/>
                <w:color w:val="000000" w:themeColor="text1"/>
                <w:kern w:val="2"/>
              </w:rPr>
            </w:pPr>
          </w:p>
        </w:tc>
        <w:tc>
          <w:tcPr>
            <w:tcW w:w="1461" w:type="dxa"/>
            <w:tcBorders>
              <w:top w:val="single" w:color="auto" w:sz="4" w:space="0"/>
              <w:left w:val="single" w:color="auto" w:sz="4" w:space="0"/>
              <w:bottom w:val="single" w:color="auto" w:sz="4" w:space="0"/>
              <w:right w:val="single" w:color="auto" w:sz="12" w:space="0"/>
            </w:tcBorders>
            <w:noWrap/>
          </w:tcPr>
          <w:p w14:paraId="192B194C">
            <w:pPr>
              <w:pStyle w:val="2"/>
              <w:spacing w:before="0" w:line="420" w:lineRule="exact"/>
              <w:rPr>
                <w:rFonts w:ascii="仿宋_GB2312" w:hAnsi="仿宋_GB2312" w:eastAsia="仿宋_GB2312" w:cs="仿宋_GB2312"/>
                <w:color w:val="000000" w:themeColor="text1"/>
                <w:kern w:val="2"/>
              </w:rPr>
            </w:pPr>
          </w:p>
        </w:tc>
      </w:tr>
      <w:tr w14:paraId="20B8B6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4" w:space="0"/>
              <w:right w:val="single" w:color="auto" w:sz="4" w:space="0"/>
            </w:tcBorders>
            <w:noWrap/>
          </w:tcPr>
          <w:p w14:paraId="093EDF9E">
            <w:pPr>
              <w:pStyle w:val="2"/>
              <w:spacing w:before="0" w:line="420" w:lineRule="exact"/>
              <w:rPr>
                <w:rFonts w:ascii="仿宋_GB2312" w:hAnsi="仿宋_GB2312" w:eastAsia="仿宋_GB2312" w:cs="仿宋_GB2312"/>
                <w:color w:val="000000" w:themeColor="text1"/>
                <w:kern w:val="2"/>
              </w:rPr>
            </w:pPr>
          </w:p>
        </w:tc>
        <w:tc>
          <w:tcPr>
            <w:tcW w:w="1333" w:type="dxa"/>
            <w:tcBorders>
              <w:top w:val="single" w:color="auto" w:sz="4" w:space="0"/>
              <w:left w:val="single" w:color="auto" w:sz="4" w:space="0"/>
              <w:bottom w:val="single" w:color="auto" w:sz="4" w:space="0"/>
              <w:right w:val="single" w:color="auto" w:sz="4" w:space="0"/>
            </w:tcBorders>
            <w:noWrap/>
          </w:tcPr>
          <w:p w14:paraId="1F71638A">
            <w:pPr>
              <w:pStyle w:val="2"/>
              <w:spacing w:before="0" w:line="420" w:lineRule="exact"/>
              <w:rPr>
                <w:rFonts w:ascii="仿宋_GB2312" w:hAnsi="仿宋_GB2312" w:eastAsia="仿宋_GB2312" w:cs="仿宋_GB2312"/>
                <w:color w:val="000000" w:themeColor="text1"/>
                <w:kern w:val="2"/>
              </w:rPr>
            </w:pPr>
          </w:p>
        </w:tc>
        <w:tc>
          <w:tcPr>
            <w:tcW w:w="761" w:type="dxa"/>
            <w:tcBorders>
              <w:top w:val="single" w:color="auto" w:sz="4" w:space="0"/>
              <w:left w:val="single" w:color="auto" w:sz="4" w:space="0"/>
              <w:bottom w:val="single" w:color="auto" w:sz="4" w:space="0"/>
              <w:right w:val="single" w:color="auto" w:sz="4" w:space="0"/>
            </w:tcBorders>
            <w:noWrap/>
          </w:tcPr>
          <w:p w14:paraId="72DAED17">
            <w:pPr>
              <w:pStyle w:val="2"/>
              <w:spacing w:before="0" w:line="420" w:lineRule="exact"/>
              <w:rPr>
                <w:rFonts w:ascii="仿宋_GB2312" w:hAnsi="仿宋_GB2312" w:eastAsia="仿宋_GB2312" w:cs="仿宋_GB2312"/>
                <w:color w:val="000000" w:themeColor="text1"/>
                <w:kern w:val="2"/>
              </w:rPr>
            </w:pPr>
          </w:p>
        </w:tc>
        <w:tc>
          <w:tcPr>
            <w:tcW w:w="1481" w:type="dxa"/>
            <w:tcBorders>
              <w:top w:val="single" w:color="auto" w:sz="4" w:space="0"/>
              <w:left w:val="single" w:color="auto" w:sz="4" w:space="0"/>
              <w:bottom w:val="single" w:color="auto" w:sz="4" w:space="0"/>
              <w:right w:val="single" w:color="auto" w:sz="4" w:space="0"/>
            </w:tcBorders>
            <w:noWrap/>
          </w:tcPr>
          <w:p w14:paraId="3146A14D">
            <w:pPr>
              <w:pStyle w:val="2"/>
              <w:spacing w:before="0" w:line="420" w:lineRule="exact"/>
              <w:rPr>
                <w:rFonts w:ascii="仿宋_GB2312" w:hAnsi="仿宋_GB2312" w:eastAsia="仿宋_GB2312" w:cs="仿宋_GB2312"/>
                <w:color w:val="000000" w:themeColor="text1"/>
                <w:kern w:val="2"/>
              </w:rPr>
            </w:pPr>
          </w:p>
        </w:tc>
        <w:tc>
          <w:tcPr>
            <w:tcW w:w="531" w:type="dxa"/>
            <w:tcBorders>
              <w:top w:val="single" w:color="auto" w:sz="4" w:space="0"/>
              <w:left w:val="single" w:color="auto" w:sz="4" w:space="0"/>
              <w:bottom w:val="single" w:color="auto" w:sz="4" w:space="0"/>
              <w:right w:val="single" w:color="auto" w:sz="4" w:space="0"/>
            </w:tcBorders>
            <w:noWrap/>
          </w:tcPr>
          <w:p w14:paraId="1CEE0DF0">
            <w:pPr>
              <w:pStyle w:val="2"/>
              <w:spacing w:before="0" w:line="420" w:lineRule="exact"/>
              <w:rPr>
                <w:rFonts w:ascii="仿宋_GB2312" w:hAnsi="仿宋_GB2312" w:eastAsia="仿宋_GB2312" w:cs="仿宋_GB2312"/>
                <w:color w:val="000000" w:themeColor="text1"/>
                <w:kern w:val="2"/>
              </w:rPr>
            </w:pPr>
          </w:p>
        </w:tc>
        <w:tc>
          <w:tcPr>
            <w:tcW w:w="717" w:type="dxa"/>
            <w:tcBorders>
              <w:top w:val="single" w:color="auto" w:sz="4" w:space="0"/>
              <w:left w:val="single" w:color="auto" w:sz="4" w:space="0"/>
              <w:bottom w:val="single" w:color="auto" w:sz="4" w:space="0"/>
              <w:right w:val="single" w:color="auto" w:sz="4" w:space="0"/>
            </w:tcBorders>
            <w:noWrap/>
          </w:tcPr>
          <w:p w14:paraId="7D4C5A7E">
            <w:pPr>
              <w:pStyle w:val="2"/>
              <w:spacing w:before="0" w:line="420" w:lineRule="exact"/>
              <w:rPr>
                <w:rFonts w:ascii="仿宋_GB2312" w:hAnsi="仿宋_GB2312" w:eastAsia="仿宋_GB2312" w:cs="仿宋_GB2312"/>
                <w:color w:val="000000" w:themeColor="text1"/>
                <w:kern w:val="2"/>
              </w:rPr>
            </w:pPr>
          </w:p>
        </w:tc>
        <w:tc>
          <w:tcPr>
            <w:tcW w:w="730" w:type="dxa"/>
            <w:tcBorders>
              <w:top w:val="single" w:color="auto" w:sz="4" w:space="0"/>
              <w:left w:val="single" w:color="auto" w:sz="4" w:space="0"/>
              <w:bottom w:val="single" w:color="auto" w:sz="4" w:space="0"/>
              <w:right w:val="single" w:color="auto" w:sz="4" w:space="0"/>
            </w:tcBorders>
            <w:noWrap/>
          </w:tcPr>
          <w:p w14:paraId="1B9F52FB">
            <w:pPr>
              <w:pStyle w:val="2"/>
              <w:spacing w:before="0" w:line="420" w:lineRule="exact"/>
              <w:rPr>
                <w:rFonts w:ascii="仿宋_GB2312" w:hAnsi="仿宋_GB2312" w:eastAsia="仿宋_GB2312" w:cs="仿宋_GB2312"/>
                <w:color w:val="000000" w:themeColor="text1"/>
                <w:kern w:val="2"/>
              </w:rPr>
            </w:pPr>
          </w:p>
        </w:tc>
        <w:tc>
          <w:tcPr>
            <w:tcW w:w="1060" w:type="dxa"/>
            <w:tcBorders>
              <w:top w:val="single" w:color="auto" w:sz="4" w:space="0"/>
              <w:left w:val="single" w:color="auto" w:sz="4" w:space="0"/>
              <w:bottom w:val="single" w:color="auto" w:sz="4" w:space="0"/>
              <w:right w:val="single" w:color="auto" w:sz="4" w:space="0"/>
            </w:tcBorders>
            <w:noWrap/>
          </w:tcPr>
          <w:p w14:paraId="0C7C647F">
            <w:pPr>
              <w:pStyle w:val="2"/>
              <w:spacing w:before="0" w:line="420" w:lineRule="exact"/>
              <w:rPr>
                <w:rFonts w:ascii="仿宋_GB2312" w:hAnsi="仿宋_GB2312" w:eastAsia="仿宋_GB2312" w:cs="仿宋_GB2312"/>
                <w:color w:val="000000" w:themeColor="text1"/>
                <w:kern w:val="2"/>
              </w:rPr>
            </w:pPr>
          </w:p>
        </w:tc>
        <w:tc>
          <w:tcPr>
            <w:tcW w:w="1461" w:type="dxa"/>
            <w:tcBorders>
              <w:top w:val="single" w:color="auto" w:sz="4" w:space="0"/>
              <w:left w:val="single" w:color="auto" w:sz="4" w:space="0"/>
              <w:bottom w:val="single" w:color="auto" w:sz="4" w:space="0"/>
              <w:right w:val="single" w:color="auto" w:sz="12" w:space="0"/>
            </w:tcBorders>
            <w:noWrap/>
          </w:tcPr>
          <w:p w14:paraId="582D71FA">
            <w:pPr>
              <w:pStyle w:val="2"/>
              <w:spacing w:before="0" w:line="420" w:lineRule="exact"/>
              <w:rPr>
                <w:rFonts w:ascii="仿宋_GB2312" w:hAnsi="仿宋_GB2312" w:eastAsia="仿宋_GB2312" w:cs="仿宋_GB2312"/>
                <w:color w:val="000000" w:themeColor="text1"/>
                <w:kern w:val="2"/>
              </w:rPr>
            </w:pPr>
          </w:p>
        </w:tc>
      </w:tr>
      <w:tr w14:paraId="51749B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12" w:space="0"/>
              <w:bottom w:val="single" w:color="auto" w:sz="12" w:space="0"/>
              <w:right w:val="single" w:color="auto" w:sz="4" w:space="0"/>
            </w:tcBorders>
            <w:noWrap/>
          </w:tcPr>
          <w:p w14:paraId="55A16106">
            <w:pPr>
              <w:pStyle w:val="2"/>
              <w:spacing w:before="0" w:line="420" w:lineRule="exact"/>
              <w:rPr>
                <w:rFonts w:ascii="仿宋_GB2312" w:hAnsi="仿宋_GB2312" w:eastAsia="仿宋_GB2312" w:cs="仿宋_GB2312"/>
                <w:color w:val="000000" w:themeColor="text1"/>
                <w:kern w:val="2"/>
              </w:rPr>
            </w:pPr>
          </w:p>
        </w:tc>
        <w:tc>
          <w:tcPr>
            <w:tcW w:w="1333" w:type="dxa"/>
            <w:tcBorders>
              <w:top w:val="single" w:color="auto" w:sz="4" w:space="0"/>
              <w:left w:val="single" w:color="auto" w:sz="4" w:space="0"/>
              <w:bottom w:val="single" w:color="auto" w:sz="12" w:space="0"/>
              <w:right w:val="single" w:color="auto" w:sz="4" w:space="0"/>
            </w:tcBorders>
            <w:noWrap/>
            <w:vAlign w:val="center"/>
          </w:tcPr>
          <w:p w14:paraId="1742F25C">
            <w:pPr>
              <w:pStyle w:val="2"/>
              <w:spacing w:before="0" w:line="420" w:lineRule="exact"/>
              <w:ind w:firstLine="472" w:firstLineChars="147"/>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合计</w:t>
            </w:r>
          </w:p>
        </w:tc>
        <w:tc>
          <w:tcPr>
            <w:tcW w:w="4220" w:type="dxa"/>
            <w:gridSpan w:val="5"/>
            <w:tcBorders>
              <w:top w:val="single" w:color="auto" w:sz="4" w:space="0"/>
              <w:left w:val="single" w:color="auto" w:sz="4" w:space="0"/>
              <w:bottom w:val="single" w:color="auto" w:sz="12" w:space="0"/>
              <w:right w:val="single" w:color="auto" w:sz="4" w:space="0"/>
            </w:tcBorders>
            <w:noWrap/>
            <w:vAlign w:val="center"/>
          </w:tcPr>
          <w:p w14:paraId="7A12885E">
            <w:pPr>
              <w:pStyle w:val="2"/>
              <w:spacing w:before="0" w:line="420" w:lineRule="exact"/>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大写</w:t>
            </w:r>
          </w:p>
        </w:tc>
        <w:tc>
          <w:tcPr>
            <w:tcW w:w="2521" w:type="dxa"/>
            <w:gridSpan w:val="2"/>
            <w:tcBorders>
              <w:top w:val="single" w:color="auto" w:sz="4" w:space="0"/>
              <w:left w:val="single" w:color="auto" w:sz="4" w:space="0"/>
              <w:bottom w:val="single" w:color="auto" w:sz="12" w:space="0"/>
              <w:right w:val="single" w:color="auto" w:sz="12" w:space="0"/>
            </w:tcBorders>
            <w:noWrap/>
            <w:vAlign w:val="center"/>
          </w:tcPr>
          <w:p w14:paraId="01F39CB1">
            <w:pPr>
              <w:pStyle w:val="2"/>
              <w:spacing w:before="0" w:line="420" w:lineRule="exact"/>
              <w:rPr>
                <w:rFonts w:ascii="仿宋_GB2312" w:hAnsi="仿宋_GB2312" w:eastAsia="仿宋_GB2312" w:cs="仿宋_GB2312"/>
                <w:color w:val="000000" w:themeColor="text1"/>
                <w:kern w:val="2"/>
              </w:rPr>
            </w:pPr>
            <w:r>
              <w:rPr>
                <w:rFonts w:hint="eastAsia" w:ascii="仿宋_GB2312" w:hAnsi="仿宋_GB2312" w:eastAsia="仿宋_GB2312" w:cs="仿宋_GB2312"/>
                <w:color w:val="000000" w:themeColor="text1"/>
                <w:kern w:val="2"/>
              </w:rPr>
              <w:t>￥</w:t>
            </w:r>
          </w:p>
        </w:tc>
      </w:tr>
    </w:tbl>
    <w:p w14:paraId="5306BE74">
      <w:pPr>
        <w:pStyle w:val="2"/>
        <w:spacing w:before="0" w:line="540" w:lineRule="exact"/>
        <w:ind w:firstLine="643" w:firstLineChars="200"/>
        <w:rPr>
          <w:rFonts w:ascii="仿宋_GB2312" w:hAnsi="仿宋_GB2312" w:eastAsia="仿宋_GB2312" w:cs="仿宋_GB2312"/>
          <w:color w:val="000000" w:themeColor="text1"/>
        </w:rPr>
      </w:pPr>
      <w:r>
        <w:rPr>
          <w:rFonts w:hint="eastAsia" w:ascii="仿宋_GB2312" w:hAnsi="仿宋_GB2312" w:eastAsia="仿宋_GB2312" w:cs="仿宋_GB2312"/>
          <w:color w:val="000000" w:themeColor="text1"/>
        </w:rPr>
        <w:t>第二条 合同价款</w:t>
      </w:r>
    </w:p>
    <w:p w14:paraId="62225C57">
      <w:pPr>
        <w:pStyle w:val="2"/>
        <w:spacing w:before="0" w:line="540" w:lineRule="exact"/>
        <w:ind w:firstLine="627" w:firstLineChars="196"/>
        <w:rPr>
          <w:rFonts w:ascii="仿宋_GB2312" w:hAnsi="仿宋_GB2312" w:eastAsia="仿宋_GB2312" w:cs="仿宋_GB2312"/>
          <w:b w:val="0"/>
          <w:color w:val="000000" w:themeColor="text1"/>
          <w:lang w:eastAsia="zh-CN"/>
        </w:rPr>
      </w:pPr>
      <w:r>
        <w:rPr>
          <w:rFonts w:hint="eastAsia" w:ascii="仿宋_GB2312" w:hAnsi="仿宋_GB2312" w:eastAsia="仿宋_GB2312" w:cs="仿宋_GB2312"/>
          <w:b w:val="0"/>
          <w:color w:val="000000" w:themeColor="text1"/>
          <w:lang w:eastAsia="zh-CN"/>
        </w:rPr>
        <w:t>1、合同总价为人民币大写：  元， RMB￥   元。</w:t>
      </w:r>
    </w:p>
    <w:p w14:paraId="0E45E9A4">
      <w:pPr>
        <w:pStyle w:val="2"/>
        <w:spacing w:before="0" w:line="540" w:lineRule="exact"/>
        <w:ind w:firstLine="627" w:firstLineChars="196"/>
        <w:rPr>
          <w:rFonts w:ascii="仿宋_GB2312" w:hAnsi="仿宋_GB2312" w:eastAsia="仿宋_GB2312" w:cs="仿宋_GB2312"/>
          <w:b w:val="0"/>
          <w:color w:val="000000" w:themeColor="text1"/>
          <w:lang w:eastAsia="zh-CN"/>
        </w:rPr>
      </w:pPr>
      <w:r>
        <w:rPr>
          <w:rFonts w:hint="eastAsia" w:ascii="仿宋_GB2312" w:hAnsi="仿宋_GB2312" w:eastAsia="仿宋_GB2312" w:cs="仿宋_GB2312"/>
          <w:b w:val="0"/>
          <w:color w:val="000000" w:themeColor="text1"/>
          <w:lang w:eastAsia="zh-CN"/>
        </w:rPr>
        <w:t>2、本合同总价是货物（产品）设计、材料、制造、包装、运输、安装、调试、检测、验收合格交付使用之前及保修期内保修服务与备用物件等其他有关各项的含税费用。</w:t>
      </w:r>
    </w:p>
    <w:p w14:paraId="6E3E2B6B">
      <w:pPr>
        <w:pStyle w:val="2"/>
        <w:spacing w:before="0" w:line="540" w:lineRule="exact"/>
        <w:ind w:firstLine="627" w:firstLineChars="196"/>
        <w:rPr>
          <w:rFonts w:ascii="仿宋_GB2312" w:hAnsi="仿宋_GB2312" w:eastAsia="仿宋_GB2312" w:cs="仿宋_GB2312"/>
          <w:b w:val="0"/>
          <w:color w:val="000000" w:themeColor="text1"/>
          <w:lang w:eastAsia="zh-CN"/>
        </w:rPr>
      </w:pPr>
      <w:r>
        <w:rPr>
          <w:rFonts w:hint="eastAsia" w:ascii="仿宋_GB2312" w:hAnsi="仿宋_GB2312" w:eastAsia="仿宋_GB2312" w:cs="仿宋_GB2312"/>
          <w:b w:val="0"/>
          <w:color w:val="000000" w:themeColor="text1"/>
          <w:lang w:eastAsia="zh-CN"/>
        </w:rPr>
        <w:t>3、本合同总价还包含乙方应当提供的伴随服务和售后服务费用。</w:t>
      </w:r>
    </w:p>
    <w:p w14:paraId="418228B3">
      <w:pPr>
        <w:pStyle w:val="2"/>
        <w:spacing w:before="0" w:line="540" w:lineRule="exact"/>
        <w:ind w:firstLine="627" w:firstLineChars="196"/>
        <w:rPr>
          <w:rFonts w:ascii="仿宋_GB2312" w:hAnsi="仿宋_GB2312" w:eastAsia="仿宋_GB2312" w:cs="仿宋_GB2312"/>
          <w:b w:val="0"/>
          <w:color w:val="000000" w:themeColor="text1"/>
          <w:lang w:eastAsia="zh-CN"/>
        </w:rPr>
      </w:pPr>
      <w:r>
        <w:rPr>
          <w:rFonts w:hint="eastAsia" w:ascii="仿宋_GB2312" w:hAnsi="仿宋_GB2312" w:eastAsia="仿宋_GB2312" w:cs="仿宋_GB2312"/>
          <w:b w:val="0"/>
          <w:color w:val="000000" w:themeColor="text1"/>
          <w:lang w:eastAsia="zh-CN"/>
        </w:rPr>
        <w:t>4、本合同执行期间合同总价不变，甲方无须另向乙方支付本合同规定之外的其他任何费用。</w:t>
      </w:r>
    </w:p>
    <w:p w14:paraId="3FB14E9F">
      <w:pPr>
        <w:pStyle w:val="5"/>
        <w:spacing w:line="540" w:lineRule="exact"/>
        <w:ind w:firstLine="643" w:firstLineChars="200"/>
        <w:rPr>
          <w:rFonts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第三条款项结算</w:t>
      </w:r>
    </w:p>
    <w:p w14:paraId="61E1AD55">
      <w:pPr>
        <w:pStyle w:val="2"/>
        <w:spacing w:before="0" w:line="540" w:lineRule="exact"/>
        <w:ind w:firstLine="627" w:firstLineChars="196"/>
        <w:rPr>
          <w:rFonts w:ascii="仿宋_GB2312" w:hAnsi="仿宋_GB2312" w:eastAsia="仿宋_GB2312" w:cs="仿宋_GB2312"/>
          <w:b w:val="0"/>
          <w:color w:val="000000" w:themeColor="text1"/>
          <w:lang w:eastAsia="zh-CN"/>
        </w:rPr>
      </w:pPr>
      <w:r>
        <w:rPr>
          <w:rFonts w:hint="eastAsia" w:ascii="仿宋_GB2312" w:hAnsi="仿宋_GB2312" w:eastAsia="仿宋_GB2312" w:cs="仿宋_GB2312"/>
          <w:b w:val="0"/>
          <w:color w:val="000000" w:themeColor="text1"/>
          <w:lang w:eastAsia="zh-CN"/>
        </w:rPr>
        <w:t>1、货物（产品）交付完毕并验收合格后，且乙方向甲方开具合法有效的完税发票后，甲方向乙方支付合同总价款。（若成交供应商为符合政策要求的中小企业，则预付款40%，供货安装完成，项目经甲方验收合格后，自收到完税发票（</w:t>
      </w:r>
      <w:r>
        <w:rPr>
          <w:rFonts w:hint="eastAsia" w:ascii="仿宋_GB2312" w:hAnsi="仿宋_GB2312" w:eastAsia="仿宋_GB2312" w:cs="仿宋_GB2312"/>
          <w:b w:val="0"/>
          <w:color w:val="000000" w:themeColor="text1"/>
          <w:lang w:val="en-US" w:eastAsia="zh-CN"/>
        </w:rPr>
        <w:t>普通</w:t>
      </w:r>
      <w:r>
        <w:rPr>
          <w:rFonts w:hint="eastAsia" w:ascii="仿宋_GB2312" w:hAnsi="仿宋_GB2312" w:eastAsia="仿宋_GB2312" w:cs="仿宋_GB2312"/>
          <w:b w:val="0"/>
          <w:color w:val="000000" w:themeColor="text1"/>
          <w:lang w:eastAsia="zh-CN"/>
        </w:rPr>
        <w:t>发票）之日起 30 个工作日支付剩余合同价款）。</w:t>
      </w:r>
    </w:p>
    <w:p w14:paraId="05901DDE">
      <w:pPr>
        <w:pStyle w:val="2"/>
        <w:spacing w:before="0" w:line="540" w:lineRule="exact"/>
        <w:ind w:firstLine="627" w:firstLineChars="196"/>
        <w:rPr>
          <w:rFonts w:ascii="仿宋_GB2312" w:hAnsi="仿宋_GB2312" w:eastAsia="仿宋_GB2312" w:cs="仿宋_GB2312"/>
          <w:b w:val="0"/>
          <w:color w:val="000000" w:themeColor="text1"/>
          <w:lang w:eastAsia="zh-CN"/>
        </w:rPr>
      </w:pPr>
      <w:r>
        <w:rPr>
          <w:rFonts w:hint="eastAsia" w:ascii="仿宋_GB2312" w:hAnsi="仿宋_GB2312" w:eastAsia="仿宋_GB2312" w:cs="仿宋_GB2312"/>
          <w:b w:val="0"/>
          <w:color w:val="000000" w:themeColor="text1"/>
          <w:lang w:val="en-US" w:eastAsia="zh-CN"/>
        </w:rPr>
        <w:t>2</w:t>
      </w:r>
      <w:r>
        <w:rPr>
          <w:rFonts w:hint="eastAsia" w:ascii="仿宋_GB2312" w:hAnsi="仿宋_GB2312" w:eastAsia="仿宋_GB2312" w:cs="仿宋_GB2312"/>
          <w:b w:val="0"/>
          <w:color w:val="000000" w:themeColor="text1"/>
          <w:lang w:eastAsia="zh-CN"/>
        </w:rPr>
        <w:t>、结算方式：银行转账。</w:t>
      </w:r>
    </w:p>
    <w:p w14:paraId="6B66F304">
      <w:pPr>
        <w:pStyle w:val="5"/>
        <w:spacing w:line="540" w:lineRule="exact"/>
        <w:ind w:firstLine="643" w:firstLineChars="200"/>
        <w:rPr>
          <w:rFonts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第四条权利保证</w:t>
      </w:r>
    </w:p>
    <w:p w14:paraId="423AF0BD">
      <w:pPr>
        <w:pStyle w:val="16"/>
        <w:spacing w:line="540" w:lineRule="exact"/>
        <w:ind w:firstLine="640"/>
        <w:rPr>
          <w:rFonts w:ascii="仿宋_GB2312" w:hAnsi="仿宋_GB2312" w:eastAsia="仿宋_GB2312" w:cs="仿宋_GB2312"/>
          <w:bCs/>
          <w:color w:val="000000" w:themeColor="text1"/>
          <w:sz w:val="32"/>
          <w:szCs w:val="32"/>
          <w:lang w:eastAsia="zh-CN"/>
        </w:rPr>
      </w:pPr>
      <w:r>
        <w:rPr>
          <w:rFonts w:hint="eastAsia" w:ascii="仿宋_GB2312" w:hAnsi="仿宋_GB2312" w:eastAsia="仿宋_GB2312" w:cs="仿宋_GB2312"/>
          <w:bCs/>
          <w:color w:val="000000" w:themeColor="text1"/>
          <w:sz w:val="32"/>
          <w:szCs w:val="32"/>
          <w:lang w:eastAsia="zh-CN"/>
        </w:rPr>
        <w:t>1、乙方保证对其出售的货物享有合法的权利。</w:t>
      </w:r>
    </w:p>
    <w:p w14:paraId="221CF2E7">
      <w:pPr>
        <w:pStyle w:val="16"/>
        <w:spacing w:line="540" w:lineRule="exact"/>
        <w:ind w:firstLine="640"/>
        <w:rPr>
          <w:rFonts w:ascii="仿宋_GB2312" w:hAnsi="仿宋_GB2312" w:eastAsia="仿宋_GB2312" w:cs="仿宋_GB2312"/>
          <w:bCs/>
          <w:color w:val="000000" w:themeColor="text1"/>
          <w:sz w:val="32"/>
          <w:szCs w:val="32"/>
          <w:lang w:eastAsia="zh-CN"/>
        </w:rPr>
      </w:pPr>
      <w:r>
        <w:rPr>
          <w:rFonts w:hint="eastAsia" w:ascii="仿宋_GB2312" w:hAnsi="仿宋_GB2312" w:eastAsia="仿宋_GB2312" w:cs="仿宋_GB2312"/>
          <w:bCs/>
          <w:color w:val="000000" w:themeColor="text1"/>
          <w:sz w:val="32"/>
          <w:szCs w:val="32"/>
          <w:lang w:eastAsia="zh-CN"/>
        </w:rPr>
        <w:t>2、乙方保证对其出售的货物上不存在任何未曾向甲方透露的担保物权，如抵押权、质押权、留置权。</w:t>
      </w:r>
    </w:p>
    <w:p w14:paraId="28EECA7D">
      <w:pPr>
        <w:pStyle w:val="16"/>
        <w:spacing w:line="540" w:lineRule="exact"/>
        <w:ind w:firstLine="640"/>
        <w:rPr>
          <w:rFonts w:ascii="仿宋_GB2312" w:hAnsi="仿宋_GB2312" w:eastAsia="仿宋_GB2312" w:cs="仿宋_GB2312"/>
          <w:bCs/>
          <w:color w:val="000000" w:themeColor="text1"/>
          <w:sz w:val="32"/>
          <w:szCs w:val="32"/>
          <w:lang w:eastAsia="zh-CN"/>
        </w:rPr>
      </w:pPr>
      <w:r>
        <w:rPr>
          <w:rFonts w:hint="eastAsia" w:ascii="仿宋_GB2312" w:hAnsi="仿宋_GB2312" w:eastAsia="仿宋_GB2312" w:cs="仿宋_GB2312"/>
          <w:bCs/>
          <w:color w:val="000000" w:themeColor="text1"/>
          <w:sz w:val="32"/>
          <w:szCs w:val="32"/>
          <w:lang w:eastAsia="zh-CN"/>
        </w:rPr>
        <w:t>3、乙方保证对其出售的货物或其任何一部分没有侵犯第三方的专利权、版权、商标权或其他权利。</w:t>
      </w:r>
    </w:p>
    <w:p w14:paraId="19187C2E">
      <w:pPr>
        <w:pStyle w:val="16"/>
        <w:spacing w:line="540" w:lineRule="exact"/>
        <w:ind w:left="161" w:leftChars="67" w:firstLine="480" w:firstLineChars="150"/>
        <w:rPr>
          <w:rFonts w:ascii="仿宋_GB2312" w:hAnsi="仿宋_GB2312" w:eastAsia="仿宋_GB2312" w:cs="仿宋_GB2312"/>
          <w:bCs/>
          <w:color w:val="000000" w:themeColor="text1"/>
          <w:sz w:val="32"/>
          <w:szCs w:val="32"/>
          <w:lang w:eastAsia="zh-CN"/>
        </w:rPr>
      </w:pPr>
      <w:r>
        <w:rPr>
          <w:rFonts w:hint="eastAsia" w:ascii="仿宋_GB2312" w:hAnsi="仿宋_GB2312" w:eastAsia="仿宋_GB2312" w:cs="仿宋_GB2312"/>
          <w:bCs/>
          <w:color w:val="000000" w:themeColor="text1"/>
          <w:sz w:val="32"/>
          <w:szCs w:val="32"/>
          <w:lang w:eastAsia="zh-CN"/>
        </w:rPr>
        <w:t>4、如甲方在使用该货物构成上述侵权的，则由乙方承担全部责任。</w:t>
      </w:r>
    </w:p>
    <w:p w14:paraId="1B394BB9">
      <w:pPr>
        <w:pStyle w:val="5"/>
        <w:spacing w:line="540" w:lineRule="exact"/>
        <w:ind w:firstLine="643" w:firstLineChars="200"/>
        <w:rPr>
          <w:rFonts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第五条交货时间与地点</w:t>
      </w:r>
    </w:p>
    <w:p w14:paraId="63629B41">
      <w:pPr>
        <w:pStyle w:val="5"/>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乙方在合同签订生效之日起，按甲方指定时间、地点交货。</w:t>
      </w:r>
    </w:p>
    <w:p w14:paraId="18BA7BAC">
      <w:pPr>
        <w:pStyle w:val="5"/>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1、交货时间（期限）：合同签订后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天</w:t>
      </w:r>
    </w:p>
    <w:p w14:paraId="4702701F">
      <w:pPr>
        <w:pStyle w:val="5"/>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2、交货地点：甲方指定地点</w:t>
      </w:r>
    </w:p>
    <w:p w14:paraId="2D6D84EB">
      <w:pPr>
        <w:pStyle w:val="16"/>
        <w:spacing w:line="540" w:lineRule="exact"/>
        <w:ind w:left="161" w:leftChars="67" w:firstLine="482" w:firstLineChars="150"/>
        <w:rPr>
          <w:rFonts w:ascii="仿宋_GB2312" w:hAnsi="仿宋_GB2312" w:eastAsia="仿宋_GB2312" w:cs="仿宋_GB2312"/>
          <w:sz w:val="32"/>
          <w:szCs w:val="32"/>
          <w:lang w:eastAsia="zh-CN"/>
        </w:rPr>
      </w:pPr>
      <w:r>
        <w:rPr>
          <w:rFonts w:hint="eastAsia" w:ascii="仿宋_GB2312" w:hAnsi="仿宋_GB2312" w:eastAsia="仿宋_GB2312" w:cs="仿宋_GB2312"/>
          <w:b/>
          <w:sz w:val="32"/>
          <w:szCs w:val="32"/>
          <w:lang w:eastAsia="zh-CN"/>
        </w:rPr>
        <w:t xml:space="preserve">第六条 包装要求与运输方式  </w:t>
      </w:r>
    </w:p>
    <w:p w14:paraId="4C9DEFD3">
      <w:pPr>
        <w:pStyle w:val="16"/>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1、除合同另有规定外，乙方提供的全部货物均应按标准保护措施进行包装，该包装应适应于远距离运输、防潮、防震、防锈和防野蛮装卸，以确保货物安全运抵指定地点。</w:t>
      </w:r>
    </w:p>
    <w:p w14:paraId="6B7F64A5">
      <w:pPr>
        <w:pStyle w:val="16"/>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2、每一包装单元应</w:t>
      </w:r>
      <w:bookmarkStart w:id="1" w:name="_GoBack"/>
      <w:bookmarkEnd w:id="1"/>
      <w:r>
        <w:rPr>
          <w:rFonts w:hint="eastAsia" w:ascii="仿宋_GB2312" w:hAnsi="仿宋_GB2312" w:eastAsia="仿宋_GB2312" w:cs="仿宋_GB2312"/>
          <w:sz w:val="32"/>
          <w:szCs w:val="32"/>
          <w:lang w:eastAsia="zh-CN"/>
        </w:rPr>
        <w:t>附详细的装箱单和质量合格证。</w:t>
      </w:r>
    </w:p>
    <w:p w14:paraId="16ED8D8A">
      <w:pPr>
        <w:pStyle w:val="16"/>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3、货物（产品）运输方式：</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w:t>
      </w:r>
    </w:p>
    <w:p w14:paraId="1C76DA5D">
      <w:pPr>
        <w:pStyle w:val="16"/>
        <w:spacing w:line="540" w:lineRule="exact"/>
        <w:ind w:left="161" w:leftChars="67" w:firstLine="480" w:firstLineChars="1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4、乙方负责货物（产品）运输，货物运输的合理损耗及计算方法。</w:t>
      </w:r>
    </w:p>
    <w:p w14:paraId="6DA7982E">
      <w:pPr>
        <w:pStyle w:val="16"/>
        <w:spacing w:line="540" w:lineRule="exact"/>
        <w:ind w:left="161" w:leftChars="67" w:firstLine="480" w:firstLineChars="1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乙方负责货物运输、安装与调试全过程的安全管理，运输及安装施工期间发生的人身、财产损失由乙方承担全部责任。施工作业过程中，乙方应对甲方既有建筑物、构筑物及各类附属设施采取可靠防护措施，如有损坏由乙方负责修复并承担费用。</w:t>
      </w:r>
    </w:p>
    <w:p w14:paraId="562F5E80">
      <w:pPr>
        <w:pStyle w:val="16"/>
        <w:spacing w:beforeLines="50" w:afterLines="50" w:line="540" w:lineRule="exact"/>
        <w:ind w:firstLine="640"/>
        <w:rPr>
          <w:rFonts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第七条 质量保证</w:t>
      </w:r>
    </w:p>
    <w:p w14:paraId="2F742583">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1、乙方须提供全新的、未使用过的合格正品货物（含零部件、配件等），完全符合合同规定的质量、规格和性能的要求。</w:t>
      </w:r>
    </w:p>
    <w:p w14:paraId="2D3683D5">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2、乙方提供的节能和环保产品必须是列入政府采购清单的产品。</w:t>
      </w:r>
    </w:p>
    <w:p w14:paraId="5B0F4617">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3、质量标准按照最新颁布的国家标准、行业标准或制造商企业标准确定，上述标准不一致的，以严格标准为准。</w:t>
      </w:r>
    </w:p>
    <w:p w14:paraId="3C293374">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4、乙方所提供货物还应符合国家和陕西省有关安全、环保、节能之规定，“3C”认证的货物（产品）应加贴“3C”认证标志。</w:t>
      </w:r>
    </w:p>
    <w:p w14:paraId="7D255D68">
      <w:pPr>
        <w:pStyle w:val="16"/>
        <w:spacing w:line="540" w:lineRule="exact"/>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5、货物制造质量出现问题，乙方应负责三包（包修、包换、包退），费用由乙方负担，甲方有权到乙方生产场地检查货物质量和生产进度。</w:t>
      </w:r>
    </w:p>
    <w:p w14:paraId="6CCC792A">
      <w:pPr>
        <w:pStyle w:val="16"/>
        <w:spacing w:line="540" w:lineRule="exact"/>
        <w:ind w:firstLine="640"/>
        <w:rPr>
          <w:rFonts w:hint="default"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6、</w:t>
      </w:r>
      <w:r>
        <w:rPr>
          <w:rFonts w:hint="eastAsia" w:ascii="仿宋_GB2312" w:hAnsi="仿宋_GB2312" w:eastAsia="仿宋_GB2312" w:cs="仿宋_GB2312"/>
          <w:color w:val="000000" w:themeColor="text1"/>
          <w:sz w:val="32"/>
          <w:szCs w:val="32"/>
          <w:lang w:eastAsia="zh-CN"/>
        </w:rPr>
        <w:t>自货物终验合格之日起计，质保期为</w:t>
      </w:r>
      <w:r>
        <w:rPr>
          <w:rFonts w:hint="eastAsia" w:ascii="仿宋_GB2312" w:hAnsi="仿宋_GB2312" w:eastAsia="仿宋_GB2312" w:cs="仿宋_GB2312"/>
          <w:color w:val="000000" w:themeColor="text1"/>
          <w:sz w:val="32"/>
          <w:szCs w:val="32"/>
          <w:u w:val="single"/>
          <w:lang w:val="en-US" w:eastAsia="zh-CN"/>
        </w:rPr>
        <w:t xml:space="preserve">       </w:t>
      </w:r>
      <w:r>
        <w:rPr>
          <w:rFonts w:hint="eastAsia" w:ascii="仿宋_GB2312" w:hAnsi="仿宋_GB2312" w:eastAsia="仿宋_GB2312" w:cs="仿宋_GB2312"/>
          <w:color w:val="000000" w:themeColor="text1"/>
          <w:sz w:val="32"/>
          <w:szCs w:val="32"/>
          <w:lang w:eastAsia="zh-CN"/>
        </w:rPr>
        <w:t>年。</w:t>
      </w:r>
    </w:p>
    <w:p w14:paraId="43E1726F">
      <w:pPr>
        <w:pStyle w:val="16"/>
        <w:spacing w:beforeLines="50" w:afterLines="50" w:line="540" w:lineRule="exact"/>
        <w:ind w:left="161" w:leftChars="67" w:firstLine="482" w:firstLineChars="150"/>
        <w:rPr>
          <w:rFonts w:ascii="仿宋_GB2312" w:hAnsi="仿宋_GB2312" w:eastAsia="仿宋_GB2312" w:cs="仿宋_GB2312"/>
          <w:sz w:val="32"/>
          <w:szCs w:val="32"/>
          <w:lang w:eastAsia="zh-CN"/>
        </w:rPr>
      </w:pPr>
      <w:r>
        <w:rPr>
          <w:rFonts w:hint="eastAsia" w:ascii="仿宋_GB2312" w:hAnsi="仿宋_GB2312" w:eastAsia="仿宋_GB2312" w:cs="仿宋_GB2312"/>
          <w:b/>
          <w:sz w:val="32"/>
          <w:szCs w:val="32"/>
          <w:lang w:eastAsia="zh-CN"/>
        </w:rPr>
        <w:t>第八条 货物验收</w:t>
      </w:r>
    </w:p>
    <w:p w14:paraId="5EB33F0D">
      <w:pPr>
        <w:pStyle w:val="16"/>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1、货物验收由甲方组织，乙方配合，并按下列程序进行：</w:t>
      </w:r>
    </w:p>
    <w:p w14:paraId="7E364EF1">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交货验收时，乙方须提供质检部门产品抽样检查合格的检测报告（或制造商自检报告）及所提供货物（产品）的合格证、装箱清单、配件、随机工具、用户使用手册（产品使用说明书）、保修卡等资料交付给甲方；</w:t>
      </w:r>
    </w:p>
    <w:p w14:paraId="0B977F58">
      <w:pPr>
        <w:pStyle w:val="16"/>
        <w:spacing w:line="540" w:lineRule="exact"/>
        <w:ind w:firstLine="547" w:firstLineChars="171"/>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（2）到货验收 ：货物到达后，按合同第一条款的货物清单和装箱单经行逐一核对，同时检查货物外观，是否有划痕或破损的，并做好相应记录；</w:t>
      </w:r>
    </w:p>
    <w:p w14:paraId="7FF2B106">
      <w:pPr>
        <w:pStyle w:val="16"/>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（3）货物初验：乙方应在货物到货之日起，10日内全部完成安装调试完毕；乙方安装调试完毕后</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日内完成初步验收；初步验收合格后，进入</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lang w:eastAsia="zh-CN"/>
        </w:rPr>
        <w:t>日试用期；试用期间发生重大质量问题的，乙方应按照甲方要求履行退换货责任，对于小的质量瑕疵在乙方修复后试用期相应顺延；</w:t>
      </w:r>
    </w:p>
    <w:p w14:paraId="1274AA2A">
      <w:pPr>
        <w:pStyle w:val="16"/>
        <w:spacing w:line="540" w:lineRule="exact"/>
        <w:ind w:left="161" w:leftChars="67" w:firstLine="480" w:firstLineChars="1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（4）货物终验：试用期结束后</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lang w:eastAsia="zh-CN"/>
        </w:rPr>
        <w:t>日内完成最终验收；</w:t>
      </w:r>
    </w:p>
    <w:p w14:paraId="4F29D2B9">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（5）质量验收合格，双方签署质量验收报告。</w:t>
      </w:r>
    </w:p>
    <w:p w14:paraId="0349B1DA">
      <w:pPr>
        <w:pStyle w:val="16"/>
        <w:spacing w:line="540" w:lineRule="exact"/>
        <w:ind w:firstLine="800" w:firstLineChars="2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2、货物验收依据：</w:t>
      </w:r>
    </w:p>
    <w:p w14:paraId="16E269B3">
      <w:pPr>
        <w:pStyle w:val="3"/>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val="en-US" w:eastAsia="zh-CN"/>
        </w:rPr>
        <w:t>磋商</w:t>
      </w:r>
      <w:r>
        <w:rPr>
          <w:rFonts w:hint="eastAsia" w:ascii="仿宋_GB2312" w:hAnsi="仿宋_GB2312" w:eastAsia="仿宋_GB2312" w:cs="仿宋_GB2312"/>
          <w:sz w:val="32"/>
          <w:szCs w:val="32"/>
          <w:lang w:eastAsia="zh-CN"/>
        </w:rPr>
        <w:t>文件；</w:t>
      </w:r>
    </w:p>
    <w:p w14:paraId="057B5170">
      <w:pPr>
        <w:pStyle w:val="3"/>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val="en-US" w:eastAsia="zh-CN"/>
        </w:rPr>
        <w:t>响应</w:t>
      </w:r>
      <w:r>
        <w:rPr>
          <w:rFonts w:hint="eastAsia" w:ascii="仿宋_GB2312" w:hAnsi="仿宋_GB2312" w:eastAsia="仿宋_GB2312" w:cs="仿宋_GB2312"/>
          <w:sz w:val="32"/>
          <w:szCs w:val="32"/>
          <w:lang w:eastAsia="zh-CN"/>
        </w:rPr>
        <w:t>文件；</w:t>
      </w:r>
    </w:p>
    <w:p w14:paraId="4D269071">
      <w:pPr>
        <w:pStyle w:val="3"/>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（3）采购合同及补充协议；</w:t>
      </w:r>
    </w:p>
    <w:p w14:paraId="09008AC4">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（4）质检部门抽样检查货物（产品）合格的检测报告（或制造商自检报告）。</w:t>
      </w:r>
    </w:p>
    <w:p w14:paraId="11613846">
      <w:pPr>
        <w:pStyle w:val="16"/>
        <w:spacing w:line="540" w:lineRule="exact"/>
        <w:ind w:firstLine="800" w:firstLineChars="25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3、货物验收时发现问题的处理办法：</w:t>
      </w:r>
    </w:p>
    <w:p w14:paraId="1FAA2D70">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（1）乙方提供不符合招标文件和本合同规定的货物（产品），甲方有权拒绝接受；</w:t>
      </w:r>
    </w:p>
    <w:p w14:paraId="684F8DDE">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3CEE7D0B">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（3）如货物经乙方次维修仍不能达到合同约定的质量标准，甲方有权退货，并视作乙方不能交付货物而须支付违约赔偿金给甲方，甲方还可依法追究乙方的违约责任； </w:t>
      </w:r>
    </w:p>
    <w:p w14:paraId="39BF1D1D">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（4）货物安装完成后</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lang w:eastAsia="zh-CN"/>
        </w:rPr>
        <w:t>日内，甲方无故不进行验收工作并已使用货物的，视同已安装调试完成并验收合格；</w:t>
      </w:r>
    </w:p>
    <w:p w14:paraId="370EED8F">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（5）乙方不能完整交付货物及本条第一款规定的单证和工具的，必须负责补齐，否则视为未按合同约定交货；</w:t>
      </w:r>
    </w:p>
    <w:p w14:paraId="22E05BC6">
      <w:pPr>
        <w:pStyle w:val="16"/>
        <w:spacing w:beforeLines="50" w:afterLines="50" w:line="540" w:lineRule="exact"/>
        <w:ind w:firstLine="640"/>
        <w:rPr>
          <w:rFonts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第九条 售后服务</w:t>
      </w:r>
    </w:p>
    <w:p w14:paraId="04B20EDB">
      <w:pPr>
        <w:pStyle w:val="5"/>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乙方所供货物提供以下售后服务：</w:t>
      </w:r>
    </w:p>
    <w:p w14:paraId="23FB32DF">
      <w:pPr>
        <w:pStyle w:val="5"/>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（一）质保期内：</w:t>
      </w:r>
    </w:p>
    <w:p w14:paraId="062BFB44">
      <w:pPr>
        <w:pStyle w:val="5"/>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1、发生质量问题，接到甲方通知后，应于当日派出专业的维修人员到现场进行检测维修，发生的全部费用由乙方承担，若需送回生产厂，乙方承担往返费用。</w:t>
      </w:r>
    </w:p>
    <w:p w14:paraId="436102D7">
      <w:pPr>
        <w:pStyle w:val="5"/>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2、定期派技术人员到现场走访，给予检查维护。</w:t>
      </w:r>
    </w:p>
    <w:p w14:paraId="7F0591BC">
      <w:pPr>
        <w:pStyle w:val="5"/>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3、排除故障的期限不得超过24小时（工作日）。否则甲方有权指定第三方维修，维修费用由乙方承担。</w:t>
      </w:r>
    </w:p>
    <w:p w14:paraId="2798E690">
      <w:pPr>
        <w:pStyle w:val="5"/>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（二）质保期结束前，进行系统测试，全面保养维护，确保正常运行。</w:t>
      </w:r>
    </w:p>
    <w:p w14:paraId="26AFCA04">
      <w:pPr>
        <w:pStyle w:val="16"/>
        <w:spacing w:afterLines="50"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b/>
          <w:sz w:val="32"/>
          <w:szCs w:val="32"/>
          <w:lang w:eastAsia="zh-CN"/>
        </w:rPr>
        <w:t>第十条违约责任</w:t>
      </w:r>
    </w:p>
    <w:p w14:paraId="2780872C">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1、甲方违约责任</w:t>
      </w:r>
    </w:p>
    <w:p w14:paraId="1752A6B2">
      <w:pPr>
        <w:pStyle w:val="16"/>
        <w:spacing w:line="540" w:lineRule="exact"/>
        <w:ind w:firstLine="387" w:firstLineChars="121"/>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（1）甲方无正当理由拒收货物的，甲方应偿付合同总价3 %的违约金；</w:t>
      </w:r>
    </w:p>
    <w:p w14:paraId="7A94022A">
      <w:pPr>
        <w:pStyle w:val="16"/>
        <w:spacing w:line="540" w:lineRule="exact"/>
        <w:ind w:firstLine="387" w:firstLineChars="121"/>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（2）甲方逾期支付货款的，除应及时付足货款外，应向乙方每天支付欠款总额1‰的滞纳金；但累计滞纳金总额不超过欠款总额的1%。</w:t>
      </w:r>
    </w:p>
    <w:p w14:paraId="130B0DEB">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2、乙方违约责任</w:t>
      </w:r>
    </w:p>
    <w:p w14:paraId="3A4DF409">
      <w:pPr>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（1）如乙方不能交付货物，乙方应向甲方支付合同总价5％的违约金；</w:t>
      </w:r>
    </w:p>
    <w:p w14:paraId="1E0C0210">
      <w:pPr>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（2）乙方逾期交付货物的，每逾期1天，乙方向甲方偿付逾期交货部分货款总额的3‰的滞纳金。如乙方逾期交货达15天，甲方有权解除合同，解除合同的通知自到达乙方时生效；</w:t>
      </w:r>
    </w:p>
    <w:p w14:paraId="432E084A">
      <w:pPr>
        <w:spacing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（3）乙方所交付的货物品种、型号、规格不符合合同规定的，甲方有权拒收。甲方拒收的，乙方应向甲方支付货款总额5%的违约金；</w:t>
      </w:r>
    </w:p>
    <w:p w14:paraId="51A3702C">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207B9DD1">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F9C7D0D">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（6）乙方未按本合同约定履行自身应尽义务的，应向甲方承担违约责任，按合同总价款的5 %向甲方支付违约金；该违约金的支付不影响乙方应承担的其他违约责任；</w:t>
      </w:r>
    </w:p>
    <w:p w14:paraId="60FE3497">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（7）乙方未按本合同的规定和“服务承诺”提供伴随服务/售后服务的，应按合同总价款的5%向甲方承担违约责任；</w:t>
      </w:r>
    </w:p>
    <w:p w14:paraId="4E5E5EB3">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（8）乙方在承担上述1-7款一项或多项违约责任后，仍应继续履行合同规定的义务（甲方解除合同的除外）。甲方未能及时追究乙方的任何一项违约责任并不表明甲方放弃追究乙方该项或其他违约责任；</w:t>
      </w:r>
    </w:p>
    <w:p w14:paraId="26AE4A29">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（9）乙方偿付的违约金不足以弥补甲方损失的，还应按甲方损失尚未弥补的部分，支付赔偿金给甲方。</w:t>
      </w:r>
    </w:p>
    <w:p w14:paraId="6072698E">
      <w:pPr>
        <w:spacing w:beforeLines="50" w:afterLines="50" w:line="540" w:lineRule="exact"/>
        <w:ind w:firstLine="643" w:firstLineChars="200"/>
        <w:rPr>
          <w:rFonts w:ascii="仿宋_GB2312" w:hAnsi="仿宋_GB2312" w:eastAsia="仿宋_GB2312" w:cs="仿宋_GB2312"/>
          <w:sz w:val="32"/>
          <w:szCs w:val="32"/>
          <w:lang w:eastAsia="zh-CN"/>
        </w:rPr>
      </w:pPr>
      <w:r>
        <w:rPr>
          <w:rFonts w:hint="eastAsia" w:ascii="仿宋_GB2312" w:hAnsi="仿宋_GB2312" w:eastAsia="仿宋_GB2312" w:cs="仿宋_GB2312"/>
          <w:b/>
          <w:sz w:val="32"/>
          <w:szCs w:val="32"/>
          <w:lang w:eastAsia="zh-CN"/>
        </w:rPr>
        <w:t>第十一条 合同的变更和终止</w:t>
      </w:r>
    </w:p>
    <w:p w14:paraId="2B7F32F6">
      <w:pPr>
        <w:spacing w:line="540" w:lineRule="exact"/>
        <w:ind w:firstLine="640" w:firstLineChars="200"/>
        <w:rPr>
          <w:rFonts w:ascii="仿宋_GB2312" w:hAnsi="仿宋_GB2312" w:eastAsia="仿宋_GB2312" w:cs="仿宋_GB2312"/>
          <w:b/>
          <w:sz w:val="32"/>
          <w:szCs w:val="32"/>
          <w:lang w:eastAsia="zh-CN"/>
        </w:rPr>
      </w:pPr>
      <w:r>
        <w:rPr>
          <w:rFonts w:hint="eastAsia" w:ascii="仿宋_GB2312" w:hAnsi="仿宋_GB2312" w:eastAsia="仿宋_GB2312" w:cs="仿宋_GB2312"/>
          <w:sz w:val="32"/>
          <w:szCs w:val="32"/>
          <w:lang w:eastAsia="zh-CN"/>
        </w:rPr>
        <w:t>除《中华人民共和国政府采购法》第49条、第50条第二款规定的情形外，本合同一经签订，甲乙双方不得擅自变更、中止或终止合同。</w:t>
      </w:r>
    </w:p>
    <w:p w14:paraId="1E45AAB9">
      <w:pPr>
        <w:spacing w:beforeLines="50" w:afterLines="50" w:line="540" w:lineRule="exact"/>
        <w:ind w:firstLine="643" w:firstLineChars="200"/>
        <w:rPr>
          <w:rFonts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第十二条 争议的解决</w:t>
      </w:r>
    </w:p>
    <w:p w14:paraId="45DB9857">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1、因货物的质量问题发生争议，由质量技术监督部门或其指定的质量鉴定机构进行质量鉴定。货物符合标准的，鉴定费由甲方承担；货物不符合质量标准的，鉴定费由乙方承担。</w:t>
      </w:r>
    </w:p>
    <w:p w14:paraId="2BD51EF8">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2、因履行本合同引起的或与本合同有关的争议，甲、乙双方应首先通过友好协商解决，如果协商不成，则采取以下第</w:t>
      </w:r>
      <w:r>
        <w:rPr>
          <w:rFonts w:hint="eastAsia" w:ascii="仿宋_GB2312" w:hAnsi="仿宋_GB2312" w:eastAsia="仿宋_GB2312" w:cs="仿宋_GB2312"/>
          <w:sz w:val="32"/>
          <w:szCs w:val="32"/>
          <w:u w:val="single"/>
          <w:lang w:eastAsia="zh-CN"/>
        </w:rPr>
        <w:t xml:space="preserve">  2</w:t>
      </w:r>
      <w:r>
        <w:rPr>
          <w:rFonts w:hint="eastAsia" w:ascii="仿宋_GB2312" w:hAnsi="仿宋_GB2312" w:eastAsia="仿宋_GB2312" w:cs="仿宋_GB2312"/>
          <w:sz w:val="32"/>
          <w:szCs w:val="32"/>
          <w:lang w:eastAsia="zh-CN"/>
        </w:rPr>
        <w:t>种方式解决争议：</w:t>
      </w:r>
    </w:p>
    <w:p w14:paraId="7F36A61A">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（1）向甲方所在地有管辖权的人民法院提起诉讼；</w:t>
      </w:r>
    </w:p>
    <w:p w14:paraId="0E69032A">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（2）向</w:t>
      </w:r>
      <w:r>
        <w:rPr>
          <w:rFonts w:hint="eastAsia" w:ascii="仿宋_GB2312" w:hAnsi="仿宋_GB2312" w:eastAsia="仿宋_GB2312" w:cs="仿宋_GB2312"/>
          <w:sz w:val="32"/>
          <w:szCs w:val="32"/>
          <w:u w:val="single"/>
          <w:lang w:eastAsia="zh-CN"/>
        </w:rPr>
        <w:t>西安</w:t>
      </w:r>
      <w:r>
        <w:rPr>
          <w:rFonts w:hint="eastAsia" w:ascii="仿宋_GB2312" w:hAnsi="仿宋_GB2312" w:eastAsia="仿宋_GB2312" w:cs="仿宋_GB2312"/>
          <w:sz w:val="32"/>
          <w:szCs w:val="32"/>
          <w:lang w:eastAsia="zh-CN"/>
        </w:rPr>
        <w:t>仲裁委员会按其仲裁规则申请仲裁。</w:t>
      </w:r>
    </w:p>
    <w:p w14:paraId="1FE15633">
      <w:pPr>
        <w:pStyle w:val="16"/>
        <w:spacing w:line="540" w:lineRule="exact"/>
        <w:ind w:firstLine="64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3．在仲裁期间，本合同应继续履行。</w:t>
      </w:r>
    </w:p>
    <w:p w14:paraId="5DBFEF80">
      <w:pPr>
        <w:snapToGrid w:val="0"/>
        <w:spacing w:beforeLines="50" w:afterLines="50" w:line="540" w:lineRule="exact"/>
        <w:ind w:firstLine="643" w:firstLineChars="200"/>
        <w:textAlignment w:val="baseline"/>
        <w:rPr>
          <w:rFonts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第十三条 合同生效及其他</w:t>
      </w:r>
    </w:p>
    <w:p w14:paraId="73F13BF4">
      <w:pPr>
        <w:snapToGrid w:val="0"/>
        <w:spacing w:line="540" w:lineRule="exact"/>
        <w:ind w:firstLine="539"/>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1、如有未尽事宜，由双方依法订立补充合同。</w:t>
      </w:r>
    </w:p>
    <w:p w14:paraId="318110A1">
      <w:pPr>
        <w:snapToGrid w:val="0"/>
        <w:spacing w:line="540" w:lineRule="exact"/>
        <w:ind w:firstLine="539"/>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2、本合同自签订之日起生效。</w:t>
      </w:r>
    </w:p>
    <w:p w14:paraId="6EC37EC3">
      <w:pPr>
        <w:snapToGrid w:val="0"/>
        <w:spacing w:line="540" w:lineRule="exact"/>
        <w:ind w:firstLine="539"/>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3、本合同一式</w:t>
      </w:r>
      <w:r>
        <w:rPr>
          <w:rFonts w:hint="eastAsia" w:ascii="仿宋_GB2312" w:hAnsi="仿宋_GB2312" w:eastAsia="仿宋_GB2312" w:cs="仿宋_GB2312"/>
          <w:sz w:val="32"/>
          <w:szCs w:val="32"/>
          <w:lang w:val="en-US" w:eastAsia="zh-CN"/>
        </w:rPr>
        <w:t>陆</w:t>
      </w:r>
      <w:r>
        <w:rPr>
          <w:rFonts w:hint="eastAsia" w:ascii="仿宋_GB2312" w:hAnsi="仿宋_GB2312" w:eastAsia="仿宋_GB2312" w:cs="仿宋_GB2312"/>
          <w:sz w:val="32"/>
          <w:szCs w:val="32"/>
          <w:lang w:eastAsia="zh-CN"/>
        </w:rPr>
        <w:t>份，具有同等法律效力，甲方执</w:t>
      </w:r>
      <w:r>
        <w:rPr>
          <w:rFonts w:hint="eastAsia" w:ascii="仿宋_GB2312" w:hAnsi="仿宋_GB2312" w:eastAsia="仿宋_GB2312" w:cs="仿宋_GB2312"/>
          <w:sz w:val="32"/>
          <w:szCs w:val="32"/>
          <w:lang w:val="en-US" w:eastAsia="zh-CN"/>
        </w:rPr>
        <w:t>肆</w:t>
      </w:r>
      <w:r>
        <w:rPr>
          <w:rFonts w:hint="eastAsia" w:ascii="仿宋_GB2312" w:hAnsi="仿宋_GB2312" w:eastAsia="仿宋_GB2312" w:cs="仿宋_GB2312"/>
          <w:sz w:val="32"/>
          <w:szCs w:val="32"/>
          <w:lang w:eastAsia="zh-CN"/>
        </w:rPr>
        <w:t>份，</w:t>
      </w:r>
      <w:r>
        <w:rPr>
          <w:rFonts w:hint="eastAsia" w:ascii="仿宋_GB2312" w:hAnsi="仿宋_GB2312" w:eastAsia="仿宋_GB2312" w:cs="仿宋_GB2312"/>
          <w:sz w:val="32"/>
          <w:szCs w:val="32"/>
          <w:lang w:val="en-US" w:eastAsia="zh-CN"/>
        </w:rPr>
        <w:t>乙方执贰份</w:t>
      </w:r>
      <w:r>
        <w:rPr>
          <w:rFonts w:hint="eastAsia" w:ascii="仿宋_GB2312" w:hAnsi="仿宋_GB2312" w:eastAsia="仿宋_GB2312" w:cs="仿宋_GB2312"/>
          <w:sz w:val="32"/>
          <w:szCs w:val="32"/>
          <w:lang w:eastAsia="zh-CN"/>
        </w:rPr>
        <w:t>。</w:t>
      </w:r>
    </w:p>
    <w:p w14:paraId="6565E672">
      <w:pPr>
        <w:spacing w:beforeLines="50" w:afterLines="50" w:line="540" w:lineRule="exact"/>
        <w:ind w:firstLine="640" w:firstLineChars="200"/>
        <w:rPr>
          <w:rFonts w:hint="eastAsia" w:ascii="仿宋_GB2312" w:hAnsi="仿宋_GB2312" w:eastAsia="仿宋_GB2312" w:cs="仿宋_GB2312"/>
          <w:sz w:val="32"/>
          <w:szCs w:val="32"/>
          <w:lang w:eastAsia="zh-CN"/>
        </w:rPr>
      </w:pPr>
    </w:p>
    <w:p w14:paraId="4235EE5B">
      <w:pPr>
        <w:spacing w:beforeLines="50" w:afterLines="50" w:line="540" w:lineRule="exact"/>
        <w:ind w:firstLine="640" w:firstLineChars="200"/>
        <w:rPr>
          <w:rFonts w:hint="eastAsia" w:ascii="仿宋_GB2312" w:hAnsi="仿宋_GB2312" w:eastAsia="仿宋_GB2312" w:cs="仿宋_GB2312"/>
          <w:sz w:val="32"/>
          <w:szCs w:val="32"/>
          <w:lang w:eastAsia="zh-CN"/>
        </w:rPr>
      </w:pPr>
    </w:p>
    <w:p w14:paraId="6FA42525">
      <w:pPr>
        <w:spacing w:beforeLines="50" w:afterLines="50"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甲方：   （盖章）   </w:t>
      </w:r>
      <w:r>
        <w:rPr>
          <w:rFonts w:hint="eastAsia" w:ascii="仿宋_GB2312" w:hAnsi="仿宋_GB2312" w:eastAsia="仿宋_GB2312" w:cs="仿宋_GB2312"/>
          <w:sz w:val="32"/>
          <w:szCs w:val="32"/>
          <w:lang w:eastAsia="zh-CN"/>
        </w:rPr>
        <w:tab/>
      </w:r>
      <w:r>
        <w:rPr>
          <w:rFonts w:hint="eastAsia" w:ascii="仿宋_GB2312" w:hAnsi="仿宋_GB2312" w:eastAsia="仿宋_GB2312" w:cs="仿宋_GB2312"/>
          <w:sz w:val="32"/>
          <w:szCs w:val="32"/>
          <w:lang w:eastAsia="zh-CN"/>
        </w:rPr>
        <w:t>乙方：   （盖章）</w:t>
      </w:r>
    </w:p>
    <w:p w14:paraId="50D32AE7">
      <w:pPr>
        <w:spacing w:beforeLines="50" w:afterLines="50" w:line="54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法定代表人/授权代表：              法定代表人/授权代表：</w:t>
      </w:r>
    </w:p>
    <w:p w14:paraId="26CC7F68">
      <w:pPr>
        <w:spacing w:beforeLines="50" w:afterLines="50"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地    址：                         地    址：</w:t>
      </w:r>
    </w:p>
    <w:p w14:paraId="04E302CF">
      <w:pPr>
        <w:spacing w:beforeLines="50" w:afterLines="50"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开户银行：                         开户银行：</w:t>
      </w:r>
    </w:p>
    <w:p w14:paraId="407DBF1F">
      <w:pPr>
        <w:spacing w:beforeLines="50" w:afterLines="50"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账    号：                         账    号：</w:t>
      </w:r>
    </w:p>
    <w:p w14:paraId="63BBABC3">
      <w:pPr>
        <w:spacing w:beforeLines="50" w:afterLines="50"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电    话：                         电    话：</w:t>
      </w:r>
    </w:p>
    <w:p w14:paraId="34116055">
      <w:pPr>
        <w:spacing w:beforeLines="50" w:afterLines="50"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传    真：                         传    真：</w:t>
      </w:r>
    </w:p>
    <w:p w14:paraId="60D6B352">
      <w:pPr>
        <w:spacing w:beforeLines="50" w:afterLines="50" w:line="540" w:lineRule="exac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签约日期：    年  月  日     签约日期：    年  月  日</w:t>
      </w:r>
    </w:p>
    <w:p w14:paraId="743C3F56">
      <w:pPr>
        <w:spacing w:line="540" w:lineRule="exact"/>
        <w:ind w:firstLine="640" w:firstLineChars="200"/>
        <w:rPr>
          <w:rFonts w:ascii="仿宋_GB2312" w:hAnsi="仿宋_GB2312" w:eastAsia="仿宋_GB2312" w:cs="仿宋_GB2312"/>
          <w:sz w:val="32"/>
          <w:szCs w:val="32"/>
          <w:lang w:eastAsia="zh-CN"/>
        </w:rPr>
      </w:pPr>
    </w:p>
    <w:p w14:paraId="6512E929">
      <w:pPr>
        <w:spacing w:line="540" w:lineRule="exact"/>
        <w:rPr>
          <w:rFonts w:ascii="仿宋_GB2312" w:hAnsi="仿宋_GB2312" w:eastAsia="仿宋_GB2312" w:cs="仿宋_GB2312"/>
          <w:sz w:val="32"/>
          <w:szCs w:val="32"/>
          <w:lang w:eastAsia="zh-CN"/>
        </w:rPr>
      </w:pPr>
      <w:bookmarkStart w:id="0" w:name="na-dialog-root"/>
      <w:bookmarkEnd w:id="0"/>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5792D"/>
    <w:rsid w:val="0003603D"/>
    <w:rsid w:val="00190685"/>
    <w:rsid w:val="004323E2"/>
    <w:rsid w:val="004917A2"/>
    <w:rsid w:val="00663143"/>
    <w:rsid w:val="0075792D"/>
    <w:rsid w:val="00855768"/>
    <w:rsid w:val="00861990"/>
    <w:rsid w:val="00923214"/>
    <w:rsid w:val="00A172D3"/>
    <w:rsid w:val="00B047F7"/>
    <w:rsid w:val="00B1466C"/>
    <w:rsid w:val="00D022CF"/>
    <w:rsid w:val="00D37C6D"/>
    <w:rsid w:val="00DF3E2C"/>
    <w:rsid w:val="00F65747"/>
    <w:rsid w:val="015B1F95"/>
    <w:rsid w:val="0205205C"/>
    <w:rsid w:val="0E9B2588"/>
    <w:rsid w:val="10064744"/>
    <w:rsid w:val="25387269"/>
    <w:rsid w:val="29B329D9"/>
    <w:rsid w:val="2DF05126"/>
    <w:rsid w:val="30AF6A65"/>
    <w:rsid w:val="4DC20121"/>
    <w:rsid w:val="559A6484"/>
    <w:rsid w:val="5D4544FC"/>
    <w:rsid w:val="625337E7"/>
    <w:rsid w:val="7B1D2E1F"/>
    <w:rsid w:val="7EB119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qFormat="1"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2"/>
    <w:basedOn w:val="1"/>
    <w:next w:val="3"/>
    <w:link w:val="1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0"/>
    <w:pPr>
      <w:ind w:firstLine="420"/>
    </w:pPr>
    <w:rPr>
      <w:szCs w:val="20"/>
    </w:rPr>
  </w:style>
  <w:style w:type="paragraph" w:styleId="4">
    <w:name w:val="annotation text"/>
    <w:basedOn w:val="1"/>
    <w:semiHidden/>
    <w:unhideWhenUsed/>
    <w:qFormat/>
    <w:uiPriority w:val="99"/>
    <w:pPr>
      <w:jc w:val="left"/>
    </w:pPr>
  </w:style>
  <w:style w:type="paragraph" w:styleId="5">
    <w:name w:val="Body Text"/>
    <w:basedOn w:val="1"/>
    <w:link w:val="14"/>
    <w:semiHidden/>
    <w:unhideWhenUsed/>
    <w:qFormat/>
    <w:uiPriority w:val="0"/>
    <w:pPr>
      <w:spacing w:before="180" w:after="180"/>
    </w:pPr>
  </w:style>
  <w:style w:type="paragraph" w:styleId="6">
    <w:name w:val="footer"/>
    <w:basedOn w:val="1"/>
    <w:link w:val="12"/>
    <w:semiHidden/>
    <w:unhideWhenUsed/>
    <w:uiPriority w:val="99"/>
    <w:pPr>
      <w:widowControl w:val="0"/>
      <w:tabs>
        <w:tab w:val="center" w:pos="4153"/>
        <w:tab w:val="right" w:pos="8306"/>
      </w:tabs>
      <w:snapToGrid w:val="0"/>
      <w:spacing w:after="0"/>
    </w:pPr>
    <w:rPr>
      <w:rFonts w:eastAsiaTheme="minorEastAsia"/>
      <w:kern w:val="2"/>
      <w:sz w:val="18"/>
      <w:szCs w:val="18"/>
      <w:lang w:eastAsia="zh-CN"/>
    </w:rPr>
  </w:style>
  <w:style w:type="paragraph" w:styleId="7">
    <w:name w:val="header"/>
    <w:basedOn w:val="1"/>
    <w:link w:val="11"/>
    <w:semiHidden/>
    <w:unhideWhenUsed/>
    <w:qFormat/>
    <w:uiPriority w:val="99"/>
    <w:pPr>
      <w:widowControl w:val="0"/>
      <w:pBdr>
        <w:bottom w:val="single" w:color="auto" w:sz="6" w:space="1"/>
      </w:pBdr>
      <w:tabs>
        <w:tab w:val="center" w:pos="4153"/>
        <w:tab w:val="right" w:pos="8306"/>
      </w:tabs>
      <w:snapToGrid w:val="0"/>
      <w:spacing w:after="0"/>
      <w:jc w:val="center"/>
    </w:pPr>
    <w:rPr>
      <w:rFonts w:eastAsiaTheme="minorEastAsia"/>
      <w:kern w:val="2"/>
      <w:sz w:val="18"/>
      <w:szCs w:val="18"/>
      <w:lang w:eastAsia="zh-CN"/>
    </w:rPr>
  </w:style>
  <w:style w:type="paragraph" w:styleId="8">
    <w:name w:val="Normal (Web)"/>
    <w:basedOn w:val="1"/>
    <w:semiHidden/>
    <w:unhideWhenUsed/>
    <w:qFormat/>
    <w:uiPriority w:val="99"/>
    <w:rPr>
      <w:sz w:val="24"/>
    </w:rPr>
  </w:style>
  <w:style w:type="character" w:customStyle="1" w:styleId="11">
    <w:name w:val="页眉 Char"/>
    <w:basedOn w:val="10"/>
    <w:link w:val="7"/>
    <w:semiHidden/>
    <w:qFormat/>
    <w:uiPriority w:val="99"/>
    <w:rPr>
      <w:sz w:val="18"/>
      <w:szCs w:val="18"/>
    </w:rPr>
  </w:style>
  <w:style w:type="character" w:customStyle="1" w:styleId="12">
    <w:name w:val="页脚 Char"/>
    <w:basedOn w:val="10"/>
    <w:link w:val="6"/>
    <w:semiHidden/>
    <w:qFormat/>
    <w:uiPriority w:val="99"/>
    <w:rPr>
      <w:sz w:val="18"/>
      <w:szCs w:val="18"/>
    </w:rPr>
  </w:style>
  <w:style w:type="character" w:customStyle="1" w:styleId="13">
    <w:name w:val="标题 2 Char"/>
    <w:basedOn w:val="10"/>
    <w:link w:val="2"/>
    <w:qFormat/>
    <w:uiPriority w:val="9"/>
    <w:rPr>
      <w:rFonts w:asciiTheme="majorHAnsi" w:hAnsiTheme="majorHAnsi" w:eastAsiaTheme="majorEastAsia" w:cstheme="majorBidi"/>
      <w:b/>
      <w:bCs/>
      <w:color w:val="4F81BD" w:themeColor="accent1"/>
      <w:kern w:val="0"/>
      <w:sz w:val="32"/>
      <w:szCs w:val="32"/>
      <w:lang w:eastAsia="en-US"/>
    </w:rPr>
  </w:style>
  <w:style w:type="character" w:customStyle="1" w:styleId="14">
    <w:name w:val="正文文本 Char"/>
    <w:basedOn w:val="10"/>
    <w:link w:val="5"/>
    <w:semiHidden/>
    <w:qFormat/>
    <w:uiPriority w:val="0"/>
    <w:rPr>
      <w:rFonts w:eastAsiaTheme="minorHAnsi"/>
      <w:kern w:val="0"/>
      <w:sz w:val="24"/>
      <w:szCs w:val="24"/>
      <w:lang w:eastAsia="en-US"/>
    </w:rPr>
  </w:style>
  <w:style w:type="paragraph" w:customStyle="1" w:styleId="15">
    <w:name w:val="Compact"/>
    <w:basedOn w:val="5"/>
    <w:qFormat/>
    <w:uiPriority w:val="0"/>
    <w:pPr>
      <w:spacing w:before="36" w:after="36"/>
    </w:pPr>
  </w:style>
  <w:style w:type="paragraph" w:customStyle="1" w:styleId="16">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10</Pages>
  <Words>3552</Words>
  <Characters>3590</Characters>
  <Lines>27</Lines>
  <Paragraphs>7</Paragraphs>
  <TotalTime>4</TotalTime>
  <ScaleCrop>false</ScaleCrop>
  <LinksUpToDate>false</LinksUpToDate>
  <CharactersWithSpaces>3858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2020-07-19T10:06:00Z</dcterms:created>
  <dc:creator>Windows User</dc:creator>
  <cp:lastModifiedBy>℡Autism ミ</cp:lastModifiedBy>
  <dcterms:modified xsi:type="dcterms:W3CDTF">2026-08-13T11:14:38Z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3D148DCD0A2F441D9BAF1B8D37E6F11C_12</vt:lpwstr>
  </property>
</Properties>
</file>