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66A95">
      <w:pPr>
        <w:pStyle w:val="6"/>
        <w:jc w:val="center"/>
        <w:outlineLvl w:val="1"/>
        <w:rPr>
          <w:rFonts w:hint="eastAsia" w:ascii="仿宋" w:hAnsi="仿宋" w:eastAsia="仿宋" w:cs="仿宋"/>
        </w:rPr>
      </w:pPr>
      <w:bookmarkStart w:id="0" w:name="_Toc24027"/>
      <w:r>
        <w:rPr>
          <w:rFonts w:hint="eastAsia" w:ascii="仿宋" w:hAnsi="仿宋" w:eastAsia="仿宋" w:cs="仿宋"/>
          <w:b/>
          <w:sz w:val="36"/>
        </w:rPr>
        <w:t>第八章 拟签订采购合同文本</w:t>
      </w:r>
      <w:bookmarkEnd w:id="0"/>
    </w:p>
    <w:p w14:paraId="26136C81">
      <w:pPr>
        <w:jc w:val="left"/>
        <w:rPr>
          <w:rFonts w:hint="eastAsia" w:ascii="仿宋" w:hAnsi="仿宋" w:eastAsia="仿宋" w:cs="仿宋"/>
          <w:b/>
          <w:bCs/>
          <w:sz w:val="30"/>
          <w:szCs w:val="30"/>
          <w:highlight w:val="none"/>
        </w:rPr>
      </w:pPr>
    </w:p>
    <w:p w14:paraId="00224DE8">
      <w:pPr>
        <w:jc w:val="left"/>
        <w:rPr>
          <w:rFonts w:hint="eastAsia" w:ascii="仿宋" w:hAnsi="仿宋" w:eastAsia="仿宋" w:cs="仿宋"/>
          <w:b/>
          <w:bCs/>
          <w:sz w:val="30"/>
          <w:szCs w:val="30"/>
          <w:highlight w:val="none"/>
        </w:rPr>
      </w:pPr>
    </w:p>
    <w:p w14:paraId="488752F5">
      <w:pPr>
        <w:jc w:val="left"/>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政府采购合同                        合同编号：</w:t>
      </w:r>
    </w:p>
    <w:p w14:paraId="2B9C33FB">
      <w:pPr>
        <w:pStyle w:val="2"/>
        <w:rPr>
          <w:rFonts w:hint="eastAsia" w:ascii="仿宋" w:hAnsi="仿宋" w:eastAsia="仿宋" w:cs="仿宋"/>
          <w:b/>
          <w:bCs/>
          <w:sz w:val="30"/>
          <w:szCs w:val="30"/>
          <w:highlight w:val="none"/>
        </w:rPr>
      </w:pPr>
    </w:p>
    <w:p w14:paraId="23258B85">
      <w:pPr>
        <w:pStyle w:val="2"/>
        <w:rPr>
          <w:rFonts w:hint="eastAsia" w:ascii="仿宋" w:hAnsi="仿宋" w:eastAsia="仿宋" w:cs="仿宋"/>
          <w:b/>
          <w:bCs/>
          <w:sz w:val="30"/>
          <w:szCs w:val="30"/>
          <w:highlight w:val="none"/>
        </w:rPr>
      </w:pPr>
    </w:p>
    <w:p w14:paraId="74975510">
      <w:pPr>
        <w:pStyle w:val="2"/>
        <w:rPr>
          <w:rFonts w:hint="eastAsia" w:ascii="仿宋" w:hAnsi="仿宋" w:eastAsia="仿宋" w:cs="仿宋"/>
          <w:highlight w:val="none"/>
        </w:rPr>
      </w:pPr>
    </w:p>
    <w:p w14:paraId="17167CD5">
      <w:pPr>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项目</w:t>
      </w:r>
    </w:p>
    <w:p w14:paraId="1E7B4930">
      <w:pPr>
        <w:rPr>
          <w:rFonts w:hint="eastAsia" w:ascii="仿宋" w:hAnsi="仿宋" w:eastAsia="仿宋" w:cs="仿宋"/>
          <w:highlight w:val="none"/>
        </w:rPr>
      </w:pPr>
    </w:p>
    <w:p w14:paraId="0342E8BD">
      <w:pPr>
        <w:rPr>
          <w:rFonts w:hint="eastAsia" w:ascii="仿宋" w:hAnsi="仿宋" w:eastAsia="仿宋" w:cs="仿宋"/>
          <w:highlight w:val="none"/>
        </w:rPr>
      </w:pPr>
    </w:p>
    <w:p w14:paraId="517BB82F">
      <w:pPr>
        <w:rPr>
          <w:rFonts w:hint="eastAsia" w:ascii="仿宋" w:hAnsi="仿宋" w:eastAsia="仿宋" w:cs="仿宋"/>
          <w:highlight w:val="none"/>
        </w:rPr>
      </w:pPr>
    </w:p>
    <w:p w14:paraId="6A1F9CF8">
      <w:pPr>
        <w:rPr>
          <w:rFonts w:hint="eastAsia" w:ascii="仿宋" w:hAnsi="仿宋" w:eastAsia="仿宋" w:cs="仿宋"/>
          <w:highlight w:val="none"/>
        </w:rPr>
      </w:pPr>
    </w:p>
    <w:p w14:paraId="52836CF9">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72AFB700">
      <w:pPr>
        <w:jc w:val="center"/>
        <w:rPr>
          <w:rFonts w:hint="eastAsia" w:ascii="仿宋" w:hAnsi="仿宋" w:eastAsia="仿宋" w:cs="仿宋"/>
          <w:b/>
          <w:sz w:val="36"/>
          <w:szCs w:val="36"/>
          <w:highlight w:val="none"/>
        </w:rPr>
      </w:pPr>
    </w:p>
    <w:p w14:paraId="1669F34E">
      <w:pPr>
        <w:rPr>
          <w:rFonts w:hint="eastAsia" w:ascii="仿宋" w:hAnsi="仿宋" w:eastAsia="仿宋" w:cs="仿宋"/>
          <w:b/>
          <w:sz w:val="36"/>
          <w:szCs w:val="36"/>
          <w:highlight w:val="none"/>
        </w:rPr>
      </w:pPr>
    </w:p>
    <w:p w14:paraId="2784BEBD">
      <w:pPr>
        <w:jc w:val="center"/>
        <w:rPr>
          <w:rFonts w:hint="eastAsia" w:ascii="仿宋" w:hAnsi="仿宋" w:eastAsia="仿宋" w:cs="仿宋"/>
          <w:b/>
          <w:sz w:val="36"/>
          <w:szCs w:val="36"/>
          <w:highlight w:val="none"/>
        </w:rPr>
      </w:pPr>
    </w:p>
    <w:p w14:paraId="5BC6D28A">
      <w:pPr>
        <w:spacing w:before="156" w:beforeLines="50" w:line="360" w:lineRule="auto"/>
        <w:ind w:firstLine="1584" w:firstLineChars="493"/>
        <w:jc w:val="left"/>
        <w:rPr>
          <w:rFonts w:hint="eastAsia" w:ascii="仿宋" w:hAnsi="仿宋" w:eastAsia="仿宋" w:cs="仿宋"/>
          <w:sz w:val="32"/>
          <w:szCs w:val="32"/>
          <w:highlight w:val="none"/>
          <w:u w:val="single"/>
        </w:rPr>
      </w:pPr>
      <w:r>
        <w:rPr>
          <w:rFonts w:hint="eastAsia" w:ascii="仿宋" w:hAnsi="仿宋" w:eastAsia="仿宋" w:cs="仿宋"/>
          <w:b/>
          <w:bCs/>
          <w:sz w:val="32"/>
          <w:szCs w:val="32"/>
          <w:highlight w:val="none"/>
        </w:rPr>
        <w:t>采购人：</w:t>
      </w:r>
      <w:r>
        <w:rPr>
          <w:rFonts w:hint="eastAsia" w:ascii="仿宋" w:hAnsi="仿宋" w:eastAsia="仿宋" w:cs="仿宋"/>
          <w:sz w:val="32"/>
          <w:szCs w:val="32"/>
          <w:highlight w:val="none"/>
          <w:u w:val="single"/>
        </w:rPr>
        <w:t xml:space="preserve">                     </w:t>
      </w:r>
    </w:p>
    <w:p w14:paraId="6E08E9C1">
      <w:pPr>
        <w:spacing w:before="156" w:beforeLines="50" w:line="360" w:lineRule="auto"/>
        <w:ind w:firstLine="1584" w:firstLineChars="493"/>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 xml:space="preserve">  </w:t>
      </w:r>
      <w:r>
        <w:rPr>
          <w:rFonts w:hint="eastAsia" w:ascii="仿宋" w:hAnsi="仿宋" w:eastAsia="仿宋" w:cs="仿宋"/>
          <w:b/>
          <w:bCs/>
          <w:sz w:val="32"/>
          <w:szCs w:val="32"/>
          <w:highlight w:val="none"/>
        </w:rPr>
        <w:t xml:space="preserve">        </w:t>
      </w:r>
    </w:p>
    <w:p w14:paraId="24E1498C">
      <w:pPr>
        <w:pStyle w:val="2"/>
        <w:jc w:val="center"/>
        <w:rPr>
          <w:rFonts w:hint="eastAsia" w:ascii="仿宋" w:hAnsi="仿宋" w:eastAsia="仿宋" w:cs="仿宋"/>
          <w:highlight w:val="none"/>
        </w:rPr>
      </w:pPr>
      <w:r>
        <w:rPr>
          <w:rFonts w:hint="eastAsia" w:ascii="仿宋" w:hAnsi="仿宋" w:eastAsia="仿宋" w:cs="仿宋"/>
          <w:b/>
          <w:bCs/>
          <w:color w:val="auto"/>
          <w:sz w:val="32"/>
          <w:szCs w:val="32"/>
          <w:highlight w:val="none"/>
        </w:rPr>
        <w:t>二〇二</w:t>
      </w:r>
      <w:r>
        <w:rPr>
          <w:rFonts w:hint="eastAsia"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  月</w:t>
      </w:r>
    </w:p>
    <w:p w14:paraId="29449C41">
      <w:pPr>
        <w:pStyle w:val="2"/>
        <w:rPr>
          <w:rFonts w:hint="eastAsia" w:ascii="仿宋" w:hAnsi="仿宋" w:eastAsia="仿宋" w:cs="仿宋"/>
          <w:highlight w:val="none"/>
        </w:rPr>
      </w:pPr>
    </w:p>
    <w:p w14:paraId="7BC19C5F">
      <w:pPr>
        <w:pStyle w:val="2"/>
        <w:rPr>
          <w:rFonts w:hint="eastAsia" w:ascii="仿宋" w:hAnsi="仿宋" w:eastAsia="仿宋" w:cs="仿宋"/>
          <w:highlight w:val="none"/>
        </w:rPr>
      </w:pPr>
    </w:p>
    <w:p w14:paraId="642000DA">
      <w:pPr>
        <w:rPr>
          <w:rFonts w:hint="eastAsia" w:ascii="仿宋" w:hAnsi="仿宋" w:eastAsia="仿宋" w:cs="仿宋"/>
          <w:b/>
          <w:bCs/>
          <w:sz w:val="32"/>
          <w:szCs w:val="40"/>
          <w:highlight w:val="none"/>
        </w:rPr>
      </w:pPr>
      <w:r>
        <w:rPr>
          <w:rFonts w:hint="eastAsia" w:ascii="仿宋" w:hAnsi="仿宋" w:eastAsia="仿宋" w:cs="仿宋"/>
          <w:b/>
          <w:bCs/>
          <w:sz w:val="32"/>
          <w:szCs w:val="40"/>
          <w:highlight w:val="none"/>
        </w:rPr>
        <w:br w:type="page"/>
      </w:r>
    </w:p>
    <w:p w14:paraId="613AB2B7">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6E36B94E">
      <w:pPr>
        <w:tabs>
          <w:tab w:val="left" w:pos="735"/>
        </w:tabs>
        <w:autoSpaceDE w:val="0"/>
        <w:autoSpaceDN w:val="0"/>
        <w:adjustRightInd w:val="0"/>
        <w:snapToGrid w:val="0"/>
        <w:spacing w:before="240" w:beforeLines="100" w:line="360" w:lineRule="auto"/>
        <w:ind w:firstLine="482" w:firstLineChars="200"/>
        <w:rPr>
          <w:rFonts w:hint="eastAsia" w:ascii="仿宋" w:hAnsi="仿宋" w:eastAsia="仿宋" w:cs="仿宋"/>
          <w:b/>
          <w:bCs/>
          <w:color w:val="000000" w:themeColor="text1"/>
          <w:sz w:val="24"/>
          <w:highlight w:val="none"/>
          <w:u w:val="single"/>
          <w:lang w:val="zh-CN"/>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甲方：</w:t>
      </w:r>
      <w:r>
        <w:rPr>
          <w:rFonts w:hint="eastAsia" w:ascii="仿宋" w:hAnsi="仿宋" w:eastAsia="仿宋" w:cs="仿宋"/>
          <w:bCs/>
          <w:color w:val="000000" w:themeColor="text1"/>
          <w:sz w:val="24"/>
          <w:highlight w:val="none"/>
          <w:u w:val="single"/>
          <w:lang w:val="zh-CN"/>
          <w14:textFill>
            <w14:solidFill>
              <w14:schemeClr w14:val="tx1"/>
            </w14:solidFill>
          </w14:textFill>
        </w:rPr>
        <w:t xml:space="preserve">   </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highlight w:val="none"/>
          <w:u w:val="single"/>
          <w:lang w:val="zh-CN"/>
          <w14:textFill>
            <w14:solidFill>
              <w14:schemeClr w14:val="tx1"/>
            </w14:solidFill>
          </w14:textFill>
        </w:rPr>
        <w:t xml:space="preserve">  </w:t>
      </w:r>
      <w:r>
        <w:rPr>
          <w:rFonts w:hint="eastAsia" w:ascii="仿宋" w:hAnsi="仿宋" w:eastAsia="仿宋" w:cs="仿宋"/>
          <w:bCs/>
          <w:color w:val="000000" w:themeColor="text1"/>
          <w:sz w:val="24"/>
          <w:highlight w:val="none"/>
          <w:u w:val="single"/>
          <w14:textFill>
            <w14:solidFill>
              <w14:schemeClr w14:val="tx1"/>
            </w14:solidFill>
          </w14:textFill>
        </w:rPr>
        <w:t xml:space="preserve">    </w:t>
      </w:r>
    </w:p>
    <w:p w14:paraId="03D8E8C1">
      <w:pPr>
        <w:tabs>
          <w:tab w:val="left" w:pos="735"/>
        </w:tabs>
        <w:autoSpaceDE w:val="0"/>
        <w:autoSpaceDN w:val="0"/>
        <w:adjustRightInd w:val="0"/>
        <w:snapToGrid w:val="0"/>
        <w:spacing w:line="360" w:lineRule="auto"/>
        <w:ind w:firstLine="482" w:firstLineChars="200"/>
        <w:rPr>
          <w:rFonts w:hint="eastAsia" w:ascii="仿宋" w:hAnsi="仿宋" w:eastAsia="仿宋" w:cs="仿宋"/>
          <w:bCs/>
          <w:color w:val="000000" w:themeColor="text1"/>
          <w:sz w:val="24"/>
          <w:highlight w:val="none"/>
          <w:u w:val="single"/>
          <w:lang w:val="zh-CN"/>
          <w14:textFill>
            <w14:solidFill>
              <w14:schemeClr w14:val="tx1"/>
            </w14:solidFill>
          </w14:textFill>
        </w:rPr>
      </w:pPr>
      <w:r>
        <w:rPr>
          <w:rFonts w:hint="eastAsia" w:ascii="仿宋" w:hAnsi="仿宋" w:eastAsia="仿宋" w:cs="仿宋"/>
          <w:b/>
          <w:bCs/>
          <w:color w:val="000000" w:themeColor="text1"/>
          <w:sz w:val="24"/>
          <w:highlight w:val="none"/>
          <w:lang w:val="zh-CN"/>
          <w14:textFill>
            <w14:solidFill>
              <w14:schemeClr w14:val="tx1"/>
            </w14:solidFill>
          </w14:textFill>
        </w:rPr>
        <w:t>乙方：</w:t>
      </w:r>
      <w:r>
        <w:rPr>
          <w:rFonts w:hint="eastAsia" w:ascii="仿宋" w:hAnsi="仿宋" w:eastAsia="仿宋" w:cs="仿宋"/>
          <w:bCs/>
          <w:color w:val="000000" w:themeColor="text1"/>
          <w:sz w:val="24"/>
          <w:highlight w:val="none"/>
          <w:u w:val="single"/>
          <w:lang w:val="zh-CN"/>
          <w14:textFill>
            <w14:solidFill>
              <w14:schemeClr w14:val="tx1"/>
            </w14:solidFill>
          </w14:textFill>
        </w:rPr>
        <w:t xml:space="preserve">  </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highlight w:val="none"/>
          <w:u w:val="single"/>
          <w:lang w:val="zh-CN"/>
          <w14:textFill>
            <w14:solidFill>
              <w14:schemeClr w14:val="tx1"/>
            </w14:solidFill>
          </w14:textFill>
        </w:rPr>
        <w:t xml:space="preserve">   </w:t>
      </w:r>
    </w:p>
    <w:p w14:paraId="782675F5">
      <w:pPr>
        <w:adjustRightInd w:val="0"/>
        <w:snapToGrid w:val="0"/>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bookmarkStart w:id="1" w:name="_Toc19515384"/>
      <w:r>
        <w:rPr>
          <w:rFonts w:hint="eastAsia" w:ascii="仿宋" w:hAnsi="仿宋" w:eastAsia="仿宋" w:cs="仿宋"/>
          <w:b/>
          <w:bCs/>
          <w:color w:val="000000" w:themeColor="text1"/>
          <w:sz w:val="24"/>
          <w:highlight w:val="none"/>
          <w14:textFill>
            <w14:solidFill>
              <w14:schemeClr w14:val="tx1"/>
            </w14:solidFill>
          </w14:textFill>
        </w:rPr>
        <w:t>一、合同内容</w:t>
      </w:r>
      <w:r>
        <w:rPr>
          <w:rFonts w:hint="eastAsia" w:ascii="仿宋" w:hAnsi="仿宋" w:eastAsia="仿宋" w:cs="仿宋"/>
          <w:color w:val="000000" w:themeColor="text1"/>
          <w:sz w:val="24"/>
          <w:highlight w:val="none"/>
          <w14:textFill>
            <w14:solidFill>
              <w14:schemeClr w14:val="tx1"/>
            </w14:solidFill>
          </w14:textFill>
        </w:rPr>
        <w:t>（标的、数量、质量等）</w:t>
      </w:r>
      <w:bookmarkEnd w:id="1"/>
      <w:r>
        <w:rPr>
          <w:rFonts w:hint="eastAsia" w:ascii="仿宋" w:hAnsi="仿宋" w:eastAsia="仿宋" w:cs="仿宋"/>
          <w:color w:val="000000" w:themeColor="text1"/>
          <w:sz w:val="24"/>
          <w:highlight w:val="none"/>
          <w14:textFill>
            <w14:solidFill>
              <w14:schemeClr w14:val="tx1"/>
            </w14:solidFill>
          </w14:textFill>
        </w:rPr>
        <w:t>：</w:t>
      </w:r>
    </w:p>
    <w:p w14:paraId="57D11A26">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本政府采购合同所附下列文件是构成本政府采购合同不可分割的部分：</w:t>
      </w:r>
    </w:p>
    <w:p w14:paraId="231406E3">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1.磋商文件；</w:t>
      </w:r>
    </w:p>
    <w:p w14:paraId="652264D5">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2.磋商文件的更正公告、变更公告；</w:t>
      </w:r>
    </w:p>
    <w:p w14:paraId="4FF63988">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3.成交供应商提交的磋商响应文件；</w:t>
      </w:r>
    </w:p>
    <w:p w14:paraId="2D8398AB">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4.政府采购合同条款；</w:t>
      </w:r>
    </w:p>
    <w:p w14:paraId="3006E1F8">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5.成交通知书；</w:t>
      </w:r>
    </w:p>
    <w:p w14:paraId="4B33A63A">
      <w:pPr>
        <w:tabs>
          <w:tab w:val="left" w:pos="735"/>
        </w:tabs>
        <w:autoSpaceDE w:val="0"/>
        <w:autoSpaceDN w:val="0"/>
        <w:adjustRightInd w:val="0"/>
        <w:snapToGrid w:val="0"/>
        <w:spacing w:line="360" w:lineRule="auto"/>
        <w:ind w:firstLine="480" w:firstLineChars="20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6.政府采购合同的其它附件。</w:t>
      </w:r>
    </w:p>
    <w:p w14:paraId="40FBC72D">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bookmarkStart w:id="2" w:name="_Toc19515385"/>
      <w:r>
        <w:rPr>
          <w:rFonts w:hint="eastAsia" w:ascii="仿宋" w:hAnsi="仿宋" w:eastAsia="仿宋" w:cs="仿宋"/>
          <w:b/>
          <w:bCs/>
          <w:color w:val="000000" w:themeColor="text1"/>
          <w:sz w:val="24"/>
          <w:highlight w:val="none"/>
          <w14:textFill>
            <w14:solidFill>
              <w14:schemeClr w14:val="tx1"/>
            </w14:solidFill>
          </w14:textFill>
        </w:rPr>
        <w:t>二、合同价款</w:t>
      </w:r>
      <w:bookmarkEnd w:id="2"/>
    </w:p>
    <w:p w14:paraId="7F12C82E">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1、合同总价：</w:t>
      </w:r>
      <w:r>
        <w:rPr>
          <w:rFonts w:hint="eastAsia" w:ascii="仿宋" w:hAnsi="仿宋" w:eastAsia="仿宋" w:cs="仿宋"/>
          <w:color w:val="000000" w:themeColor="text1"/>
          <w:sz w:val="24"/>
          <w:highlight w:val="none"/>
          <w:lang w:val="en-US" w:eastAsia="zh-CN"/>
          <w14:textFill>
            <w14:solidFill>
              <w14:schemeClr w14:val="tx1"/>
            </w14:solidFill>
          </w14:textFill>
        </w:rPr>
        <w:t>人民币</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元整）</w:t>
      </w:r>
    </w:p>
    <w:p w14:paraId="055EA21C">
      <w:pPr>
        <w:pStyle w:val="3"/>
        <w:tabs>
          <w:tab w:val="left" w:pos="2100"/>
        </w:tabs>
        <w:adjustRightInd w:val="0"/>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2、合同总价包括：提供磋商文件要求服务的所有费用，包括但不限于提供项目实施费、培训费、人工费、材料费、管理费、</w:t>
      </w:r>
      <w:r>
        <w:rPr>
          <w:rFonts w:hint="eastAsia" w:ascii="仿宋" w:hAnsi="仿宋" w:eastAsia="仿宋" w:cs="仿宋"/>
          <w:color w:val="000000" w:themeColor="text1"/>
          <w:sz w:val="24"/>
          <w:highlight w:val="none"/>
          <w:lang w:val="en-US" w:eastAsia="zh-CN"/>
          <w14:textFill>
            <w14:solidFill>
              <w14:schemeClr w14:val="tx1"/>
            </w14:solidFill>
          </w14:textFill>
        </w:rPr>
        <w:t>资料费、</w:t>
      </w:r>
      <w:r>
        <w:rPr>
          <w:rFonts w:hint="eastAsia" w:ascii="仿宋" w:hAnsi="仿宋" w:eastAsia="仿宋" w:cs="仿宋"/>
          <w:color w:val="000000" w:themeColor="text1"/>
          <w:sz w:val="24"/>
          <w:highlight w:val="none"/>
          <w14:textFill>
            <w14:solidFill>
              <w14:schemeClr w14:val="tx1"/>
            </w14:solidFill>
          </w14:textFill>
        </w:rPr>
        <w:t>供应商应缴纳的所有税费、规费、保险费（如果有）等全部费用。</w:t>
      </w:r>
    </w:p>
    <w:p w14:paraId="52A845AF">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3、合同为固定总价合同，不受市场价变化的影响。</w:t>
      </w:r>
    </w:p>
    <w:p w14:paraId="52862239">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bookmarkStart w:id="3" w:name="_Toc19515386"/>
      <w:r>
        <w:rPr>
          <w:rFonts w:hint="eastAsia" w:ascii="仿宋" w:hAnsi="仿宋" w:eastAsia="仿宋" w:cs="仿宋"/>
          <w:b/>
          <w:bCs/>
          <w:color w:val="000000" w:themeColor="text1"/>
          <w:sz w:val="24"/>
          <w:highlight w:val="none"/>
          <w14:textFill>
            <w14:solidFill>
              <w14:schemeClr w14:val="tx1"/>
            </w14:solidFill>
          </w14:textFill>
        </w:rPr>
        <w:t>三、合同结算</w:t>
      </w:r>
      <w:bookmarkEnd w:id="3"/>
    </w:p>
    <w:p w14:paraId="6DD33FCB">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1、付款比例：</w:t>
      </w:r>
    </w:p>
    <w:p w14:paraId="3B858541">
      <w:pPr>
        <w:adjustRightInd w:val="0"/>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（1）合同签订后十个工作日内，成交供应商向采购人出具的银行保函（保函金额合同签署前由采购人确定，保函有效期截止时间为本项目验收合格后满六个月）；</w:t>
      </w:r>
    </w:p>
    <w:p w14:paraId="70B04EE6">
      <w:pPr>
        <w:adjustRightInd w:val="0"/>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lang w:eastAsia="zh-CN"/>
          <w14:textFill>
            <w14:solidFill>
              <w14:schemeClr w14:val="tx1"/>
            </w14:solidFill>
          </w14:textFill>
        </w:rPr>
        <w:t>）采购人收到成交供应商合格银行保函后支付全部合同总价款。</w:t>
      </w:r>
    </w:p>
    <w:p w14:paraId="0DA5AFF0">
      <w:pPr>
        <w:adjustRightInd w:val="0"/>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（3）成交供应商承诺在采购人办理支付手续前，为采购人出具等额的符合国家规定的发票。</w:t>
      </w:r>
    </w:p>
    <w:p w14:paraId="54CDDE3B">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（4）上述时间不包括采购人正常办理支付报批手续的时间。</w:t>
      </w:r>
    </w:p>
    <w:p w14:paraId="3E0C0C7C">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2、结算方式：银行转账。</w:t>
      </w:r>
    </w:p>
    <w:p w14:paraId="506AEEF6">
      <w:pPr>
        <w:adjustRightInd w:val="0"/>
        <w:snapToGrid w:val="0"/>
        <w:spacing w:line="360" w:lineRule="auto"/>
        <w:ind w:firstLine="480" w:firstLineChars="200"/>
        <w:rPr>
          <w:rFonts w:hint="eastAsia" w:ascii="仿宋" w:hAnsi="仿宋" w:eastAsia="仿宋" w:cs="仿宋"/>
          <w:b/>
          <w:bCs/>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3、结算单位：由</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负责结算，乙方开具合同总价数的全额发票交采购人。</w:t>
      </w:r>
      <w:bookmarkStart w:id="4" w:name="_Toc19515387"/>
    </w:p>
    <w:p w14:paraId="57D7EF86">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四、</w:t>
      </w:r>
      <w:r>
        <w:rPr>
          <w:rFonts w:hint="eastAsia" w:ascii="仿宋" w:hAnsi="仿宋" w:eastAsia="仿宋" w:cs="仿宋"/>
          <w:b/>
          <w:bCs/>
          <w:color w:val="000000" w:themeColor="text1"/>
          <w:sz w:val="24"/>
          <w:highlight w:val="none"/>
          <w:lang w:eastAsia="zh-CN"/>
          <w14:textFill>
            <w14:solidFill>
              <w14:schemeClr w14:val="tx1"/>
            </w14:solidFill>
          </w14:textFill>
        </w:rPr>
        <w:t>服务期限</w:t>
      </w:r>
      <w:r>
        <w:rPr>
          <w:rFonts w:hint="eastAsia" w:ascii="仿宋" w:hAnsi="仿宋" w:eastAsia="仿宋" w:cs="仿宋"/>
          <w:b/>
          <w:bCs/>
          <w:color w:val="000000" w:themeColor="text1"/>
          <w:sz w:val="24"/>
          <w:highlight w:val="none"/>
          <w14:textFill>
            <w14:solidFill>
              <w14:schemeClr w14:val="tx1"/>
            </w14:solidFill>
          </w14:textFill>
        </w:rPr>
        <w:t>、地点及方式</w:t>
      </w:r>
      <w:bookmarkEnd w:id="4"/>
      <w:r>
        <w:rPr>
          <w:rFonts w:hint="eastAsia" w:ascii="仿宋" w:hAnsi="仿宋" w:eastAsia="仿宋" w:cs="仿宋"/>
          <w:b/>
          <w:bCs/>
          <w:color w:val="000000" w:themeColor="text1"/>
          <w:sz w:val="24"/>
          <w:highlight w:val="none"/>
          <w14:textFill>
            <w14:solidFill>
              <w14:schemeClr w14:val="tx1"/>
            </w14:solidFill>
          </w14:textFill>
        </w:rPr>
        <w:t>：</w:t>
      </w:r>
    </w:p>
    <w:p w14:paraId="38C8ED0E">
      <w:pPr>
        <w:adjustRightInd w:val="0"/>
        <w:snapToGrid w:val="0"/>
        <w:spacing w:line="360" w:lineRule="auto"/>
        <w:ind w:firstLine="480" w:firstLineChars="200"/>
        <w:rPr>
          <w:rFonts w:hint="eastAsia" w:ascii="仿宋" w:hAnsi="仿宋" w:eastAsia="仿宋" w:cs="仿宋"/>
          <w:color w:val="000000" w:themeColor="text1"/>
          <w:sz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1、服务期限：</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p>
    <w:p w14:paraId="5D63DAF0">
      <w:pPr>
        <w:adjustRightInd w:val="0"/>
        <w:snapToGrid w:val="0"/>
        <w:spacing w:line="36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地点：</w:t>
      </w:r>
      <w:r>
        <w:rPr>
          <w:rFonts w:hint="eastAsia" w:ascii="仿宋" w:hAnsi="仿宋" w:eastAsia="仿宋" w:cs="仿宋"/>
          <w:color w:val="000000" w:themeColor="text1"/>
          <w:sz w:val="24"/>
          <w:highlight w:val="none"/>
          <w:lang w:val="en-US" w:eastAsia="zh-CN"/>
          <w14:textFill>
            <w14:solidFill>
              <w14:schemeClr w14:val="tx1"/>
            </w14:solidFill>
          </w14:textFill>
        </w:rPr>
        <w:t>采购人指定地点</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p>
    <w:p w14:paraId="05A53E17">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3、方式：采购人指定方式。</w:t>
      </w:r>
    </w:p>
    <w:p w14:paraId="229238D4">
      <w:pPr>
        <w:adjustRightInd w:val="0"/>
        <w:snapToGrid w:val="0"/>
        <w:spacing w:line="360" w:lineRule="auto"/>
        <w:ind w:firstLine="482" w:firstLineChars="200"/>
        <w:rPr>
          <w:rFonts w:hint="eastAsia" w:ascii="仿宋" w:hAnsi="仿宋" w:eastAsia="仿宋" w:cs="仿宋"/>
          <w:b/>
          <w:bCs/>
          <w:color w:val="000000" w:themeColor="text1"/>
          <w:sz w:val="24"/>
          <w:highlight w:val="none"/>
          <w:lang w:val="en-US" w:eastAsia="zh-CN"/>
          <w14:textFill>
            <w14:solidFill>
              <w14:schemeClr w14:val="tx1"/>
            </w14:solidFill>
          </w14:textFill>
        </w:rPr>
      </w:pPr>
      <w:bookmarkStart w:id="5" w:name="_Toc19515390"/>
      <w:r>
        <w:rPr>
          <w:rFonts w:hint="eastAsia" w:ascii="仿宋" w:hAnsi="仿宋" w:eastAsia="仿宋" w:cs="仿宋"/>
          <w:b/>
          <w:bCs/>
          <w:color w:val="000000" w:themeColor="text1"/>
          <w:sz w:val="24"/>
          <w:highlight w:val="none"/>
          <w14:textFill>
            <w14:solidFill>
              <w14:schemeClr w14:val="tx1"/>
            </w14:solidFill>
          </w14:textFill>
        </w:rPr>
        <w:t>五、服务</w:t>
      </w:r>
      <w:bookmarkEnd w:id="5"/>
      <w:r>
        <w:rPr>
          <w:rFonts w:hint="eastAsia" w:ascii="仿宋" w:hAnsi="仿宋" w:eastAsia="仿宋" w:cs="仿宋"/>
          <w:b/>
          <w:bCs/>
          <w:color w:val="000000" w:themeColor="text1"/>
          <w:sz w:val="24"/>
          <w:highlight w:val="none"/>
          <w:lang w:val="en-US" w:eastAsia="zh-CN"/>
          <w14:textFill>
            <w14:solidFill>
              <w14:schemeClr w14:val="tx1"/>
            </w14:solidFill>
          </w14:textFill>
        </w:rPr>
        <w:t>内容</w:t>
      </w:r>
    </w:p>
    <w:p w14:paraId="49E98615">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bookmarkStart w:id="6" w:name="_Toc19515391"/>
      <w:r>
        <w:rPr>
          <w:rFonts w:hint="eastAsia" w:ascii="仿宋" w:hAnsi="仿宋" w:eastAsia="仿宋" w:cs="仿宋"/>
          <w:color w:val="000000" w:themeColor="text1"/>
          <w:sz w:val="24"/>
          <w:highlight w:val="none"/>
          <w:lang w:val="en-US" w:eastAsia="zh-CN"/>
          <w14:textFill>
            <w14:solidFill>
              <w14:schemeClr w14:val="tx1"/>
            </w14:solidFill>
          </w14:textFill>
        </w:rPr>
        <w:t>详见磋商文件第四章磋商要求及说明。</w:t>
      </w:r>
    </w:p>
    <w:p w14:paraId="35F662AE">
      <w:pPr>
        <w:adjustRightInd w:val="0"/>
        <w:snapToGrid w:val="0"/>
        <w:spacing w:line="360" w:lineRule="auto"/>
        <w:ind w:firstLine="482" w:firstLineChars="200"/>
        <w:rPr>
          <w:rFonts w:hint="eastAsia" w:ascii="仿宋" w:hAnsi="仿宋" w:eastAsia="仿宋" w:cs="仿宋"/>
          <w:b/>
          <w:bCs/>
          <w:color w:val="000000" w:themeColor="text1"/>
          <w:sz w:val="24"/>
          <w:highlight w:val="none"/>
          <w:lang w:val="en-US" w:eastAsia="zh-CN"/>
          <w14:textFill>
            <w14:solidFill>
              <w14:schemeClr w14:val="tx1"/>
            </w14:solidFill>
          </w14:textFill>
        </w:rPr>
      </w:pPr>
      <w:r>
        <w:rPr>
          <w:rFonts w:hint="eastAsia" w:ascii="仿宋" w:hAnsi="仿宋" w:eastAsia="仿宋" w:cs="仿宋"/>
          <w:b/>
          <w:bCs/>
          <w:color w:val="000000" w:themeColor="text1"/>
          <w:sz w:val="24"/>
          <w:highlight w:val="none"/>
          <w:lang w:val="en-US" w:eastAsia="zh-CN"/>
          <w14:textFill>
            <w14:solidFill>
              <w14:schemeClr w14:val="tx1"/>
            </w14:solidFill>
          </w14:textFill>
        </w:rPr>
        <w:t>六、双方权利与义务</w:t>
      </w:r>
    </w:p>
    <w:p w14:paraId="0381BBEB">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1、甲方权利与义务。</w:t>
      </w:r>
    </w:p>
    <w:p w14:paraId="0E46C8BD">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（1）甲方提供乙方开始实施项目中所需的必要资料等；</w:t>
      </w:r>
    </w:p>
    <w:p w14:paraId="11250D7B">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（2）甲方按照合同要求核销、结算支付合同价款；</w:t>
      </w:r>
    </w:p>
    <w:p w14:paraId="3D30F0A3">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（3）其他：</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双方约定  </w:t>
      </w:r>
      <w:r>
        <w:rPr>
          <w:rFonts w:hint="eastAsia" w:ascii="仿宋" w:hAnsi="仿宋" w:eastAsia="仿宋" w:cs="仿宋"/>
          <w:color w:val="000000" w:themeColor="text1"/>
          <w:sz w:val="24"/>
          <w:highlight w:val="none"/>
          <w:lang w:val="en-US" w:eastAsia="zh-CN"/>
          <w14:textFill>
            <w14:solidFill>
              <w14:schemeClr w14:val="tx1"/>
            </w14:solidFill>
          </w14:textFill>
        </w:rPr>
        <w:t>。</w:t>
      </w:r>
    </w:p>
    <w:p w14:paraId="7F5E92DC">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2、乙方权利与义务。</w:t>
      </w:r>
    </w:p>
    <w:p w14:paraId="61724154">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（1）乙方应按照服务要求完成本次合同约定的全部服务要求；</w:t>
      </w:r>
    </w:p>
    <w:p w14:paraId="5C76C95F">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（2）乙方按照合同要求提供核销、结算发票及甲方要求的相关资料等；</w:t>
      </w:r>
    </w:p>
    <w:p w14:paraId="2085A073">
      <w:pPr>
        <w:adjustRightInd w:val="0"/>
        <w:snapToGrid w:val="0"/>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（3）其他：</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双方约定  </w:t>
      </w:r>
      <w:r>
        <w:rPr>
          <w:rFonts w:hint="eastAsia" w:ascii="仿宋" w:hAnsi="仿宋" w:eastAsia="仿宋" w:cs="仿宋"/>
          <w:color w:val="000000" w:themeColor="text1"/>
          <w:sz w:val="24"/>
          <w:highlight w:val="none"/>
          <w:lang w:val="en-US" w:eastAsia="zh-CN"/>
          <w14:textFill>
            <w14:solidFill>
              <w14:schemeClr w14:val="tx1"/>
            </w14:solidFill>
          </w14:textFill>
        </w:rPr>
        <w:t>。</w:t>
      </w:r>
    </w:p>
    <w:p w14:paraId="4BCE172D">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val="en-US" w:eastAsia="zh-CN"/>
          <w14:textFill>
            <w14:solidFill>
              <w14:schemeClr w14:val="tx1"/>
            </w14:solidFill>
          </w14:textFill>
        </w:rPr>
        <w:t>七</w:t>
      </w:r>
      <w:r>
        <w:rPr>
          <w:rFonts w:hint="eastAsia" w:ascii="仿宋" w:hAnsi="仿宋" w:eastAsia="仿宋" w:cs="仿宋"/>
          <w:b/>
          <w:bCs/>
          <w:color w:val="000000" w:themeColor="text1"/>
          <w:sz w:val="24"/>
          <w:highlight w:val="none"/>
          <w14:textFill>
            <w14:solidFill>
              <w14:schemeClr w14:val="tx1"/>
            </w14:solidFill>
          </w14:textFill>
        </w:rPr>
        <w:t>、</w:t>
      </w:r>
      <w:bookmarkEnd w:id="6"/>
      <w:bookmarkStart w:id="7" w:name="_Toc19515392"/>
      <w:r>
        <w:rPr>
          <w:rFonts w:hint="eastAsia" w:ascii="仿宋" w:hAnsi="仿宋" w:eastAsia="仿宋" w:cs="仿宋"/>
          <w:b/>
          <w:bCs/>
          <w:color w:val="000000" w:themeColor="text1"/>
          <w:sz w:val="24"/>
          <w:highlight w:val="none"/>
          <w14:textFill>
            <w14:solidFill>
              <w14:schemeClr w14:val="tx1"/>
            </w14:solidFill>
          </w14:textFill>
        </w:rPr>
        <w:t>违约责任</w:t>
      </w:r>
      <w:bookmarkEnd w:id="7"/>
    </w:p>
    <w:p w14:paraId="0C16997E">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1、按《</w:t>
      </w:r>
      <w:r>
        <w:rPr>
          <w:rFonts w:hint="eastAsia" w:ascii="仿宋" w:hAnsi="仿宋" w:eastAsia="仿宋" w:cs="仿宋"/>
          <w:color w:val="000000" w:themeColor="text1"/>
          <w:sz w:val="24"/>
          <w:highlight w:val="none"/>
          <w:lang w:eastAsia="zh-CN"/>
          <w14:textFill>
            <w14:solidFill>
              <w14:schemeClr w14:val="tx1"/>
            </w14:solidFill>
          </w14:textFill>
        </w:rPr>
        <w:t>中华人民共和国民法典</w:t>
      </w:r>
      <w:r>
        <w:rPr>
          <w:rFonts w:hint="eastAsia" w:ascii="仿宋" w:hAnsi="仿宋" w:eastAsia="仿宋" w:cs="仿宋"/>
          <w:color w:val="000000" w:themeColor="text1"/>
          <w:sz w:val="24"/>
          <w:highlight w:val="none"/>
          <w14:textFill>
            <w14:solidFill>
              <w14:schemeClr w14:val="tx1"/>
            </w14:solidFill>
          </w14:textFill>
        </w:rPr>
        <w:t>》中的相关条款执行。</w:t>
      </w:r>
    </w:p>
    <w:p w14:paraId="52F4B267">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2、乙方履约延误</w:t>
      </w:r>
    </w:p>
    <w:p w14:paraId="4B302180">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2-1、如乙方事先未征得甲方同意并得到甲方的谅解而单方面延迟执行合同，应按合同总价款</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%向甲方支付违约金，同事甲方有权单方终止合同。</w:t>
      </w:r>
    </w:p>
    <w:p w14:paraId="67548ECA">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w:t>
      </w:r>
      <w:r>
        <w:rPr>
          <w:rFonts w:hint="eastAsia" w:ascii="仿宋" w:hAnsi="仿宋" w:eastAsia="仿宋" w:cs="仿宋"/>
          <w:color w:val="000000" w:themeColor="text1"/>
          <w:sz w:val="24"/>
          <w:highlight w:val="none"/>
          <w:lang w:val="en-US" w:eastAsia="zh-CN"/>
          <w14:textFill>
            <w14:solidFill>
              <w14:schemeClr w14:val="tx1"/>
            </w14:solidFill>
          </w14:textFill>
        </w:rPr>
        <w:t>或修改服务</w:t>
      </w:r>
      <w:r>
        <w:rPr>
          <w:rFonts w:hint="eastAsia" w:ascii="仿宋" w:hAnsi="仿宋" w:eastAsia="仿宋" w:cs="仿宋"/>
          <w:color w:val="000000" w:themeColor="text1"/>
          <w:sz w:val="24"/>
          <w:highlight w:val="none"/>
          <w14:textFill>
            <w14:solidFill>
              <w14:schemeClr w14:val="tx1"/>
            </w14:solidFill>
          </w14:textFill>
        </w:rPr>
        <w:t>时间或对乙方加收误期赔偿金。</w:t>
      </w:r>
    </w:p>
    <w:p w14:paraId="427A47F1">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3、违约终止合同：未按合同要求提供服务或不能满足</w:t>
      </w:r>
      <w:r>
        <w:rPr>
          <w:rFonts w:hint="eastAsia" w:ascii="仿宋" w:hAnsi="仿宋" w:eastAsia="仿宋" w:cs="仿宋"/>
          <w:color w:val="000000" w:themeColor="text1"/>
          <w:sz w:val="24"/>
          <w:highlight w:val="none"/>
          <w:lang w:val="en-US" w:eastAsia="zh-CN"/>
          <w14:textFill>
            <w14:solidFill>
              <w14:schemeClr w14:val="tx1"/>
            </w14:solidFill>
          </w14:textFill>
        </w:rPr>
        <w:t>服务标准的</w:t>
      </w:r>
      <w:r>
        <w:rPr>
          <w:rFonts w:hint="eastAsia" w:ascii="仿宋" w:hAnsi="仿宋" w:eastAsia="仿宋" w:cs="仿宋"/>
          <w:color w:val="000000" w:themeColor="text1"/>
          <w:sz w:val="24"/>
          <w:highlight w:val="none"/>
          <w14:textFill>
            <w14:solidFill>
              <w14:schemeClr w14:val="tx1"/>
            </w14:solidFill>
          </w14:textFill>
        </w:rPr>
        <w:t>，甲方会同监督机构有权终止合同，对乙方违约行为进行追究，同时按政府采购法的有关规定进行相应的处罚。</w:t>
      </w:r>
    </w:p>
    <w:p w14:paraId="19E0756C">
      <w:pPr>
        <w:pStyle w:val="7"/>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4.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13610ECF">
      <w:pPr>
        <w:pStyle w:val="7"/>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5.如乙方未按合同要求提供服务或服务质量不能满足服务要求的，甲方有权终止合同，并对乙方违约行为进行追究，同时按《中华人民共和国政府采购法》有关规定进行处罚。</w:t>
      </w:r>
    </w:p>
    <w:p w14:paraId="0FBE957D">
      <w:pPr>
        <w:pStyle w:val="7"/>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6.成交供应商不得对业务进行分包或转包。否则采购人有权终止合同，成交单位承担由此造成的一切经济损失。</w:t>
      </w:r>
    </w:p>
    <w:p w14:paraId="39A51443">
      <w:pPr>
        <w:pStyle w:val="7"/>
        <w:spacing w:line="480" w:lineRule="exact"/>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7.成交单位不得在服务期间对项目管理人员进行更换，如遇特殊情况须经采购人同意。采购人发现项目管理人员工作不力时，有权提出更换人员，更换人员必须及时到场。</w:t>
      </w:r>
    </w:p>
    <w:p w14:paraId="24E4D1FF">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bookmarkStart w:id="8" w:name="_Toc19515393"/>
      <w:r>
        <w:rPr>
          <w:rFonts w:hint="eastAsia" w:ascii="仿宋" w:hAnsi="仿宋" w:eastAsia="仿宋" w:cs="仿宋"/>
          <w:b/>
          <w:bCs/>
          <w:color w:val="000000" w:themeColor="text1"/>
          <w:sz w:val="24"/>
          <w:highlight w:val="none"/>
          <w:lang w:val="en-US" w:eastAsia="zh-CN"/>
          <w14:textFill>
            <w14:solidFill>
              <w14:schemeClr w14:val="tx1"/>
            </w14:solidFill>
          </w14:textFill>
        </w:rPr>
        <w:t>八</w:t>
      </w:r>
      <w:r>
        <w:rPr>
          <w:rFonts w:hint="eastAsia" w:ascii="仿宋" w:hAnsi="仿宋" w:eastAsia="仿宋" w:cs="仿宋"/>
          <w:b/>
          <w:bCs/>
          <w:color w:val="000000" w:themeColor="text1"/>
          <w:sz w:val="24"/>
          <w:highlight w:val="none"/>
          <w14:textFill>
            <w14:solidFill>
              <w14:schemeClr w14:val="tx1"/>
            </w14:solidFill>
          </w14:textFill>
        </w:rPr>
        <w:t>、合同组成</w:t>
      </w:r>
      <w:bookmarkEnd w:id="8"/>
    </w:p>
    <w:p w14:paraId="220AC9B2">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1、成交通知书</w:t>
      </w:r>
    </w:p>
    <w:p w14:paraId="03E7E674">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2、合同文件</w:t>
      </w:r>
    </w:p>
    <w:p w14:paraId="13F0650A">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3、国家相关规范及标准</w:t>
      </w:r>
    </w:p>
    <w:p w14:paraId="461BD0E3">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4、竞争性磋商文件</w:t>
      </w:r>
    </w:p>
    <w:p w14:paraId="24844212">
      <w:pPr>
        <w:adjustRightInd w:val="0"/>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5、成交供应商的响应文件</w:t>
      </w:r>
    </w:p>
    <w:p w14:paraId="144AF7F3">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bookmarkStart w:id="9" w:name="_Toc19515394"/>
      <w:r>
        <w:rPr>
          <w:rFonts w:hint="eastAsia" w:ascii="仿宋" w:hAnsi="仿宋" w:eastAsia="仿宋" w:cs="仿宋"/>
          <w:b/>
          <w:bCs/>
          <w:color w:val="000000" w:themeColor="text1"/>
          <w:sz w:val="24"/>
          <w:highlight w:val="none"/>
          <w:lang w:val="en-US" w:eastAsia="zh-CN"/>
          <w14:textFill>
            <w14:solidFill>
              <w14:schemeClr w14:val="tx1"/>
            </w14:solidFill>
          </w14:textFill>
        </w:rPr>
        <w:t>九</w:t>
      </w:r>
      <w:r>
        <w:rPr>
          <w:rFonts w:hint="eastAsia" w:ascii="仿宋" w:hAnsi="仿宋" w:eastAsia="仿宋" w:cs="仿宋"/>
          <w:b/>
          <w:bCs/>
          <w:color w:val="000000" w:themeColor="text1"/>
          <w:sz w:val="24"/>
          <w:highlight w:val="none"/>
          <w14:textFill>
            <w14:solidFill>
              <w14:schemeClr w14:val="tx1"/>
            </w14:solidFill>
          </w14:textFill>
        </w:rPr>
        <w:t>、解决争议的方法</w:t>
      </w:r>
      <w:bookmarkEnd w:id="9"/>
    </w:p>
    <w:p w14:paraId="4D68B73E">
      <w:pPr>
        <w:widowControl/>
        <w:autoSpaceDE w:val="0"/>
        <w:autoSpaceDN w:val="0"/>
        <w:snapToGrid w:val="0"/>
        <w:spacing w:line="360" w:lineRule="auto"/>
        <w:ind w:right="-110"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凡因本合同引起的或与本合同有关的争议，双方应友好协商解决。协商不成时，双方均同意采用以下第（ </w:t>
      </w:r>
      <w:r>
        <w:rPr>
          <w:rFonts w:hint="eastAsia" w:ascii="仿宋" w:hAnsi="仿宋" w:eastAsia="仿宋" w:cs="仿宋"/>
          <w:color w:val="000000" w:themeColor="text1"/>
          <w:kern w:val="0"/>
          <w:sz w:val="24"/>
          <w:highlight w:val="none"/>
          <w:lang w:val="en-US" w:eastAsia="zh-CN"/>
          <w14:textFill>
            <w14:solidFill>
              <w14:schemeClr w14:val="tx1"/>
            </w14:solidFill>
          </w14:textFill>
        </w:rPr>
        <w:t>1</w:t>
      </w:r>
      <w:r>
        <w:rPr>
          <w:rFonts w:hint="eastAsia" w:ascii="仿宋" w:hAnsi="仿宋" w:eastAsia="仿宋" w:cs="仿宋"/>
          <w:color w:val="000000" w:themeColor="text1"/>
          <w:kern w:val="0"/>
          <w:sz w:val="24"/>
          <w:highlight w:val="none"/>
          <w14:textFill>
            <w14:solidFill>
              <w14:schemeClr w14:val="tx1"/>
            </w14:solidFill>
          </w14:textFill>
        </w:rPr>
        <w:t xml:space="preserve"> ）种争议解决方式：</w:t>
      </w:r>
    </w:p>
    <w:p w14:paraId="56D8CAA0">
      <w:pPr>
        <w:widowControl/>
        <w:autoSpaceDE w:val="0"/>
        <w:autoSpaceDN w:val="0"/>
        <w:snapToGrid w:val="0"/>
        <w:spacing w:line="360" w:lineRule="auto"/>
        <w:ind w:right="-110"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1、甲、乙双方均同意向</w:t>
      </w:r>
      <w:r>
        <w:rPr>
          <w:rFonts w:hint="eastAsia" w:ascii="仿宋" w:hAnsi="仿宋" w:eastAsia="仿宋" w:cs="仿宋"/>
          <w:color w:val="000000" w:themeColor="text1"/>
          <w:kern w:val="0"/>
          <w:sz w:val="24"/>
          <w:highlight w:val="none"/>
          <w:u w:val="single"/>
          <w14:textFill>
            <w14:solidFill>
              <w14:schemeClr w14:val="tx1"/>
            </w14:solidFill>
          </w14:textFill>
        </w:rPr>
        <w:t>（甲方所在地人民法院）</w:t>
      </w:r>
      <w:r>
        <w:rPr>
          <w:rFonts w:hint="eastAsia" w:ascii="仿宋" w:hAnsi="仿宋" w:eastAsia="仿宋" w:cs="仿宋"/>
          <w:color w:val="000000" w:themeColor="text1"/>
          <w:kern w:val="0"/>
          <w:sz w:val="24"/>
          <w:highlight w:val="none"/>
          <w14:textFill>
            <w14:solidFill>
              <w14:schemeClr w14:val="tx1"/>
            </w14:solidFill>
          </w14:textFill>
        </w:rPr>
        <w:t>提起诉讼。</w:t>
      </w:r>
    </w:p>
    <w:p w14:paraId="10EB45C6">
      <w:pPr>
        <w:widowControl/>
        <w:autoSpaceDE w:val="0"/>
        <w:autoSpaceDN w:val="0"/>
        <w:snapToGrid w:val="0"/>
        <w:spacing w:line="360" w:lineRule="auto"/>
        <w:ind w:right="-110"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2、甲、乙双方均同意向（</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"http://www.baidu.com/s?wd=%E4%BB%B2%E8%A3%81%E5%A7%94%E5%91%98%E4%BC%9A&amp;tn=SE_PcZhidaonwhc_ngpagmjz&amp;rsv_dl=gh_pc_zhidao" \t "_blank"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kern w:val="0"/>
          <w:sz w:val="24"/>
          <w:highlight w:val="none"/>
          <w14:textFill>
            <w14:solidFill>
              <w14:schemeClr w14:val="tx1"/>
            </w14:solidFill>
          </w14:textFill>
        </w:rPr>
        <w:t>仲裁委员会</w:t>
      </w:r>
      <w:r>
        <w:rPr>
          <w:rFonts w:hint="eastAsia" w:ascii="仿宋" w:hAnsi="仿宋" w:eastAsia="仿宋" w:cs="仿宋"/>
          <w:color w:val="000000" w:themeColor="text1"/>
          <w:kern w:val="0"/>
          <w:sz w:val="24"/>
          <w:highlight w:val="none"/>
          <w14:textFill>
            <w14:solidFill>
              <w14:schemeClr w14:val="tx1"/>
            </w14:solidFill>
          </w14:textFill>
        </w:rPr>
        <w:fldChar w:fldCharType="end"/>
      </w:r>
      <w:r>
        <w:rPr>
          <w:rFonts w:hint="eastAsia" w:ascii="仿宋" w:hAnsi="仿宋" w:eastAsia="仿宋" w:cs="仿宋"/>
          <w:color w:val="000000" w:themeColor="text1"/>
          <w:kern w:val="0"/>
          <w:sz w:val="24"/>
          <w:highlight w:val="none"/>
          <w14:textFill>
            <w14:solidFill>
              <w14:schemeClr w14:val="tx1"/>
            </w14:solidFill>
          </w14:textFill>
        </w:rPr>
        <w:t>）提起仲裁。</w:t>
      </w:r>
    </w:p>
    <w:p w14:paraId="1CE4692F">
      <w:pPr>
        <w:adjustRightInd w:val="0"/>
        <w:snapToGrid w:val="0"/>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bookmarkStart w:id="10" w:name="_Toc19515395"/>
      <w:r>
        <w:rPr>
          <w:rFonts w:hint="eastAsia" w:ascii="仿宋" w:hAnsi="仿宋" w:eastAsia="仿宋" w:cs="仿宋"/>
          <w:b/>
          <w:bCs/>
          <w:color w:val="000000" w:themeColor="text1"/>
          <w:sz w:val="24"/>
          <w:highlight w:val="none"/>
          <w:lang w:val="en-US" w:eastAsia="zh-CN"/>
          <w14:textFill>
            <w14:solidFill>
              <w14:schemeClr w14:val="tx1"/>
            </w14:solidFill>
          </w14:textFill>
        </w:rPr>
        <w:t>十</w:t>
      </w:r>
      <w:r>
        <w:rPr>
          <w:rFonts w:hint="eastAsia" w:ascii="仿宋" w:hAnsi="仿宋" w:eastAsia="仿宋" w:cs="仿宋"/>
          <w:b/>
          <w:bCs/>
          <w:color w:val="000000" w:themeColor="text1"/>
          <w:sz w:val="24"/>
          <w:highlight w:val="none"/>
          <w14:textFill>
            <w14:solidFill>
              <w14:schemeClr w14:val="tx1"/>
            </w14:solidFill>
          </w14:textFill>
        </w:rPr>
        <w:t>、合同生效及其它</w:t>
      </w:r>
      <w:bookmarkEnd w:id="10"/>
    </w:p>
    <w:p w14:paraId="2A1DD972">
      <w:pPr>
        <w:widowControl/>
        <w:autoSpaceDE w:val="0"/>
        <w:autoSpaceDN w:val="0"/>
        <w:snapToGrid w:val="0"/>
        <w:spacing w:line="360" w:lineRule="auto"/>
        <w:ind w:right="-110"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1、合同未尽事宜、由甲、乙双方协商，作为合同补充，与原合同具有同等法律效力。</w:t>
      </w:r>
    </w:p>
    <w:p w14:paraId="71572054">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2、 本合同正本一式</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份，甲方、乙方双方分别执</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份，</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备案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份。</w:t>
      </w:r>
    </w:p>
    <w:p w14:paraId="225441C7">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3、合同经甲乙双方盖章、签字后生效，合同签订地点为</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4B1C690E">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4、生效时间：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日</w:t>
      </w:r>
    </w:p>
    <w:p w14:paraId="2AB1566A">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br w:type="page"/>
      </w:r>
    </w:p>
    <w:tbl>
      <w:tblPr>
        <w:tblStyle w:val="4"/>
        <w:tblW w:w="0" w:type="auto"/>
        <w:jc w:val="center"/>
        <w:tblLayout w:type="fixed"/>
        <w:tblCellMar>
          <w:top w:w="0" w:type="dxa"/>
          <w:left w:w="108" w:type="dxa"/>
          <w:bottom w:w="0" w:type="dxa"/>
          <w:right w:w="108" w:type="dxa"/>
        </w:tblCellMar>
      </w:tblPr>
      <w:tblGrid>
        <w:gridCol w:w="4550"/>
        <w:gridCol w:w="4550"/>
      </w:tblGrid>
      <w:tr w14:paraId="3C7A75B9">
        <w:tblPrEx>
          <w:tblCellMar>
            <w:top w:w="0" w:type="dxa"/>
            <w:left w:w="108" w:type="dxa"/>
            <w:bottom w:w="0" w:type="dxa"/>
            <w:right w:w="108" w:type="dxa"/>
          </w:tblCellMar>
        </w:tblPrEx>
        <w:trPr>
          <w:trHeight w:val="1292" w:hRule="atLeast"/>
          <w:jc w:val="center"/>
        </w:trPr>
        <w:tc>
          <w:tcPr>
            <w:tcW w:w="4550" w:type="dxa"/>
          </w:tcPr>
          <w:p w14:paraId="3DE5C09F">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甲方名称</w:t>
            </w:r>
            <w:r>
              <w:rPr>
                <w:rFonts w:hint="eastAsia" w:ascii="仿宋" w:hAnsi="仿宋" w:eastAsia="仿宋" w:cs="仿宋"/>
                <w:color w:val="000000" w:themeColor="text1"/>
                <w:spacing w:val="-20"/>
                <w:kern w:val="0"/>
                <w:sz w:val="24"/>
                <w:highlight w:val="none"/>
                <w14:textFill>
                  <w14:solidFill>
                    <w14:schemeClr w14:val="tx1"/>
                  </w14:solidFill>
                </w14:textFill>
              </w:rPr>
              <w:t>（盖章）</w:t>
            </w:r>
            <w:r>
              <w:rPr>
                <w:rFonts w:hint="eastAsia" w:ascii="仿宋" w:hAnsi="仿宋" w:eastAsia="仿宋" w:cs="仿宋"/>
                <w:color w:val="000000" w:themeColor="text1"/>
                <w:kern w:val="0"/>
                <w:sz w:val="24"/>
                <w:highlight w:val="none"/>
                <w14:textFill>
                  <w14:solidFill>
                    <w14:schemeClr w14:val="tx1"/>
                  </w14:solidFill>
                </w14:textFill>
              </w:rPr>
              <w:t>：</w:t>
            </w:r>
          </w:p>
          <w:p w14:paraId="13DBA63D">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地址：</w:t>
            </w:r>
          </w:p>
          <w:p w14:paraId="08ED4E16">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代表人（签字）：</w:t>
            </w:r>
          </w:p>
          <w:p w14:paraId="1F389584">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电话：</w:t>
            </w:r>
          </w:p>
          <w:p w14:paraId="4F66D041">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开户银行：</w:t>
            </w:r>
          </w:p>
          <w:p w14:paraId="7544D860">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账号：</w:t>
            </w:r>
          </w:p>
        </w:tc>
        <w:tc>
          <w:tcPr>
            <w:tcW w:w="4550" w:type="dxa"/>
          </w:tcPr>
          <w:p w14:paraId="632CDBA6">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乙方名称</w:t>
            </w:r>
            <w:r>
              <w:rPr>
                <w:rFonts w:hint="eastAsia" w:ascii="仿宋" w:hAnsi="仿宋" w:eastAsia="仿宋" w:cs="仿宋"/>
                <w:color w:val="000000" w:themeColor="text1"/>
                <w:spacing w:val="-20"/>
                <w:kern w:val="0"/>
                <w:sz w:val="24"/>
                <w:highlight w:val="none"/>
                <w14:textFill>
                  <w14:solidFill>
                    <w14:schemeClr w14:val="tx1"/>
                  </w14:solidFill>
                </w14:textFill>
              </w:rPr>
              <w:t>（盖章）</w:t>
            </w:r>
            <w:r>
              <w:rPr>
                <w:rFonts w:hint="eastAsia" w:ascii="仿宋" w:hAnsi="仿宋" w:eastAsia="仿宋" w:cs="仿宋"/>
                <w:color w:val="000000" w:themeColor="text1"/>
                <w:kern w:val="0"/>
                <w:sz w:val="24"/>
                <w:highlight w:val="none"/>
                <w14:textFill>
                  <w14:solidFill>
                    <w14:schemeClr w14:val="tx1"/>
                  </w14:solidFill>
                </w14:textFill>
              </w:rPr>
              <w:t>：</w:t>
            </w:r>
          </w:p>
          <w:p w14:paraId="62704ED6">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地址：</w:t>
            </w:r>
          </w:p>
          <w:p w14:paraId="30DD531F">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代表人（签字）：</w:t>
            </w:r>
          </w:p>
          <w:p w14:paraId="5EFAA8EE">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电话：</w:t>
            </w:r>
          </w:p>
          <w:p w14:paraId="7B8EDACE">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开户银行：</w:t>
            </w:r>
          </w:p>
          <w:p w14:paraId="71B0F021">
            <w:pPr>
              <w:widowControl/>
              <w:autoSpaceDE w:val="0"/>
              <w:autoSpaceDN w:val="0"/>
              <w:snapToGrid w:val="0"/>
              <w:spacing w:line="360" w:lineRule="auto"/>
              <w:ind w:right="-154"/>
              <w:textAlignment w:val="bottom"/>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账号：</w:t>
            </w:r>
          </w:p>
        </w:tc>
      </w:tr>
    </w:tbl>
    <w:p w14:paraId="48C3010F">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FE42E0"/>
    <w:rsid w:val="32FE4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Plain Text"/>
    <w:basedOn w:val="1"/>
    <w:next w:val="1"/>
    <w:qFormat/>
    <w:uiPriority w:val="99"/>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5"/>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2026-06-08T02:22:00Z</dcterms:created>
  <dc:creator>zl</dc:creator>
  <cp:lastModifiedBy>zl</cp:lastModifiedBy>
  <dcterms:modified xsi:type="dcterms:W3CDTF">2026-06-08T02:23:31Z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8CF18733846A46759809DC33B40A47B0_11</vt:lpwstr>
  </property>
  <property fmtid="{D5CDD505-2E9C-101B-9397-08002B2CF9AE}" pid="4" name="KSOTemplateDocerSaveRecord">
    <vt:lpwstr>eyJoZGlkIjoiNTFjN2FhOGEyYTBlMTgwMDAxOWMzZTE0NTAwMjNiMDkiLCJ1c2VySWQiOiIyNzQ5OTcwMTQifQ==</vt:lpwstr>
  </property>
</Properties>
</file>