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版本号：DRZB2026-ZC-16520260608001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陕西省无线电管理项目初步设计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DRZB2026-ZC-165</w:t>
      </w:r>
      <w:r>
        <w:br/>
      </w:r>
      <w:r>
        <w:br/>
      </w:r>
      <w:r>
        <w:br/>
      </w:r>
    </w:p>
    <w:p>
      <w:pPr>
        <w:pStyle w:val="null3"/>
        <w:jc w:val="center"/>
        <w:outlineLvl w:val="2"/>
      </w:pPr>
      <w:r>
        <w:rPr>
          <w:rFonts w:ascii="仿宋_GB2312" w:hAnsi="仿宋_GB2312" w:cs="仿宋_GB2312" w:eastAsia="仿宋_GB2312"/>
          <w:sz w:val="28"/>
          <w:b/>
        </w:rPr>
        <w:t>陕西省无线电管理委员会机关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陕西省无线电管理委员会机关</w:t>
      </w:r>
      <w:r>
        <w:rPr>
          <w:rFonts w:ascii="仿宋_GB2312" w:hAnsi="仿宋_GB2312" w:cs="仿宋_GB2312" w:eastAsia="仿宋_GB2312"/>
        </w:rPr>
        <w:t>委托，拟对</w:t>
      </w:r>
      <w:r>
        <w:rPr>
          <w:rFonts w:ascii="仿宋_GB2312" w:hAnsi="仿宋_GB2312" w:cs="仿宋_GB2312" w:eastAsia="仿宋_GB2312"/>
        </w:rPr>
        <w:t>陕西省无线电管理项目初步设计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陕西省无线电管理项目初步设计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陕西省无线电管理项目初步设计，具体内容详见磋商文件及采购需求。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10、资质要求：供应商具有工程设计综合资质甲级或工程设计电子通信广电行业（有线通信或无线通信或电子系统工程）专业乙级及以上资质；</w:t>
      </w:r>
    </w:p>
    <w:p>
      <w:pPr>
        <w:pStyle w:val="null3"/>
      </w:pPr>
      <w:r>
        <w:rPr>
          <w:rFonts w:ascii="仿宋_GB2312" w:hAnsi="仿宋_GB2312" w:cs="仿宋_GB2312" w:eastAsia="仿宋_GB2312"/>
        </w:rPr>
        <w:t>11、非联合体声明：本项目不接受联合体磋商。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陕西省无线电管理委员会机关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省政府新城大院四号楼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采购包1保证金金额：10,165.00元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代理服务费收费标准：本项目招标代理服务费实行市场调节价，采用差额定率累进法计费，以成交金额为计费基数下浮10%计取，由成交供应商在领取中标通知书前一次性支付。 具体费率如下： 100万元以下，按照1.5%计取。 代理费缴纳账户：银行户名：陕西德仁招标有限公司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陕西省无线电管理委员会机关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陕西省无线电管理委员会机关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陕西省无线电管理委员会机关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陕西省无线电管理项目初步设计，具体内容详见磋商文件及采购需求。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陕西省无线电管理项目初步设计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标的名称：陕西省无线电管理项目初步设计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left"/>
            </w:pPr>
            <w:r>
              <w:rPr>
                <w:rFonts w:ascii="仿宋_GB2312" w:hAnsi="仿宋_GB2312" w:cs="仿宋_GB2312" w:eastAsia="仿宋_GB2312"/>
                <w:sz w:val="21"/>
                <w:b/>
              </w:rPr>
              <w:t>一、项目背景</w:t>
            </w:r>
          </w:p>
          <w:p>
            <w:pPr>
              <w:pStyle w:val="null3"/>
              <w:ind w:firstLine="440"/>
              <w:jc w:val="left"/>
            </w:pPr>
            <w:r>
              <w:rPr>
                <w:rFonts w:ascii="仿宋_GB2312" w:hAnsi="仿宋_GB2312" w:cs="仿宋_GB2312" w:eastAsia="仿宋_GB2312"/>
                <w:sz w:val="21"/>
              </w:rPr>
              <w:t>为深入贯彻落实《无线电管理基础和技术设施建设项目管理指导意见》（国无办函〔2019〕21号）等国家关于无线电基础和技术实施建设的要求，规范陕西省无线电管理基础和技术设施建设项目管理，提高设施建设水平，充分发挥频占费资金的使用</w:t>
            </w:r>
            <w:r>
              <w:rPr>
                <w:rFonts w:ascii="仿宋_GB2312" w:hAnsi="仿宋_GB2312" w:cs="仿宋_GB2312" w:eastAsia="仿宋_GB2312"/>
                <w:sz w:val="21"/>
              </w:rPr>
              <w:t>效</w:t>
            </w:r>
            <w:r>
              <w:rPr>
                <w:rFonts w:ascii="仿宋_GB2312" w:hAnsi="仿宋_GB2312" w:cs="仿宋_GB2312" w:eastAsia="仿宋_GB2312"/>
                <w:sz w:val="21"/>
              </w:rPr>
              <w:t>益，构建适应新时代经济社会发展和国防建设需要的无线电技术支撑体系，</w:t>
            </w:r>
            <w:r>
              <w:rPr>
                <w:rFonts w:ascii="仿宋_GB2312" w:hAnsi="仿宋_GB2312" w:cs="仿宋_GB2312" w:eastAsia="仿宋_GB2312"/>
                <w:sz w:val="21"/>
              </w:rPr>
              <w:t>拟对202</w:t>
            </w:r>
            <w:r>
              <w:rPr>
                <w:rFonts w:ascii="仿宋_GB2312" w:hAnsi="仿宋_GB2312" w:cs="仿宋_GB2312" w:eastAsia="仿宋_GB2312"/>
                <w:sz w:val="21"/>
              </w:rPr>
              <w:t>6</w:t>
            </w:r>
            <w:r>
              <w:rPr>
                <w:rFonts w:ascii="仿宋_GB2312" w:hAnsi="仿宋_GB2312" w:cs="仿宋_GB2312" w:eastAsia="仿宋_GB2312"/>
                <w:sz w:val="21"/>
              </w:rPr>
              <w:t>年陕西省无线电管理基础和技术设施建设项目开展初步设计工作</w:t>
            </w:r>
            <w:r>
              <w:rPr>
                <w:rFonts w:ascii="仿宋_GB2312" w:hAnsi="仿宋_GB2312" w:cs="仿宋_GB2312" w:eastAsia="仿宋_GB2312"/>
                <w:sz w:val="21"/>
              </w:rPr>
              <w:t>。</w:t>
            </w:r>
          </w:p>
          <w:p>
            <w:pPr>
              <w:pStyle w:val="null3"/>
              <w:ind w:firstLine="442"/>
              <w:jc w:val="left"/>
            </w:pPr>
            <w:r>
              <w:rPr>
                <w:rFonts w:ascii="仿宋_GB2312" w:hAnsi="仿宋_GB2312" w:cs="仿宋_GB2312" w:eastAsia="仿宋_GB2312"/>
                <w:sz w:val="21"/>
                <w:b/>
              </w:rPr>
              <w:t>二、</w:t>
            </w:r>
            <w:r>
              <w:rPr>
                <w:rFonts w:ascii="仿宋_GB2312" w:hAnsi="仿宋_GB2312" w:cs="仿宋_GB2312" w:eastAsia="仿宋_GB2312"/>
                <w:sz w:val="21"/>
                <w:b/>
              </w:rPr>
              <w:t>项目</w:t>
            </w:r>
            <w:r>
              <w:rPr>
                <w:rFonts w:ascii="仿宋_GB2312" w:hAnsi="仿宋_GB2312" w:cs="仿宋_GB2312" w:eastAsia="仿宋_GB2312"/>
                <w:sz w:val="21"/>
                <w:b/>
              </w:rPr>
              <w:t>内容</w:t>
            </w:r>
          </w:p>
          <w:p>
            <w:pPr>
              <w:pStyle w:val="null3"/>
              <w:ind w:firstLine="440"/>
              <w:jc w:val="left"/>
            </w:pPr>
            <w:r>
              <w:rPr>
                <w:rFonts w:ascii="仿宋_GB2312" w:hAnsi="仿宋_GB2312" w:cs="仿宋_GB2312" w:eastAsia="仿宋_GB2312"/>
                <w:sz w:val="21"/>
              </w:rPr>
              <w:t>对2026年陕西省无线电管理基础和技术设施建设项目开展初步设计工作，主要包括移动监测站升级改造二期项目、新建铁路保护性固定监测站一期项目、无人驾驶航空器无线电反制设备监管平台建设项目、陕西省频率台站适应性改造及业余无线电台站管理系统建设项目，具体项目内容如下：</w:t>
            </w:r>
          </w:p>
          <w:tbl>
            <w:tblPr>
              <w:tblInd w:type="dxa" w:w="120"/>
              <w:tblBorders>
                <w:top w:val="none" w:color="000000" w:sz="4"/>
                <w:left w:val="none" w:color="000000" w:sz="4"/>
                <w:bottom w:val="none" w:color="000000" w:sz="4"/>
                <w:right w:val="none" w:color="000000" w:sz="4"/>
                <w:insideH w:val="none"/>
                <w:insideV w:val="none"/>
              </w:tblBorders>
            </w:tblPr>
            <w:tblGrid>
              <w:gridCol w:w="250"/>
              <w:gridCol w:w="755"/>
              <w:gridCol w:w="1547"/>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w:t>
                  </w:r>
                  <w:r>
                    <w:rPr>
                      <w:rFonts w:ascii="仿宋_GB2312" w:hAnsi="仿宋_GB2312" w:cs="仿宋_GB2312" w:eastAsia="仿宋_GB2312"/>
                      <w:sz w:val="21"/>
                      <w:b/>
                    </w:rPr>
                    <w:t>名称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项目内容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移动监测站升级改造二期项目</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项目内容：本项目拟对原有</w:t>
                  </w:r>
                  <w:r>
                    <w:rPr>
                      <w:rFonts w:ascii="仿宋_GB2312" w:hAnsi="仿宋_GB2312" w:cs="仿宋_GB2312" w:eastAsia="仿宋_GB2312"/>
                      <w:sz w:val="21"/>
                    </w:rPr>
                    <w:t>的</w:t>
                  </w:r>
                  <w:r>
                    <w:rPr>
                      <w:rFonts w:ascii="仿宋_GB2312" w:hAnsi="仿宋_GB2312" w:cs="仿宋_GB2312" w:eastAsia="仿宋_GB2312"/>
                      <w:sz w:val="21"/>
                    </w:rPr>
                    <w:t>3个移动监测站升级改造</w:t>
                  </w:r>
                  <w:r>
                    <w:rPr>
                      <w:rFonts w:ascii="仿宋_GB2312" w:hAnsi="仿宋_GB2312" w:cs="仿宋_GB2312" w:eastAsia="仿宋_GB2312"/>
                      <w:sz w:val="21"/>
                    </w:rPr>
                    <w:t>开展初步设计工作；</w:t>
                  </w:r>
                </w:p>
                <w:p>
                  <w:pPr>
                    <w:pStyle w:val="null3"/>
                    <w:jc w:val="left"/>
                  </w:pPr>
                  <w:r>
                    <w:rPr>
                      <w:rFonts w:ascii="仿宋_GB2312" w:hAnsi="仿宋_GB2312" w:cs="仿宋_GB2312" w:eastAsia="仿宋_GB2312"/>
                      <w:sz w:val="21"/>
                    </w:rPr>
                    <w:t>建设地点：铜川市无线电管理处、商洛市无线电管理处、宝鸡市无线电监测站各升级改造1个移动监测站，共计3个移动监测站；</w:t>
                  </w:r>
                </w:p>
                <w:p>
                  <w:pPr>
                    <w:pStyle w:val="null3"/>
                    <w:jc w:val="left"/>
                  </w:pPr>
                  <w:r>
                    <w:rPr>
                      <w:rFonts w:ascii="仿宋_GB2312" w:hAnsi="仿宋_GB2312" w:cs="仿宋_GB2312" w:eastAsia="仿宋_GB2312"/>
                      <w:sz w:val="21"/>
                    </w:rPr>
                    <w:t>主要功能和目标：改造</w:t>
                  </w:r>
                  <w:r>
                    <w:rPr>
                      <w:rFonts w:ascii="仿宋_GB2312" w:hAnsi="仿宋_GB2312" w:cs="仿宋_GB2312" w:eastAsia="仿宋_GB2312"/>
                      <w:sz w:val="21"/>
                    </w:rPr>
                    <w:t>完成后</w:t>
                  </w:r>
                  <w:r>
                    <w:rPr>
                      <w:rFonts w:ascii="仿宋_GB2312" w:hAnsi="仿宋_GB2312" w:cs="仿宋_GB2312" w:eastAsia="仿宋_GB2312"/>
                      <w:sz w:val="21"/>
                    </w:rPr>
                    <w:t>移动站</w:t>
                  </w:r>
                  <w:r>
                    <w:rPr>
                      <w:rFonts w:ascii="仿宋_GB2312" w:hAnsi="仿宋_GB2312" w:cs="仿宋_GB2312" w:eastAsia="仿宋_GB2312"/>
                      <w:sz w:val="21"/>
                    </w:rPr>
                    <w:t>满足或优于《省级无线电监测设施建设规范和技术要求（试行）》</w:t>
                  </w:r>
                  <w:r>
                    <w:rPr>
                      <w:rFonts w:ascii="仿宋_GB2312" w:hAnsi="仿宋_GB2312" w:cs="仿宋_GB2312" w:eastAsia="仿宋_GB2312"/>
                      <w:sz w:val="21"/>
                    </w:rPr>
                    <w:t>规定的二</w:t>
                  </w:r>
                  <w:r>
                    <w:rPr>
                      <w:rFonts w:ascii="仿宋_GB2312" w:hAnsi="仿宋_GB2312" w:cs="仿宋_GB2312" w:eastAsia="仿宋_GB2312"/>
                      <w:sz w:val="21"/>
                    </w:rPr>
                    <w:t>类</w:t>
                  </w:r>
                  <w:r>
                    <w:rPr>
                      <w:rFonts w:ascii="仿宋_GB2312" w:hAnsi="仿宋_GB2312" w:cs="仿宋_GB2312" w:eastAsia="仿宋_GB2312"/>
                      <w:sz w:val="21"/>
                    </w:rPr>
                    <w:t>移动</w:t>
                  </w:r>
                  <w:r>
                    <w:rPr>
                      <w:rFonts w:ascii="仿宋_GB2312" w:hAnsi="仿宋_GB2312" w:cs="仿宋_GB2312" w:eastAsia="仿宋_GB2312"/>
                      <w:sz w:val="21"/>
                    </w:rPr>
                    <w:t>监测站</w:t>
                  </w:r>
                  <w:r>
                    <w:rPr>
                      <w:rFonts w:ascii="仿宋_GB2312" w:hAnsi="仿宋_GB2312" w:cs="仿宋_GB2312" w:eastAsia="仿宋_GB2312"/>
                      <w:sz w:val="21"/>
                    </w:rPr>
                    <w:t>指标和功能要求</w:t>
                  </w:r>
                  <w:r>
                    <w:rPr>
                      <w:rFonts w:ascii="仿宋_GB2312" w:hAnsi="仿宋_GB2312" w:cs="仿宋_GB2312" w:eastAsia="仿宋_GB2312"/>
                      <w:sz w:val="21"/>
                    </w:rPr>
                    <w:t>。</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新建铁路保护性固定监测站一期项目</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项目内容：本项目拟对新建设的6座铁路专用监测站开展初步设计工作；</w:t>
                  </w:r>
                </w:p>
                <w:p>
                  <w:pPr>
                    <w:pStyle w:val="null3"/>
                    <w:jc w:val="left"/>
                  </w:pPr>
                  <w:r>
                    <w:rPr>
                      <w:rFonts w:ascii="仿宋_GB2312" w:hAnsi="仿宋_GB2312" w:cs="仿宋_GB2312" w:eastAsia="仿宋_GB2312"/>
                      <w:sz w:val="21"/>
                    </w:rPr>
                    <w:t>建设地点：在西安站、西安北站、汉中站、宝鸡东站、延安站、安康东站各建设1座铁路专用监测站，共计6个铁路专用监测站；</w:t>
                  </w:r>
                </w:p>
                <w:p>
                  <w:pPr>
                    <w:pStyle w:val="null3"/>
                    <w:jc w:val="left"/>
                  </w:pPr>
                  <w:r>
                    <w:rPr>
                      <w:rFonts w:ascii="仿宋_GB2312" w:hAnsi="仿宋_GB2312" w:cs="仿宋_GB2312" w:eastAsia="仿宋_GB2312"/>
                      <w:sz w:val="21"/>
                    </w:rPr>
                    <w:t>主要功能或目标：建设完成后站点满足或优于《省级无线电监测设施建设规范和技术要求（试行）》规定的四类固定监测站和铁路专用监测站指标和功能要求。</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无人驾驶航空器无线电反制设备监管平台建设项目</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项目内容：本项目拟对新建设的无人驾驶航空器无线电反制设备监管平台开展初步设计工作；</w:t>
                  </w:r>
                </w:p>
                <w:p>
                  <w:pPr>
                    <w:pStyle w:val="null3"/>
                    <w:jc w:val="left"/>
                  </w:pPr>
                  <w:r>
                    <w:rPr>
                      <w:rFonts w:ascii="仿宋_GB2312" w:hAnsi="仿宋_GB2312" w:cs="仿宋_GB2312" w:eastAsia="仿宋_GB2312"/>
                      <w:sz w:val="21"/>
                    </w:rPr>
                    <w:t>建设地点：陕西省无线电监测站；</w:t>
                  </w:r>
                </w:p>
                <w:p>
                  <w:pPr>
                    <w:pStyle w:val="null3"/>
                    <w:jc w:val="left"/>
                  </w:pPr>
                  <w:r>
                    <w:rPr>
                      <w:rFonts w:ascii="仿宋_GB2312" w:hAnsi="仿宋_GB2312" w:cs="仿宋_GB2312" w:eastAsia="仿宋_GB2312"/>
                      <w:sz w:val="21"/>
                    </w:rPr>
                    <w:t>主要功能或目标：建设完成后能有效掌握全省反无设备设置使用、重点目标和重要区域防护情况，实现对全省反无设备的统一管理，确保在日常活动、重点目标、重要区域、重大活动保障中与国家协同联动。</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陕西省频率台站适应性改造及业余无线电台站管理系统建设项目</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项目内容：本项目拟对陕西省频率台站适应性改造及业余无线电台站管理系统建设项目开展初步设计工作；</w:t>
                  </w:r>
                </w:p>
                <w:p>
                  <w:pPr>
                    <w:pStyle w:val="null3"/>
                    <w:jc w:val="left"/>
                  </w:pPr>
                  <w:r>
                    <w:rPr>
                      <w:rFonts w:ascii="仿宋_GB2312" w:hAnsi="仿宋_GB2312" w:cs="仿宋_GB2312" w:eastAsia="仿宋_GB2312"/>
                      <w:sz w:val="21"/>
                    </w:rPr>
                    <w:t>建设地点：陕西省无线电监测站；</w:t>
                  </w:r>
                </w:p>
                <w:p>
                  <w:pPr>
                    <w:pStyle w:val="null3"/>
                    <w:jc w:val="left"/>
                  </w:pPr>
                  <w:r>
                    <w:rPr>
                      <w:rFonts w:ascii="仿宋_GB2312" w:hAnsi="仿宋_GB2312" w:cs="仿宋_GB2312" w:eastAsia="仿宋_GB2312"/>
                      <w:sz w:val="21"/>
                    </w:rPr>
                    <w:t>主要功能或目标：建设完成后能规范无线电管理机构频率台站管理等业务工作行为，满足一体化、国产化相关要求，实现技术、业务双升级，有效提升无线电频谱资源管理的精细化、规范化、科学化水平。</w:t>
                  </w:r>
                </w:p>
              </w:tc>
            </w:tr>
          </w:tbl>
          <w:p>
            <w:pPr>
              <w:pStyle w:val="null3"/>
              <w:ind w:firstLine="442"/>
              <w:jc w:val="left"/>
            </w:pPr>
            <w:r>
              <w:rPr>
                <w:rFonts w:ascii="仿宋_GB2312" w:hAnsi="仿宋_GB2312" w:cs="仿宋_GB2312" w:eastAsia="仿宋_GB2312"/>
                <w:sz w:val="21"/>
                <w:b/>
              </w:rPr>
              <w:t>三、技术指标和功能要求</w:t>
            </w:r>
          </w:p>
          <w:p>
            <w:pPr>
              <w:pStyle w:val="null3"/>
              <w:ind w:firstLine="442"/>
              <w:jc w:val="left"/>
            </w:pPr>
            <w:r>
              <w:rPr>
                <w:rFonts w:ascii="仿宋_GB2312" w:hAnsi="仿宋_GB2312" w:cs="仿宋_GB2312" w:eastAsia="仿宋_GB2312"/>
                <w:sz w:val="21"/>
                <w:b/>
              </w:rPr>
              <w:t>（一）</w:t>
            </w:r>
            <w:r>
              <w:rPr>
                <w:rFonts w:ascii="仿宋_GB2312" w:hAnsi="仿宋_GB2312" w:cs="仿宋_GB2312" w:eastAsia="仿宋_GB2312"/>
                <w:sz w:val="21"/>
                <w:b/>
              </w:rPr>
              <w:t>移动监测站升级改造二期项目</w:t>
            </w:r>
          </w:p>
          <w:p>
            <w:pPr>
              <w:pStyle w:val="null3"/>
              <w:ind w:firstLine="440"/>
              <w:jc w:val="left"/>
            </w:pPr>
            <w:r>
              <w:rPr>
                <w:rFonts w:ascii="仿宋_GB2312" w:hAnsi="仿宋_GB2312" w:cs="仿宋_GB2312" w:eastAsia="仿宋_GB2312"/>
                <w:sz w:val="21"/>
              </w:rPr>
              <w:t>1、技术指标</w:t>
            </w:r>
          </w:p>
          <w:p>
            <w:pPr>
              <w:pStyle w:val="null3"/>
              <w:ind w:firstLine="440"/>
              <w:jc w:val="left"/>
            </w:pPr>
            <w:r>
              <w:rPr>
                <w:rFonts w:ascii="仿宋_GB2312" w:hAnsi="仿宋_GB2312" w:cs="仿宋_GB2312" w:eastAsia="仿宋_GB2312"/>
                <w:sz w:val="21"/>
              </w:rPr>
              <w:t>系统技术指标不低于《省级无线电监测设施建设规范和技术要求（试行）》（国无办〔2019〕3号）中</w:t>
            </w:r>
            <w:r>
              <w:rPr>
                <w:rFonts w:ascii="仿宋_GB2312" w:hAnsi="仿宋_GB2312" w:cs="仿宋_GB2312" w:eastAsia="仿宋_GB2312"/>
                <w:sz w:val="21"/>
              </w:rPr>
              <w:t>二</w:t>
            </w:r>
            <w:r>
              <w:rPr>
                <w:rFonts w:ascii="仿宋_GB2312" w:hAnsi="仿宋_GB2312" w:cs="仿宋_GB2312" w:eastAsia="仿宋_GB2312"/>
                <w:sz w:val="21"/>
              </w:rPr>
              <w:t>类</w:t>
            </w:r>
            <w:r>
              <w:rPr>
                <w:rFonts w:ascii="仿宋_GB2312" w:hAnsi="仿宋_GB2312" w:cs="仿宋_GB2312" w:eastAsia="仿宋_GB2312"/>
                <w:sz w:val="21"/>
              </w:rPr>
              <w:t>移动</w:t>
            </w:r>
            <w:r>
              <w:rPr>
                <w:rFonts w:ascii="仿宋_GB2312" w:hAnsi="仿宋_GB2312" w:cs="仿宋_GB2312" w:eastAsia="仿宋_GB2312"/>
                <w:sz w:val="21"/>
              </w:rPr>
              <w:t>站要求。</w:t>
            </w:r>
          </w:p>
          <w:p>
            <w:pPr>
              <w:pStyle w:val="null3"/>
              <w:ind w:firstLine="440"/>
              <w:jc w:val="left"/>
            </w:pPr>
            <w:r>
              <w:rPr>
                <w:rFonts w:ascii="仿宋_GB2312" w:hAnsi="仿宋_GB2312" w:cs="仿宋_GB2312" w:eastAsia="仿宋_GB2312"/>
                <w:sz w:val="21"/>
              </w:rPr>
              <w:t>2、功能要求</w:t>
            </w:r>
          </w:p>
          <w:p>
            <w:pPr>
              <w:pStyle w:val="null3"/>
              <w:ind w:firstLine="440"/>
              <w:jc w:val="left"/>
            </w:pPr>
            <w:r>
              <w:rPr>
                <w:rFonts w:ascii="仿宋_GB2312" w:hAnsi="仿宋_GB2312" w:cs="仿宋_GB2312" w:eastAsia="仿宋_GB2312"/>
                <w:sz w:val="21"/>
              </w:rPr>
              <w:t>功能需求包括但不限于：</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1）基本监测功能:频率测量、电平测量、场强和功率通量密度测量、占用带宽测量、调制测量、脉冲测量、覆盖范围测量、频率使用率测量、无用发射测量、信号分析和发射机类别识别等。</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2）电磁环境测量</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3）广播电视声音与图像信号监测和分析等。</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至少支持一种无线电测向体制，如空间谱估计、相关干涉仪、比幅比相等，能够对过去不少于6小时内出现过的干扰信号测向定位。</w:t>
            </w:r>
          </w:p>
          <w:p>
            <w:pPr>
              <w:pStyle w:val="null3"/>
              <w:ind w:firstLine="442"/>
              <w:jc w:val="left"/>
            </w:pPr>
            <w:r>
              <w:rPr>
                <w:rFonts w:ascii="仿宋_GB2312" w:hAnsi="仿宋_GB2312" w:cs="仿宋_GB2312" w:eastAsia="仿宋_GB2312"/>
                <w:sz w:val="21"/>
                <w:b/>
              </w:rPr>
              <w:t>（二）新建铁路保护性固定监测站一期项目</w:t>
            </w:r>
          </w:p>
          <w:p>
            <w:pPr>
              <w:pStyle w:val="null3"/>
              <w:ind w:firstLine="440"/>
              <w:jc w:val="left"/>
            </w:pPr>
            <w:r>
              <w:rPr>
                <w:rFonts w:ascii="仿宋_GB2312" w:hAnsi="仿宋_GB2312" w:cs="仿宋_GB2312" w:eastAsia="仿宋_GB2312"/>
                <w:sz w:val="21"/>
              </w:rPr>
              <w:t>1、技术指标</w:t>
            </w:r>
          </w:p>
          <w:p>
            <w:pPr>
              <w:pStyle w:val="null3"/>
              <w:ind w:firstLine="440"/>
              <w:jc w:val="left"/>
            </w:pPr>
            <w:r>
              <w:rPr>
                <w:rFonts w:ascii="仿宋_GB2312" w:hAnsi="仿宋_GB2312" w:cs="仿宋_GB2312" w:eastAsia="仿宋_GB2312"/>
                <w:sz w:val="21"/>
              </w:rPr>
              <w:t>系统技术指标不低于《省级无线电监测设施建设规范和技术要求（试行）》（国无办〔2019〕3号）中</w:t>
            </w:r>
            <w:r>
              <w:rPr>
                <w:rFonts w:ascii="仿宋_GB2312" w:hAnsi="仿宋_GB2312" w:cs="仿宋_GB2312" w:eastAsia="仿宋_GB2312"/>
                <w:sz w:val="21"/>
              </w:rPr>
              <w:t>二</w:t>
            </w:r>
            <w:r>
              <w:rPr>
                <w:rFonts w:ascii="仿宋_GB2312" w:hAnsi="仿宋_GB2312" w:cs="仿宋_GB2312" w:eastAsia="仿宋_GB2312"/>
                <w:sz w:val="21"/>
              </w:rPr>
              <w:t>类固定站要求。</w:t>
            </w:r>
          </w:p>
          <w:p>
            <w:pPr>
              <w:pStyle w:val="null3"/>
              <w:ind w:firstLine="440"/>
              <w:jc w:val="left"/>
            </w:pPr>
            <w:r>
              <w:rPr>
                <w:rFonts w:ascii="仿宋_GB2312" w:hAnsi="仿宋_GB2312" w:cs="仿宋_GB2312" w:eastAsia="仿宋_GB2312"/>
                <w:sz w:val="21"/>
              </w:rPr>
              <w:t>2、功能要求</w:t>
            </w:r>
          </w:p>
          <w:p>
            <w:pPr>
              <w:pStyle w:val="null3"/>
              <w:ind w:firstLine="440"/>
              <w:jc w:val="left"/>
            </w:pPr>
            <w:r>
              <w:rPr>
                <w:rFonts w:ascii="仿宋_GB2312" w:hAnsi="仿宋_GB2312" w:cs="仿宋_GB2312" w:eastAsia="仿宋_GB2312"/>
                <w:sz w:val="21"/>
              </w:rPr>
              <w:t>功能需求包括但不限于：</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1）基本监测功能：频率测量、电平测量、场强和功率通量密度测量、占用带宽测量、频率使用率测量等。</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2）电磁环境测量</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3）声音广播信号测量。</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4）监测数据存储和处理</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5）系统遥控和联网</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w:t>
            </w:r>
            <w:r>
              <w:rPr>
                <w:rFonts w:ascii="仿宋_GB2312" w:hAnsi="仿宋_GB2312" w:cs="仿宋_GB2312" w:eastAsia="仿宋_GB2312"/>
                <w:sz w:val="21"/>
              </w:rPr>
              <w:t>6）系统自检</w:t>
            </w:r>
            <w:r>
              <w:rPr>
                <w:rFonts w:ascii="仿宋_GB2312" w:hAnsi="仿宋_GB2312" w:cs="仿宋_GB2312" w:eastAsia="仿宋_GB2312"/>
                <w:sz w:val="21"/>
              </w:rPr>
              <w:t>。</w:t>
            </w:r>
          </w:p>
          <w:p>
            <w:pPr>
              <w:pStyle w:val="null3"/>
              <w:ind w:firstLine="442"/>
              <w:jc w:val="left"/>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）无人驾驶航空器无线电反制设备监管平台建设项目</w:t>
            </w:r>
          </w:p>
          <w:p>
            <w:pPr>
              <w:pStyle w:val="null3"/>
              <w:ind w:firstLine="440"/>
              <w:jc w:val="left"/>
            </w:pPr>
            <w:r>
              <w:rPr>
                <w:rFonts w:ascii="仿宋_GB2312" w:hAnsi="仿宋_GB2312" w:cs="仿宋_GB2312" w:eastAsia="仿宋_GB2312"/>
                <w:sz w:val="21"/>
              </w:rPr>
              <w:t>对拟建设的</w:t>
            </w:r>
            <w:r>
              <w:rPr>
                <w:rFonts w:ascii="仿宋_GB2312" w:hAnsi="仿宋_GB2312" w:cs="仿宋_GB2312" w:eastAsia="仿宋_GB2312"/>
                <w:sz w:val="21"/>
              </w:rPr>
              <w:t>无人驾驶航空器无线电反制设备监管平台</w:t>
            </w:r>
            <w:r>
              <w:rPr>
                <w:rFonts w:ascii="仿宋_GB2312" w:hAnsi="仿宋_GB2312" w:cs="仿宋_GB2312" w:eastAsia="仿宋_GB2312"/>
                <w:sz w:val="21"/>
              </w:rPr>
              <w:t>进行设计</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反无设备管理应用系统、反无设备数据感知系统和信息安全防护系统。反无设备管理应用系统建设内容包括反无设备全生命周期信息管理功能模块（含销售备案、设备设置使用申请、设备设置使用评估、监督检查）、反无设备运行管理功能模块（含反无设备运行状态监测、反制信号无线电发射覆盖评估）、重大活动保障功能模块；反无设备数据感知系统；信息安全防护系统依据国家等级保护和分级保护相关要求，建设面向业务和数据的信息安全防护能力。</w:t>
            </w:r>
          </w:p>
          <w:p>
            <w:pPr>
              <w:pStyle w:val="null3"/>
              <w:ind w:firstLine="442"/>
              <w:jc w:val="left"/>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）陕西省频率台站适应性改造及业余无线电台站管理系统建设项目</w:t>
            </w:r>
          </w:p>
          <w:p>
            <w:pPr>
              <w:pStyle w:val="null3"/>
              <w:ind w:firstLine="440"/>
              <w:jc w:val="left"/>
            </w:pPr>
            <w:r>
              <w:rPr>
                <w:rFonts w:ascii="仿宋_GB2312" w:hAnsi="仿宋_GB2312" w:cs="仿宋_GB2312" w:eastAsia="仿宋_GB2312"/>
                <w:sz w:val="21"/>
              </w:rPr>
              <w:t>根据《工业和信息化部办公厅关于启用新版无线电频率使用申请表、无线电台（站）设置使用申请表以及无线电台执照的通知》的要求，</w:t>
            </w:r>
            <w:r>
              <w:rPr>
                <w:rFonts w:ascii="仿宋_GB2312" w:hAnsi="仿宋_GB2312" w:cs="仿宋_GB2312" w:eastAsia="仿宋_GB2312"/>
                <w:sz w:val="21"/>
              </w:rPr>
              <w:t>对我省</w:t>
            </w:r>
            <w:r>
              <w:rPr>
                <w:rFonts w:ascii="仿宋_GB2312" w:hAnsi="仿宋_GB2312" w:cs="仿宋_GB2312" w:eastAsia="仿宋_GB2312"/>
                <w:sz w:val="21"/>
              </w:rPr>
              <w:t>已建</w:t>
            </w:r>
            <w:r>
              <w:rPr>
                <w:rFonts w:ascii="仿宋_GB2312" w:hAnsi="仿宋_GB2312" w:cs="仿宋_GB2312" w:eastAsia="仿宋_GB2312"/>
                <w:sz w:val="21"/>
              </w:rPr>
              <w:t>设的</w:t>
            </w:r>
            <w:r>
              <w:rPr>
                <w:rFonts w:ascii="仿宋_GB2312" w:hAnsi="仿宋_GB2312" w:cs="仿宋_GB2312" w:eastAsia="仿宋_GB2312"/>
                <w:sz w:val="21"/>
              </w:rPr>
              <w:t>频率台站管理系统</w:t>
            </w:r>
            <w:r>
              <w:rPr>
                <w:rFonts w:ascii="仿宋_GB2312" w:hAnsi="仿宋_GB2312" w:cs="仿宋_GB2312" w:eastAsia="仿宋_GB2312"/>
                <w:sz w:val="21"/>
              </w:rPr>
              <w:t>进行改造设计</w:t>
            </w:r>
            <w:r>
              <w:rPr>
                <w:rFonts w:ascii="仿宋_GB2312" w:hAnsi="仿宋_GB2312" w:cs="仿宋_GB2312" w:eastAsia="仿宋_GB2312"/>
                <w:sz w:val="21"/>
              </w:rPr>
              <w:t>，使之符合新的填表规范、满足新版台站执照的要求。</w:t>
            </w:r>
            <w:r>
              <w:rPr>
                <w:rFonts w:ascii="仿宋_GB2312" w:hAnsi="仿宋_GB2312" w:cs="仿宋_GB2312" w:eastAsia="仿宋_GB2312"/>
                <w:sz w:val="21"/>
              </w:rPr>
              <w:t>新</w:t>
            </w:r>
            <w:r>
              <w:rPr>
                <w:rFonts w:ascii="仿宋_GB2312" w:hAnsi="仿宋_GB2312" w:cs="仿宋_GB2312" w:eastAsia="仿宋_GB2312"/>
                <w:sz w:val="21"/>
              </w:rPr>
              <w:t>建设广电移动基站交互系统，使广电运营商能通过基站交互系统实现基站数据的上报。同时建设业余无线电台站管理系统，增加业余无线电爱好者管理、业余无线电台站数据上报、业余无线电台站监督检查等系统功能，满足业余无线电台站管理工作的要求。完成频率、台站、业余台站在库数据的校验。</w:t>
            </w:r>
            <w:r>
              <w:rPr>
                <w:rFonts w:ascii="仿宋_GB2312" w:hAnsi="仿宋_GB2312" w:cs="仿宋_GB2312" w:eastAsia="仿宋_GB2312"/>
                <w:sz w:val="21"/>
              </w:rPr>
              <w:t>可通过</w:t>
            </w:r>
            <w:r>
              <w:rPr>
                <w:rFonts w:ascii="仿宋_GB2312" w:hAnsi="仿宋_GB2312" w:cs="仿宋_GB2312" w:eastAsia="仿宋_GB2312"/>
                <w:sz w:val="21"/>
              </w:rPr>
              <w:t>加权测算得出我省每个地市数据的一致性、完整率和准确率并支持对问题数据的修改。</w:t>
            </w:r>
          </w:p>
          <w:p>
            <w:pPr>
              <w:pStyle w:val="null3"/>
              <w:ind w:firstLine="442"/>
              <w:jc w:val="left"/>
            </w:pPr>
            <w:r>
              <w:rPr>
                <w:rFonts w:ascii="仿宋_GB2312" w:hAnsi="仿宋_GB2312" w:cs="仿宋_GB2312" w:eastAsia="仿宋_GB2312"/>
                <w:sz w:val="21"/>
                <w:b/>
              </w:rPr>
              <w:t>四、服务要求</w:t>
            </w:r>
          </w:p>
          <w:p>
            <w:pPr>
              <w:pStyle w:val="null3"/>
              <w:ind w:firstLine="440"/>
              <w:jc w:val="left"/>
            </w:pPr>
            <w:r>
              <w:rPr>
                <w:rFonts w:ascii="仿宋_GB2312" w:hAnsi="仿宋_GB2312" w:cs="仿宋_GB2312" w:eastAsia="仿宋_GB2312"/>
                <w:sz w:val="21"/>
              </w:rPr>
              <w:t>1、初步设计方案编制</w:t>
            </w:r>
          </w:p>
          <w:p>
            <w:pPr>
              <w:pStyle w:val="null3"/>
              <w:ind w:firstLine="440"/>
              <w:jc w:val="left"/>
            </w:pPr>
            <w:r>
              <w:rPr>
                <w:rFonts w:ascii="仿宋_GB2312" w:hAnsi="仿宋_GB2312" w:cs="仿宋_GB2312" w:eastAsia="仿宋_GB2312"/>
                <w:sz w:val="21"/>
              </w:rPr>
              <w:t>按照项目可行性研究报告及建设单位实际需求，完成</w:t>
            </w:r>
            <w:r>
              <w:rPr>
                <w:rFonts w:ascii="仿宋_GB2312" w:hAnsi="仿宋_GB2312" w:cs="仿宋_GB2312" w:eastAsia="仿宋_GB2312"/>
                <w:sz w:val="21"/>
              </w:rPr>
              <w:t>移动监测站升级改造二期项目、新建铁路保护性固定监测站一期项目、无人驾驶航空器无线电反制设备监管平台建设项目、陕西省频率台站适应性改造及业余无线电台站管理系统建设项目4个项目</w:t>
            </w:r>
            <w:r>
              <w:rPr>
                <w:rFonts w:ascii="仿宋_GB2312" w:hAnsi="仿宋_GB2312" w:cs="仿宋_GB2312" w:eastAsia="仿宋_GB2312"/>
                <w:sz w:val="21"/>
              </w:rPr>
              <w:t>的初步设计方案编制工作，初步设计方案包括但不限于本项目需求分析、建设方案概述、技术指标、系统配置、项目验收方案、项目风险、效益分析、设计概算等内容。</w:t>
            </w:r>
          </w:p>
          <w:p>
            <w:pPr>
              <w:pStyle w:val="null3"/>
              <w:ind w:firstLine="440"/>
              <w:jc w:val="left"/>
            </w:pPr>
            <w:r>
              <w:rPr>
                <w:rFonts w:ascii="仿宋_GB2312" w:hAnsi="仿宋_GB2312" w:cs="仿宋_GB2312" w:eastAsia="仿宋_GB2312"/>
                <w:sz w:val="21"/>
              </w:rPr>
              <w:t>2、专家评审与修改</w:t>
            </w:r>
          </w:p>
          <w:p>
            <w:pPr>
              <w:pStyle w:val="null3"/>
              <w:ind w:firstLine="440"/>
              <w:jc w:val="left"/>
            </w:pPr>
            <w:r>
              <w:rPr>
                <w:rFonts w:ascii="仿宋_GB2312" w:hAnsi="仿宋_GB2312" w:cs="仿宋_GB2312" w:eastAsia="仿宋_GB2312"/>
                <w:sz w:val="21"/>
              </w:rPr>
              <w:t>组织</w:t>
            </w:r>
            <w:r>
              <w:rPr>
                <w:rFonts w:ascii="仿宋_GB2312" w:hAnsi="仿宋_GB2312" w:cs="仿宋_GB2312" w:eastAsia="仿宋_GB2312"/>
                <w:sz w:val="21"/>
              </w:rPr>
              <w:t>召开专家评审会，对</w:t>
            </w:r>
            <w:r>
              <w:rPr>
                <w:rFonts w:ascii="仿宋_GB2312" w:hAnsi="仿宋_GB2312" w:cs="仿宋_GB2312" w:eastAsia="仿宋_GB2312"/>
                <w:sz w:val="21"/>
              </w:rPr>
              <w:t>陕西省无线电管理基础和技术设施建设技术支撑服务项目初步设计</w:t>
            </w:r>
            <w:r>
              <w:rPr>
                <w:rFonts w:ascii="仿宋_GB2312" w:hAnsi="仿宋_GB2312" w:cs="仿宋_GB2312" w:eastAsia="仿宋_GB2312"/>
                <w:sz w:val="21"/>
              </w:rPr>
              <w:t>初</w:t>
            </w:r>
            <w:r>
              <w:rPr>
                <w:rFonts w:ascii="仿宋_GB2312" w:hAnsi="仿宋_GB2312" w:cs="仿宋_GB2312" w:eastAsia="仿宋_GB2312"/>
                <w:sz w:val="21"/>
              </w:rPr>
              <w:t>步设计方案初稿进行评审，结合专家意见进行修订形成终稿。</w:t>
            </w:r>
          </w:p>
          <w:p>
            <w:pPr>
              <w:pStyle w:val="null3"/>
              <w:ind w:firstLine="440"/>
              <w:jc w:val="left"/>
            </w:pPr>
            <w:r>
              <w:rPr>
                <w:rFonts w:ascii="仿宋_GB2312" w:hAnsi="仿宋_GB2312" w:cs="仿宋_GB2312" w:eastAsia="仿宋_GB2312"/>
                <w:sz w:val="21"/>
              </w:rPr>
              <w:t>3、项目服务要求</w:t>
            </w:r>
          </w:p>
          <w:p>
            <w:pPr>
              <w:pStyle w:val="null3"/>
              <w:ind w:firstLine="440"/>
              <w:jc w:val="left"/>
            </w:pPr>
            <w:r>
              <w:rPr>
                <w:rFonts w:ascii="仿宋_GB2312" w:hAnsi="仿宋_GB2312" w:cs="仿宋_GB2312" w:eastAsia="仿宋_GB2312"/>
                <w:sz w:val="21"/>
              </w:rPr>
              <w:t>（1）内部管理要求：</w:t>
            </w:r>
            <w:r>
              <w:rPr>
                <w:rFonts w:ascii="仿宋_GB2312" w:hAnsi="仿宋_GB2312" w:cs="仿宋_GB2312" w:eastAsia="仿宋_GB2312"/>
                <w:sz w:val="21"/>
              </w:rPr>
              <w:t>成交供应商</w:t>
            </w:r>
            <w:r>
              <w:rPr>
                <w:rFonts w:ascii="仿宋_GB2312" w:hAnsi="仿宋_GB2312" w:cs="仿宋_GB2312" w:eastAsia="仿宋_GB2312"/>
                <w:sz w:val="21"/>
              </w:rPr>
              <w:t>应针对本项目制定详细规范的实施方案，实施方案应包括项目背景、建设必要性分析、工作内容、时间进度安排、人员投入等内容。</w:t>
            </w:r>
          </w:p>
          <w:p>
            <w:pPr>
              <w:pStyle w:val="null3"/>
              <w:ind w:firstLine="440"/>
              <w:jc w:val="left"/>
            </w:pPr>
            <w:r>
              <w:rPr>
                <w:rFonts w:ascii="仿宋_GB2312" w:hAnsi="仿宋_GB2312" w:cs="仿宋_GB2312" w:eastAsia="仿宋_GB2312"/>
                <w:sz w:val="21"/>
              </w:rPr>
              <w:t>（2）人员要求：</w:t>
            </w:r>
            <w:r>
              <w:rPr>
                <w:rFonts w:ascii="仿宋_GB2312" w:hAnsi="仿宋_GB2312" w:cs="仿宋_GB2312" w:eastAsia="仿宋_GB2312"/>
                <w:sz w:val="21"/>
              </w:rPr>
              <w:t>成交供应商</w:t>
            </w:r>
            <w:r>
              <w:rPr>
                <w:rFonts w:ascii="仿宋_GB2312" w:hAnsi="仿宋_GB2312" w:cs="仿宋_GB2312" w:eastAsia="仿宋_GB2312"/>
                <w:sz w:val="21"/>
              </w:rPr>
              <w:t>应根据项目范围与研究咨询工作需求，合理配置具有相关项目经验的管理人员与咨询顾问，项目人员应具有相关咨询项目经验。</w:t>
            </w:r>
          </w:p>
          <w:p>
            <w:pPr>
              <w:pStyle w:val="null3"/>
              <w:ind w:firstLine="440"/>
              <w:jc w:val="left"/>
            </w:pPr>
            <w:r>
              <w:rPr>
                <w:rFonts w:ascii="仿宋_GB2312" w:hAnsi="仿宋_GB2312" w:cs="仿宋_GB2312" w:eastAsia="仿宋_GB2312"/>
                <w:sz w:val="21"/>
              </w:rPr>
              <w:t>（3）成果质量要求：</w:t>
            </w:r>
            <w:r>
              <w:rPr>
                <w:rFonts w:ascii="仿宋_GB2312" w:hAnsi="仿宋_GB2312" w:cs="仿宋_GB2312" w:eastAsia="仿宋_GB2312"/>
                <w:sz w:val="21"/>
              </w:rPr>
              <w:t>成交供应商</w:t>
            </w:r>
            <w:r>
              <w:rPr>
                <w:rFonts w:ascii="仿宋_GB2312" w:hAnsi="仿宋_GB2312" w:cs="仿宋_GB2312" w:eastAsia="仿宋_GB2312"/>
                <w:sz w:val="21"/>
              </w:rPr>
              <w:t>应按时、保质保量完成工作。若</w:t>
            </w:r>
            <w:r>
              <w:rPr>
                <w:rFonts w:ascii="仿宋_GB2312" w:hAnsi="仿宋_GB2312" w:cs="仿宋_GB2312" w:eastAsia="仿宋_GB2312"/>
                <w:sz w:val="21"/>
              </w:rPr>
              <w:t>成交供应商</w:t>
            </w:r>
            <w:r>
              <w:rPr>
                <w:rFonts w:ascii="仿宋_GB2312" w:hAnsi="仿宋_GB2312" w:cs="仿宋_GB2312" w:eastAsia="仿宋_GB2312"/>
                <w:sz w:val="21"/>
              </w:rPr>
              <w:t>未能按要求提交成果或者成果质量不佳，采购人可随时终止合同。造成经济损失的，采购人可追究其赔偿责任，若采购人已支付合同款，</w:t>
            </w:r>
            <w:r>
              <w:rPr>
                <w:rFonts w:ascii="仿宋_GB2312" w:hAnsi="仿宋_GB2312" w:cs="仿宋_GB2312" w:eastAsia="仿宋_GB2312"/>
                <w:sz w:val="21"/>
              </w:rPr>
              <w:t>成交供应商</w:t>
            </w:r>
            <w:r>
              <w:rPr>
                <w:rFonts w:ascii="仿宋_GB2312" w:hAnsi="仿宋_GB2312" w:cs="仿宋_GB2312" w:eastAsia="仿宋_GB2312"/>
                <w:sz w:val="21"/>
              </w:rPr>
              <w:t>应足额退还。</w:t>
            </w:r>
          </w:p>
          <w:p>
            <w:pPr>
              <w:pStyle w:val="null3"/>
              <w:ind w:firstLine="440"/>
              <w:jc w:val="left"/>
            </w:pPr>
            <w:r>
              <w:rPr>
                <w:rFonts w:ascii="仿宋_GB2312" w:hAnsi="仿宋_GB2312" w:cs="仿宋_GB2312" w:eastAsia="仿宋_GB2312"/>
                <w:sz w:val="21"/>
              </w:rPr>
              <w:t>（4）成果交付要求：为确保项目完成质量，</w:t>
            </w:r>
            <w:r>
              <w:rPr>
                <w:rFonts w:ascii="仿宋_GB2312" w:hAnsi="仿宋_GB2312" w:cs="仿宋_GB2312" w:eastAsia="仿宋_GB2312"/>
                <w:sz w:val="21"/>
              </w:rPr>
              <w:t>成交供应商</w:t>
            </w:r>
            <w:r>
              <w:rPr>
                <w:rFonts w:ascii="仿宋_GB2312" w:hAnsi="仿宋_GB2312" w:cs="仿宋_GB2312" w:eastAsia="仿宋_GB2312"/>
                <w:sz w:val="21"/>
              </w:rPr>
              <w:t>应通过专家评审方式对工作成果进行验收，评审费用由</w:t>
            </w:r>
            <w:r>
              <w:rPr>
                <w:rFonts w:ascii="仿宋_GB2312" w:hAnsi="仿宋_GB2312" w:cs="仿宋_GB2312" w:eastAsia="仿宋_GB2312"/>
                <w:sz w:val="21"/>
              </w:rPr>
              <w:t>成交供应商</w:t>
            </w:r>
            <w:r>
              <w:rPr>
                <w:rFonts w:ascii="仿宋_GB2312" w:hAnsi="仿宋_GB2312" w:cs="仿宋_GB2312" w:eastAsia="仿宋_GB2312"/>
                <w:sz w:val="21"/>
              </w:rPr>
              <w:t>承担。</w:t>
            </w:r>
          </w:p>
          <w:p>
            <w:pPr>
              <w:pStyle w:val="null3"/>
              <w:ind w:firstLine="440"/>
              <w:jc w:val="left"/>
            </w:pPr>
            <w:r>
              <w:rPr>
                <w:rFonts w:ascii="仿宋_GB2312" w:hAnsi="仿宋_GB2312" w:cs="仿宋_GB2312" w:eastAsia="仿宋_GB2312"/>
                <w:sz w:val="21"/>
              </w:rPr>
              <w:t>（5）保密要求：</w:t>
            </w:r>
            <w:r>
              <w:rPr>
                <w:rFonts w:ascii="仿宋_GB2312" w:hAnsi="仿宋_GB2312" w:cs="仿宋_GB2312" w:eastAsia="仿宋_GB2312"/>
                <w:sz w:val="21"/>
              </w:rPr>
              <w:t>成交供应商</w:t>
            </w:r>
            <w:r>
              <w:rPr>
                <w:rFonts w:ascii="仿宋_GB2312" w:hAnsi="仿宋_GB2312" w:cs="仿宋_GB2312" w:eastAsia="仿宋_GB2312"/>
                <w:sz w:val="21"/>
              </w:rPr>
              <w:t>必须对合作过程中所涉及的工作秘密、业务需求、协议、工作成果等内容和相关事项保密。</w:t>
            </w:r>
          </w:p>
          <w:p>
            <w:pPr>
              <w:pStyle w:val="null3"/>
              <w:ind w:firstLine="442"/>
              <w:jc w:val="left"/>
            </w:pPr>
            <w:r>
              <w:rPr>
                <w:rFonts w:ascii="仿宋_GB2312" w:hAnsi="仿宋_GB2312" w:cs="仿宋_GB2312" w:eastAsia="仿宋_GB2312"/>
                <w:sz w:val="21"/>
                <w:b/>
              </w:rPr>
              <w:t>五、其他要求</w:t>
            </w:r>
          </w:p>
          <w:p>
            <w:pPr>
              <w:pStyle w:val="null3"/>
              <w:ind w:firstLine="440"/>
              <w:jc w:val="left"/>
            </w:pPr>
            <w:r>
              <w:rPr>
                <w:rFonts w:ascii="仿宋_GB2312" w:hAnsi="仿宋_GB2312" w:cs="仿宋_GB2312" w:eastAsia="仿宋_GB2312"/>
                <w:sz w:val="21"/>
              </w:rPr>
              <w:t>1、交付时间</w:t>
            </w:r>
            <w:r>
              <w:rPr>
                <w:rFonts w:ascii="仿宋_GB2312" w:hAnsi="仿宋_GB2312" w:cs="仿宋_GB2312" w:eastAsia="仿宋_GB2312"/>
                <w:sz w:val="21"/>
              </w:rPr>
              <w:t>：合同签订后</w:t>
            </w:r>
            <w:r>
              <w:rPr>
                <w:rFonts w:ascii="仿宋_GB2312" w:hAnsi="仿宋_GB2312" w:cs="仿宋_GB2312" w:eastAsia="仿宋_GB2312"/>
                <w:sz w:val="21"/>
              </w:rPr>
              <w:t>两</w:t>
            </w:r>
            <w:r>
              <w:rPr>
                <w:rFonts w:ascii="仿宋_GB2312" w:hAnsi="仿宋_GB2312" w:cs="仿宋_GB2312" w:eastAsia="仿宋_GB2312"/>
                <w:sz w:val="21"/>
              </w:rPr>
              <w:t>个月内</w:t>
            </w:r>
            <w:r>
              <w:rPr>
                <w:rFonts w:ascii="仿宋_GB2312" w:hAnsi="仿宋_GB2312" w:cs="仿宋_GB2312" w:eastAsia="仿宋_GB2312"/>
                <w:sz w:val="21"/>
              </w:rPr>
              <w:t>。</w:t>
            </w:r>
          </w:p>
          <w:p>
            <w:pPr>
              <w:pStyle w:val="null3"/>
              <w:ind w:firstLine="440"/>
              <w:jc w:val="left"/>
            </w:pPr>
            <w:r>
              <w:rPr>
                <w:rFonts w:ascii="仿宋_GB2312" w:hAnsi="仿宋_GB2312" w:cs="仿宋_GB2312" w:eastAsia="仿宋_GB2312"/>
                <w:sz w:val="21"/>
              </w:rPr>
              <w:t>2、交付地点：采购人指定地点。</w:t>
            </w:r>
          </w:p>
          <w:p>
            <w:pPr>
              <w:pStyle w:val="null3"/>
              <w:ind w:firstLine="440"/>
              <w:jc w:val="left"/>
            </w:pPr>
            <w:r>
              <w:rPr>
                <w:rFonts w:ascii="仿宋_GB2312" w:hAnsi="仿宋_GB2312" w:cs="仿宋_GB2312" w:eastAsia="仿宋_GB2312"/>
                <w:sz w:val="21"/>
              </w:rPr>
              <w:t>3、交付条件：按磋商文件、响应文件、合同要求及相关行业标准。</w:t>
            </w:r>
          </w:p>
          <w:p>
            <w:pPr>
              <w:pStyle w:val="null3"/>
              <w:ind w:firstLine="440"/>
              <w:jc w:val="left"/>
            </w:pPr>
            <w:r>
              <w:rPr>
                <w:rFonts w:ascii="仿宋_GB2312" w:hAnsi="仿宋_GB2312" w:cs="仿宋_GB2312" w:eastAsia="仿宋_GB2312"/>
                <w:sz w:val="21"/>
              </w:rPr>
              <w:t>4、验收方式</w:t>
            </w:r>
          </w:p>
          <w:tbl>
            <w:tblPr>
              <w:tblBorders>
                <w:top w:val="none" w:color="000000" w:sz="4"/>
                <w:left w:val="none" w:color="000000" w:sz="4"/>
                <w:bottom w:val="none" w:color="000000" w:sz="4"/>
                <w:right w:val="none" w:color="000000" w:sz="4"/>
                <w:insideH w:val="none"/>
                <w:insideV w:val="none"/>
              </w:tblBorders>
            </w:tblPr>
            <w:tblGrid>
              <w:gridCol w:w="295"/>
              <w:gridCol w:w="2257"/>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D0D0D"/>
                    </w:rPr>
                    <w:t>验收期次</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D0D0D"/>
                    </w:rPr>
                    <w:t>验收期次说明</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D0D0D"/>
                    </w:rPr>
                    <w:t>1</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D0D0D"/>
                    </w:rPr>
                    <w:t>成交</w:t>
                  </w:r>
                  <w:r>
                    <w:rPr>
                      <w:rFonts w:ascii="仿宋_GB2312" w:hAnsi="仿宋_GB2312" w:cs="仿宋_GB2312" w:eastAsia="仿宋_GB2312"/>
                      <w:sz w:val="21"/>
                      <w:color w:val="0D0D0D"/>
                    </w:rPr>
                    <w:t>供应商按磋商文件、响应文件及合同要求的时间内提交采购人认同的</w:t>
                  </w:r>
                  <w:r>
                    <w:rPr>
                      <w:rFonts w:ascii="仿宋_GB2312" w:hAnsi="仿宋_GB2312" w:cs="仿宋_GB2312" w:eastAsia="仿宋_GB2312"/>
                      <w:sz w:val="21"/>
                    </w:rPr>
                    <w:t>陕西省无线电管理基础和技术设施建设技术支撑服务项目初步设计</w:t>
                  </w:r>
                  <w:r>
                    <w:rPr>
                      <w:rFonts w:ascii="仿宋_GB2312" w:hAnsi="仿宋_GB2312" w:cs="仿宋_GB2312" w:eastAsia="仿宋_GB2312"/>
                      <w:sz w:val="21"/>
                      <w:color w:val="0D0D0D"/>
                    </w:rPr>
                    <w:t>初步设计相关材料。</w:t>
                  </w:r>
                </w:p>
              </w:tc>
            </w:tr>
          </w:tbl>
          <w:p>
            <w:pPr>
              <w:pStyle w:val="null3"/>
              <w:ind w:firstLine="440"/>
              <w:jc w:val="left"/>
            </w:pPr>
            <w:r>
              <w:rPr>
                <w:rFonts w:ascii="仿宋_GB2312" w:hAnsi="仿宋_GB2312" w:cs="仿宋_GB2312" w:eastAsia="仿宋_GB2312"/>
                <w:sz w:val="21"/>
              </w:rPr>
              <w:t>5、验收要求</w:t>
            </w:r>
          </w:p>
          <w:p>
            <w:pPr>
              <w:pStyle w:val="null3"/>
              <w:ind w:firstLine="440"/>
              <w:jc w:val="left"/>
            </w:pPr>
            <w:r>
              <w:rPr>
                <w:rFonts w:ascii="仿宋_GB2312" w:hAnsi="仿宋_GB2312" w:cs="仿宋_GB2312" w:eastAsia="仿宋_GB2312"/>
                <w:sz w:val="21"/>
              </w:rPr>
              <w:t>在规定时限内提交完整规范的</w:t>
            </w:r>
            <w:r>
              <w:rPr>
                <w:rFonts w:ascii="仿宋_GB2312" w:hAnsi="仿宋_GB2312" w:cs="仿宋_GB2312" w:eastAsia="仿宋_GB2312"/>
                <w:sz w:val="21"/>
              </w:rPr>
              <w:t>陕西省无线电管理基础和技术设施建设技术支撑服务项目初步设计</w:t>
            </w:r>
            <w:r>
              <w:rPr>
                <w:rFonts w:ascii="仿宋_GB2312" w:hAnsi="仿宋_GB2312" w:cs="仿宋_GB2312" w:eastAsia="仿宋_GB2312"/>
                <w:sz w:val="21"/>
              </w:rPr>
              <w:t>初步设计，初步设计符合以下要求：</w:t>
            </w:r>
          </w:p>
          <w:p>
            <w:pPr>
              <w:pStyle w:val="null3"/>
              <w:ind w:firstLine="440"/>
              <w:jc w:val="left"/>
            </w:pPr>
            <w:r>
              <w:rPr>
                <w:rFonts w:ascii="仿宋_GB2312" w:hAnsi="仿宋_GB2312" w:cs="仿宋_GB2312" w:eastAsia="仿宋_GB2312"/>
                <w:sz w:val="21"/>
              </w:rPr>
              <w:t>（1）所形成的陕西省无线电管理基础和技术设施建设技术支撑服务项目初步设计初步设计符合国家相关要求及陕西省实际建设需求，并加盖单位公章。</w:t>
            </w:r>
          </w:p>
          <w:p>
            <w:pPr>
              <w:pStyle w:val="null3"/>
              <w:ind w:firstLine="440"/>
              <w:jc w:val="left"/>
            </w:pPr>
            <w:r>
              <w:rPr>
                <w:rFonts w:ascii="仿宋_GB2312" w:hAnsi="仿宋_GB2312" w:cs="仿宋_GB2312" w:eastAsia="仿宋_GB2312"/>
                <w:sz w:val="21"/>
              </w:rPr>
              <w:t>（2）所形成的陕西省无线电管理基础和技术设施建设技术支撑服务项目初步设计初步设计内容系统全面、内容充实、结构完整、数据正确，</w:t>
            </w:r>
            <w:r>
              <w:rPr>
                <w:rFonts w:ascii="仿宋_GB2312" w:hAnsi="仿宋_GB2312" w:cs="仿宋_GB2312" w:eastAsia="仿宋_GB2312"/>
                <w:sz w:val="21"/>
              </w:rPr>
              <w:t>符合专家验收标准。</w:t>
            </w:r>
          </w:p>
          <w:p>
            <w:pPr>
              <w:pStyle w:val="null3"/>
              <w:ind w:firstLine="442"/>
              <w:jc w:val="left"/>
            </w:pPr>
            <w:r>
              <w:rPr>
                <w:rFonts w:ascii="仿宋_GB2312" w:hAnsi="仿宋_GB2312" w:cs="仿宋_GB2312" w:eastAsia="仿宋_GB2312"/>
                <w:sz w:val="21"/>
                <w:b/>
              </w:rPr>
              <w:t>六、付款要求</w:t>
            </w:r>
          </w:p>
          <w:p>
            <w:pPr>
              <w:pStyle w:val="null3"/>
              <w:ind w:firstLine="440"/>
              <w:jc w:val="left"/>
            </w:pPr>
            <w:r>
              <w:rPr>
                <w:rFonts w:ascii="仿宋_GB2312" w:hAnsi="仿宋_GB2312" w:cs="仿宋_GB2312" w:eastAsia="仿宋_GB2312"/>
                <w:sz w:val="21"/>
              </w:rPr>
              <w:t>（1）合同签订后十个工作日内，成交供应商向采购人出具的银行保函（保函金额合同签署前由采购人确定，保函有效期截止时间为本项目验收合格后满六个月）；</w:t>
            </w:r>
          </w:p>
          <w:p>
            <w:pPr>
              <w:pStyle w:val="null3"/>
              <w:ind w:firstLine="440"/>
              <w:jc w:val="left"/>
            </w:pPr>
            <w:r>
              <w:rPr>
                <w:rFonts w:ascii="仿宋_GB2312" w:hAnsi="仿宋_GB2312" w:cs="仿宋_GB2312" w:eastAsia="仿宋_GB2312"/>
                <w:sz w:val="21"/>
              </w:rPr>
              <w:t>（2）采购人收到成交供应商合格银行保函后支付全部合同总价款。</w:t>
            </w:r>
          </w:p>
          <w:p>
            <w:pPr>
              <w:pStyle w:val="null3"/>
              <w:ind w:firstLine="440"/>
              <w:jc w:val="left"/>
            </w:pPr>
            <w:r>
              <w:rPr>
                <w:rFonts w:ascii="仿宋_GB2312" w:hAnsi="仿宋_GB2312" w:cs="仿宋_GB2312" w:eastAsia="仿宋_GB2312"/>
                <w:sz w:val="21"/>
              </w:rPr>
              <w:t>（3）成交供应商承诺在采购人办理支付手续前，为采购人出具等额的符合国家规定的发票。</w:t>
            </w:r>
          </w:p>
          <w:p>
            <w:pPr>
              <w:pStyle w:val="null3"/>
            </w:pPr>
            <w:r>
              <w:rPr>
                <w:rFonts w:ascii="仿宋_GB2312" w:hAnsi="仿宋_GB2312" w:cs="仿宋_GB2312" w:eastAsia="仿宋_GB2312"/>
                <w:sz w:val="21"/>
              </w:rPr>
              <w:t>（4）上述时间不包括采购人正常办理支付报批手续的时间。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合同签订后两个月内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在规定时限内提交完整规范的陕西省无线电管理基础和技术设施建设技术支撑服务项目初步设计初步设计，初步设计符合以下要求： （1）所形成的陕西省无线电管理基础和技术设施建设技术支撑服务项目初步设计初步设计符合国家相关要求及陕西省实际建设需求，并加盖单位公章。 （2）所形成的陕西省无线电管理基础和技术设施建设技术支撑服务项目初步设计初步设计内容系统全面、内容充实、结构完整、数据正确，符合专家验收标准。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十个工作日内，成交供应商向采购人出具的银行保函（保函金额合同签署前由采购人确定，保函有效期截止时间为本项目验收合格后满六个月），采购人收到成交供应商合格银行保函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 2、磋商保证金注意事项：磋商保证金须从供应商账户转账；以保函形式交纳磋商保证金的，供应商应在响应截止时间前将保函扫描成清晰的PDF文件，发送至邮箱1172109359@qq.com（邮件命名：项目名称+项目编号），供应商应在响应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供应商具有工程设计综合资质甲级或工程设计电子通信广电行业（有线通信或无线通信或电子系统工程）专业乙级及以上资质；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1报价表.docx 标的清单 2分项报价表.docx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1报价表.docx 标的清单 2分项报价表.docx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13突发情况处理方案及合理化建议.docx 15团队力量、项目管理体系及人员配备.docx 18保证金缴纳凭证.docx 报价表 6商务偏离表.docx 12保密方案.docx 11成果保障及交付方案.docx 标的清单 4投标人承诺书.docx 监狱企业的证明文件 5服务偏离表.docx 19供应商认为有必要说明的其他资料.docx 16企业实力.docx 中小企业声明函 10质量管理保障方案.docx 17业绩统计表.docx 响应文件封面 1报价表.docx 8服务方案.docx 残疾人福利性单位声明函 2分项报价表.docx 7需求理解分析及重难点应对措施.docx 响应函 3资格证明文件.docx 9项目实施方案.docx 14售后服务方案.docx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18保证金缴纳凭证.docx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6商务偏离表.docx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13突发情况处理方案及合理化建议.docx 15团队力量、项目管理体系及人员配备.docx 18保证金缴纳凭证.docx 报价表 6商务偏离表.docx 12保密方案.docx 11成果保障及交付方案.docx 标的清单 4投标人承诺书.docx 监狱企业的证明文件 5服务偏离表.docx 19供应商认为有必要说明的其他资料.docx 16企业实力.docx 中小企业声明函 10质量管理保障方案.docx 17业绩统计表.docx 响应文件封面 1报价表.docx 8服务方案.docx 残疾人福利性单位声明函 2分项报价表.docx 7需求理解分析及重难点应对措施.docx 响应函 3资格证明文件.docx 9项目实施方案.docx 14售后服务方案.docx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针对本项目提供完善的需求理解分析及重难点应对措施，包括但不限于：①对工作内容、目标理解及项目的必要性分析；②对项目重点难点分析及解决方案。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7需求理解分析及重难点应对措施.docx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针对本项目提供完善的服务方案，包括但不限于：①总体工作思路；②初步设计方案编制；③初步设计方案评审修改方案；④项目验收方案。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针对本项目提供完善的项目实施方案，包括但不限于：①项目整体工作及服务流程；②整体时间安排及各项工作成果节点时间安排；③项目实施进度保障措施。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9项目实施方案.docx</w:t>
            </w:r>
          </w:p>
        </w:tc>
      </w:tr>
      <w:tr>
        <w:tc>
          <w:tcPr>
            <w:tcW w:type="dxa" w:w="831"/>
            <w:vMerge/>
          </w:tcPr>
          <w:p/>
        </w:tc>
        <w:tc>
          <w:tcPr>
            <w:tcW w:type="dxa" w:w="1661"/>
          </w:tcPr>
          <w:p>
            <w:pPr>
              <w:pStyle w:val="null3"/>
            </w:pPr>
            <w:r>
              <w:rPr>
                <w:rFonts w:ascii="仿宋_GB2312" w:hAnsi="仿宋_GB2312" w:cs="仿宋_GB2312" w:eastAsia="仿宋_GB2312"/>
              </w:rPr>
              <w:t>质量管理保障方案</w:t>
            </w:r>
          </w:p>
        </w:tc>
        <w:tc>
          <w:tcPr>
            <w:tcW w:type="dxa" w:w="2492"/>
          </w:tcPr>
          <w:p>
            <w:pPr>
              <w:pStyle w:val="null3"/>
            </w:pPr>
            <w:r>
              <w:rPr>
                <w:rFonts w:ascii="仿宋_GB2312" w:hAnsi="仿宋_GB2312" w:cs="仿宋_GB2312" w:eastAsia="仿宋_GB2312"/>
              </w:rPr>
              <w:t>针对本项目提供完善的质量管理保障方案，包括但不限于：①项目管理制度；②针对本项目质量保障方案；③与采购人及各单位之间沟通协调保障措施。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10质量管理保障方案.docx</w:t>
            </w:r>
          </w:p>
        </w:tc>
      </w:tr>
      <w:tr>
        <w:tc>
          <w:tcPr>
            <w:tcW w:type="dxa" w:w="831"/>
            <w:vMerge/>
          </w:tcPr>
          <w:p/>
        </w:tc>
        <w:tc>
          <w:tcPr>
            <w:tcW w:type="dxa" w:w="1661"/>
          </w:tcPr>
          <w:p>
            <w:pPr>
              <w:pStyle w:val="null3"/>
            </w:pPr>
            <w:r>
              <w:rPr>
                <w:rFonts w:ascii="仿宋_GB2312" w:hAnsi="仿宋_GB2312" w:cs="仿宋_GB2312" w:eastAsia="仿宋_GB2312"/>
              </w:rPr>
              <w:t>成果保障及交付方案</w:t>
            </w:r>
          </w:p>
        </w:tc>
        <w:tc>
          <w:tcPr>
            <w:tcW w:type="dxa" w:w="2492"/>
          </w:tcPr>
          <w:p>
            <w:pPr>
              <w:pStyle w:val="null3"/>
            </w:pPr>
            <w:r>
              <w:rPr>
                <w:rFonts w:ascii="仿宋_GB2312" w:hAnsi="仿宋_GB2312" w:cs="仿宋_GB2312" w:eastAsia="仿宋_GB2312"/>
              </w:rPr>
              <w:t>针对本项目提供完善的成果保障及交付方案，包括但不限于：①全过程资料的收集、整理及移交；②成果质量保证措施。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11成果保障及交付方案.docx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针对本项目提供完善的保密方案，包括但不限于：①保密承诺书；②保密制度及保密方案。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12保密方案.docx</w:t>
            </w:r>
          </w:p>
        </w:tc>
      </w:tr>
      <w:tr>
        <w:tc>
          <w:tcPr>
            <w:tcW w:type="dxa" w:w="831"/>
            <w:vMerge/>
          </w:tcPr>
          <w:p/>
        </w:tc>
        <w:tc>
          <w:tcPr>
            <w:tcW w:type="dxa" w:w="1661"/>
          </w:tcPr>
          <w:p>
            <w:pPr>
              <w:pStyle w:val="null3"/>
            </w:pPr>
            <w:r>
              <w:rPr>
                <w:rFonts w:ascii="仿宋_GB2312" w:hAnsi="仿宋_GB2312" w:cs="仿宋_GB2312" w:eastAsia="仿宋_GB2312"/>
              </w:rPr>
              <w:t>突发情况处理方案及合理化建议</w:t>
            </w:r>
          </w:p>
        </w:tc>
        <w:tc>
          <w:tcPr>
            <w:tcW w:type="dxa" w:w="2492"/>
          </w:tcPr>
          <w:p>
            <w:pPr>
              <w:pStyle w:val="null3"/>
            </w:pPr>
            <w:r>
              <w:rPr>
                <w:rFonts w:ascii="仿宋_GB2312" w:hAnsi="仿宋_GB2312" w:cs="仿宋_GB2312" w:eastAsia="仿宋_GB2312"/>
              </w:rPr>
              <w:t>针对本项目提供完善的突发情况处理方案及合理化建议，包括但不限于：①应对遇突发情况或临时任务时的保障服务；②突发情况的处理措施；③应急预案；④针对本项目的合理化建议。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13突发情况处理方案及合理化建议.docx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针对本项目提供完善的售后服务方案，包括但不限于：①售后响应时效及售后服务承诺；②售后服务机构的设置及专职售后人员；③服务期内售后服务方案。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14售后服务方案.docx</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拟派的项目组成员：电子信息、通信工程等相关专业中级工程师或以上职称的，每配备一人得1分，满分5分。 注：提供相关证明材料（职称证书扫描件、供应商为其缴纳的近六个月任意一个月社保证明或相关任职通知）复印件并加盖公章，不提供不得分。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15团队力量、项目管理体系及人员配备.docx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w:t>
            </w:r>
          </w:p>
        </w:tc>
        <w:tc>
          <w:tcPr>
            <w:tcW w:type="dxa" w:w="2492"/>
          </w:tcPr>
          <w:p>
            <w:pPr>
              <w:pStyle w:val="null3"/>
            </w:pPr>
            <w:r>
              <w:rPr>
                <w:rFonts w:ascii="仿宋_GB2312" w:hAnsi="仿宋_GB2312" w:cs="仿宋_GB2312" w:eastAsia="仿宋_GB2312"/>
              </w:rPr>
              <w:t>针对本项目提供完善的项目管理体系及人员配备，包括但不限于：①项目管理体系及项目服务团队架构；②项目人员岗位划分及岗位职责；③项目人员管理制度。 评审标准：方案各部分内容全面详细、阐述条理清晰详尽、符合本项目采购需求，能保障本项目实施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15团队力量、项目管理体系及人员配备.docx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1、提供IS09001质量管理体系认证证书得1分，不提供不得分； 2、提供IS027001信息安全管理体系认证证书得1分，不提供不得分； 本项满分2分。 注：提供相关证明材料复印件并加盖公章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16企业实力.docx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供应商提供自2023年01月01日至今类似项目业绩（以合同签订日期为准），每提供1个业绩证明材料得1分，满分5分。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 10分。（因落实政府采购政策进行价格调整的，以调整后的价格计算评标基准价）其他供应商的价格分按照下列公式计算：磋商总报价得分＝（评标基准价/磋商总报价）×10。价格得分四舍五入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1报价表.docx</w:t>
            </w:r>
          </w:p>
          <w:p>
            <w:pPr>
              <w:pStyle w:val="null3"/>
            </w:pPr>
            <w:r>
              <w:rPr>
                <w:rFonts w:ascii="仿宋_GB2312" w:hAnsi="仿宋_GB2312" w:cs="仿宋_GB2312" w:eastAsia="仿宋_GB2312"/>
              </w:rPr>
              <w:t>2分项报价表.docx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1报价表.docx</w:t>
            </w:r>
          </w:p>
          <w:p>
            <w:pPr>
              <w:pStyle w:val="null3"/>
            </w:pPr>
            <w:r>
              <w:rPr>
                <w:rFonts w:ascii="仿宋_GB2312" w:hAnsi="仿宋_GB2312" w:cs="仿宋_GB2312" w:eastAsia="仿宋_GB2312"/>
              </w:rPr>
              <w:t>2分项报价表.docx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详见附件：4投标人承诺书.docx</w:t>
      </w:r>
    </w:p>
    <w:p>
      <w:pPr>
        <w:pStyle w:val="null3"/>
        <w:ind w:firstLine="960"/>
      </w:pPr>
      <w:r>
        <w:rPr>
          <w:rFonts w:ascii="仿宋_GB2312" w:hAnsi="仿宋_GB2312" w:cs="仿宋_GB2312" w:eastAsia="仿宋_GB2312"/>
        </w:rPr>
        <w:t>详见附件：5服务偏离表.docx</w:t>
      </w:r>
    </w:p>
    <w:p>
      <w:pPr>
        <w:pStyle w:val="null3"/>
        <w:ind w:firstLine="960"/>
      </w:pPr>
      <w:r>
        <w:rPr>
          <w:rFonts w:ascii="仿宋_GB2312" w:hAnsi="仿宋_GB2312" w:cs="仿宋_GB2312" w:eastAsia="仿宋_GB2312"/>
        </w:rPr>
        <w:t>详见附件：6商务偏离表.docx</w:t>
      </w:r>
    </w:p>
    <w:p>
      <w:pPr>
        <w:pStyle w:val="null3"/>
        <w:ind w:firstLine="960"/>
      </w:pPr>
      <w:r>
        <w:rPr>
          <w:rFonts w:ascii="仿宋_GB2312" w:hAnsi="仿宋_GB2312" w:cs="仿宋_GB2312" w:eastAsia="仿宋_GB2312"/>
        </w:rPr>
        <w:t>详见附件：7需求理解分析及重难点应对措施.docx</w:t>
      </w:r>
    </w:p>
    <w:p>
      <w:pPr>
        <w:pStyle w:val="null3"/>
        <w:ind w:firstLine="960"/>
      </w:pPr>
      <w:r>
        <w:rPr>
          <w:rFonts w:ascii="仿宋_GB2312" w:hAnsi="仿宋_GB2312" w:cs="仿宋_GB2312" w:eastAsia="仿宋_GB2312"/>
        </w:rPr>
        <w:t>详见附件：8服务方案.docx</w:t>
      </w:r>
    </w:p>
    <w:p>
      <w:pPr>
        <w:pStyle w:val="null3"/>
        <w:ind w:firstLine="960"/>
      </w:pPr>
      <w:r>
        <w:rPr>
          <w:rFonts w:ascii="仿宋_GB2312" w:hAnsi="仿宋_GB2312" w:cs="仿宋_GB2312" w:eastAsia="仿宋_GB2312"/>
        </w:rPr>
        <w:t>详见附件：9项目实施方案.docx</w:t>
      </w:r>
    </w:p>
    <w:p>
      <w:pPr>
        <w:pStyle w:val="null3"/>
        <w:ind w:firstLine="960"/>
      </w:pPr>
      <w:r>
        <w:rPr>
          <w:rFonts w:ascii="仿宋_GB2312" w:hAnsi="仿宋_GB2312" w:cs="仿宋_GB2312" w:eastAsia="仿宋_GB2312"/>
        </w:rPr>
        <w:t>详见附件：10质量管理保障方案.docx</w:t>
      </w:r>
    </w:p>
    <w:p>
      <w:pPr>
        <w:pStyle w:val="null3"/>
        <w:ind w:firstLine="960"/>
      </w:pPr>
      <w:r>
        <w:rPr>
          <w:rFonts w:ascii="仿宋_GB2312" w:hAnsi="仿宋_GB2312" w:cs="仿宋_GB2312" w:eastAsia="仿宋_GB2312"/>
        </w:rPr>
        <w:t>详见附件：11成果保障及交付方案.docx</w:t>
      </w:r>
    </w:p>
    <w:p>
      <w:pPr>
        <w:pStyle w:val="null3"/>
        <w:ind w:firstLine="960"/>
      </w:pPr>
      <w:r>
        <w:rPr>
          <w:rFonts w:ascii="仿宋_GB2312" w:hAnsi="仿宋_GB2312" w:cs="仿宋_GB2312" w:eastAsia="仿宋_GB2312"/>
        </w:rPr>
        <w:t>详见附件：12保密方案.docx</w:t>
      </w:r>
    </w:p>
    <w:p>
      <w:pPr>
        <w:pStyle w:val="null3"/>
        <w:ind w:firstLine="960"/>
      </w:pPr>
      <w:r>
        <w:rPr>
          <w:rFonts w:ascii="仿宋_GB2312" w:hAnsi="仿宋_GB2312" w:cs="仿宋_GB2312" w:eastAsia="仿宋_GB2312"/>
        </w:rPr>
        <w:t>详见附件：13突发情况处理方案及合理化建议.docx</w:t>
      </w:r>
    </w:p>
    <w:p>
      <w:pPr>
        <w:pStyle w:val="null3"/>
        <w:ind w:firstLine="960"/>
      </w:pPr>
      <w:r>
        <w:rPr>
          <w:rFonts w:ascii="仿宋_GB2312" w:hAnsi="仿宋_GB2312" w:cs="仿宋_GB2312" w:eastAsia="仿宋_GB2312"/>
        </w:rPr>
        <w:t>详见附件：14售后服务方案.docx</w:t>
      </w:r>
    </w:p>
    <w:p>
      <w:pPr>
        <w:pStyle w:val="null3"/>
        <w:ind w:firstLine="960"/>
      </w:pPr>
      <w:r>
        <w:rPr>
          <w:rFonts w:ascii="仿宋_GB2312" w:hAnsi="仿宋_GB2312" w:cs="仿宋_GB2312" w:eastAsia="仿宋_GB2312"/>
        </w:rPr>
        <w:t>详见附件：15团队力量、项目管理体系及人员配备.docx</w:t>
      </w:r>
    </w:p>
    <w:p>
      <w:pPr>
        <w:pStyle w:val="null3"/>
        <w:ind w:firstLine="960"/>
      </w:pPr>
      <w:r>
        <w:rPr>
          <w:rFonts w:ascii="仿宋_GB2312" w:hAnsi="仿宋_GB2312" w:cs="仿宋_GB2312" w:eastAsia="仿宋_GB2312"/>
        </w:rPr>
        <w:t>详见附件：16企业实力.docx</w:t>
      </w:r>
    </w:p>
    <w:p>
      <w:pPr>
        <w:pStyle w:val="null3"/>
        <w:ind w:firstLine="960"/>
      </w:pPr>
      <w:r>
        <w:rPr>
          <w:rFonts w:ascii="仿宋_GB2312" w:hAnsi="仿宋_GB2312" w:cs="仿宋_GB2312" w:eastAsia="仿宋_GB2312"/>
        </w:rPr>
        <w:t>详见附件：17业绩统计表.docx</w:t>
      </w:r>
    </w:p>
    <w:p>
      <w:pPr>
        <w:pStyle w:val="null3"/>
        <w:ind w:firstLine="960"/>
      </w:pPr>
      <w:r>
        <w:rPr>
          <w:rFonts w:ascii="仿宋_GB2312" w:hAnsi="仿宋_GB2312" w:cs="仿宋_GB2312" w:eastAsia="仿宋_GB2312"/>
        </w:rPr>
        <w:t>详见附件：18保证金缴纳凭证.docx</w:t>
      </w:r>
    </w:p>
    <w:p>
      <w:pPr>
        <w:pStyle w:val="null3"/>
        <w:ind w:firstLine="960"/>
      </w:pPr>
      <w:r>
        <w:rPr>
          <w:rFonts w:ascii="仿宋_GB2312" w:hAnsi="仿宋_GB2312" w:cs="仿宋_GB2312" w:eastAsia="仿宋_GB2312"/>
        </w:rPr>
        <w:t>详见附件：19供应商认为有必要说明的其他资料.docx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