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71E2">
      <w:pPr>
        <w:spacing w:before="156" w:after="156"/>
        <w:ind w:firstLine="602"/>
        <w:jc w:val="center"/>
        <w:rPr>
          <w:b/>
          <w:sz w:val="30"/>
          <w:szCs w:val="30"/>
        </w:rPr>
      </w:pPr>
      <w:bookmarkStart w:id="0" w:name="OLE_LINK31"/>
      <w:bookmarkStart w:id="1" w:name="OLE_LINK30"/>
      <w:r>
        <w:rPr>
          <w:rFonts w:hint="eastAsia"/>
          <w:b/>
          <w:sz w:val="30"/>
          <w:szCs w:val="30"/>
        </w:rPr>
        <w:t>参考合同文本</w:t>
      </w:r>
    </w:p>
    <w:p w14:paraId="4338A847">
      <w:pPr>
        <w:spacing w:before="156" w:after="156"/>
        <w:ind w:firstLine="442"/>
        <w:rPr>
          <w:rFonts w:ascii="宋体" w:hAnsi="宋体" w:cs="??"/>
          <w:b/>
          <w:szCs w:val="20"/>
          <w:u w:val="single"/>
        </w:rPr>
      </w:pPr>
      <w:r>
        <w:rPr>
          <w:rFonts w:hint="eastAsia" w:ascii="宋体" w:hAnsi="宋体" w:cs="??"/>
          <w:b/>
          <w:szCs w:val="20"/>
          <w:u w:val="single"/>
        </w:rPr>
        <w:t>注：本合同仅为合同的参考文本，合同签订双方可根据项目的具体要求进行修订。</w:t>
      </w:r>
    </w:p>
    <w:bookmarkEnd w:id="0"/>
    <w:bookmarkEnd w:id="1"/>
    <w:p w14:paraId="6F3554E1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 xml:space="preserve">   </w:t>
      </w:r>
      <w:r>
        <w:rPr>
          <w:rFonts w:hint="eastAsia" w:ascii="宋体" w:hAnsi="宋体" w:eastAsia="宋体" w:cs="Times New Roman"/>
          <w:bCs/>
          <w:kern w:val="0"/>
          <w:sz w:val="20"/>
          <w:szCs w:val="20"/>
          <w:u w:val="single"/>
        </w:rPr>
        <w:t xml:space="preserve">     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（以下简称甲方）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采购，在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的监督管理下，由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>陕西中经招标有限公司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组织采购，选定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 xml:space="preserve"> (以下简称乙方）为该项目</w:t>
      </w: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：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采购包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中标人。依据《中华人民共和国民法典》和《中华人民共和国政府采购法》，经甲、乙双方共同协商，按下述条款和条件签署本合同。</w:t>
      </w:r>
    </w:p>
    <w:p w14:paraId="7C9A4230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一、合同内容</w:t>
      </w:r>
    </w:p>
    <w:p w14:paraId="608AB5E3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乙方负责按照合同确定的服务和（或）货物、数量、产地及技术标准组织供货（具体采购项目见附件1），按时运到甲方指定的地点；确保所有服务和（或）货物各项指标达到要求，保证甲方能够正常使用，同时乙方根据产品的使用特性做好售后服务。</w:t>
      </w:r>
    </w:p>
    <w:p w14:paraId="1747CBC9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二、合同价格</w:t>
      </w:r>
    </w:p>
    <w:p w14:paraId="334A9AEB">
      <w:pPr>
        <w:widowControl/>
        <w:spacing w:before="156" w:beforeLines="50" w:after="156" w:afterLines="50" w:line="460" w:lineRule="exact"/>
        <w:ind w:left="480" w:leftChars="200"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总价：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人民币   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元整（¥   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  元） </w:t>
      </w:r>
    </w:p>
    <w:p w14:paraId="17D142FF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说明：</w:t>
      </w:r>
    </w:p>
    <w:p w14:paraId="4AECCBD8">
      <w:pPr>
        <w:widowControl w:val="0"/>
        <w:numPr>
          <w:ilvl w:val="0"/>
          <w:numId w:val="0"/>
        </w:numPr>
        <w:spacing w:before="156" w:beforeLines="0" w:after="156" w:afterLines="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 w:bidi="ar-SA"/>
        </w:rPr>
        <w:t>（一）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合同价格包含服务和（或）货物费用、到达指定地点的运杂费（含保险）及应缴纳的全部税款等费用。</w:t>
      </w:r>
    </w:p>
    <w:p w14:paraId="3C925B84">
      <w:pPr>
        <w:widowControl w:val="0"/>
        <w:numPr>
          <w:ilvl w:val="0"/>
          <w:numId w:val="0"/>
        </w:numPr>
        <w:spacing w:before="156" w:beforeLines="0" w:after="156" w:afterLines="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 w:bidi="ar-SA"/>
        </w:rPr>
        <w:t>（二）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合同价格一次包死，不受市场价格变化的影响，并作为结算的唯一依据。</w:t>
      </w:r>
    </w:p>
    <w:p w14:paraId="10492456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（三）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费用包干：本次项目总报价必须完整覆盖招标文件内所有明确提出的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软件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开发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、硬件安装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、部署、联合调试及相关配合工作所产生的全部费用。无额外费用：承诺在项目实施过程中，不得以任何理由针对上述集成要求提出额外费用。</w:t>
      </w:r>
    </w:p>
    <w:p w14:paraId="5E9F42C3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 xml:space="preserve">三、合同款项支付 </w:t>
      </w:r>
    </w:p>
    <w:p w14:paraId="2190DEFC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（一）结算单位：采购人结算，在每次付款前，必须开具等额发票给采购人。</w:t>
      </w:r>
    </w:p>
    <w:p w14:paraId="2D01CE81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（二）付款方式：</w:t>
      </w:r>
    </w:p>
    <w:p w14:paraId="20089B3F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采购包1：自合同签订之日起130日历日内完成项目（包含供货、开发集成、测试、验收并交付的所有日历天数）。</w:t>
      </w:r>
    </w:p>
    <w:p w14:paraId="27E6CA06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采购包2：自合同签订之日起130日历日内完成项目（包含供货、安装集成、调试、验收并交付的所有日历天数）。</w:t>
      </w:r>
    </w:p>
    <w:p w14:paraId="61EC54C1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（三）供应商承诺在采购人办理以上各期付款的支付手续前，为采购人出具等额的符合国家规定的发票；</w:t>
      </w:r>
    </w:p>
    <w:p w14:paraId="122BD4FA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（四）上述时间不包括采购人正常办理支付报批手续的时间。</w:t>
      </w:r>
    </w:p>
    <w:p w14:paraId="192CA5FE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（五）采购包1：</w:t>
      </w:r>
      <w:bookmarkStart w:id="2" w:name="OLE_LINK5"/>
      <w:bookmarkStart w:id="3" w:name="OLE_LINK4"/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中标/成交供应商是否需要缴纳履约金：是</w:t>
      </w:r>
    </w:p>
    <w:p w14:paraId="6EE3362A">
      <w:pPr>
        <w:widowControl/>
        <w:spacing w:before="156" w:beforeLines="50" w:after="156" w:afterLines="50" w:line="460" w:lineRule="exact"/>
        <w:ind w:firstLine="2000" w:firstLineChars="10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履约保证金缴纳比例：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1</w:t>
      </w: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%</w:t>
      </w:r>
    </w:p>
    <w:p w14:paraId="4AE32FA8">
      <w:pPr>
        <w:widowControl/>
        <w:spacing w:before="156" w:beforeLines="50" w:after="156" w:afterLines="50" w:line="460" w:lineRule="exact"/>
        <w:ind w:firstLine="2000" w:firstLineChars="10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缴纳方式：银行转账，支票/汇票/本票，保函/保险</w:t>
      </w:r>
    </w:p>
    <w:p w14:paraId="756AF8CE">
      <w:pPr>
        <w:widowControl/>
        <w:spacing w:before="156" w:beforeLines="50" w:after="156" w:afterLines="50" w:line="460" w:lineRule="exact"/>
        <w:ind w:firstLine="2000" w:firstLineChars="10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缴纳说明：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履约完成后15个工作日无息退还</w:t>
      </w:r>
      <w:bookmarkEnd w:id="2"/>
      <w:bookmarkEnd w:id="3"/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。</w:t>
      </w:r>
    </w:p>
    <w:p w14:paraId="2F683D3C">
      <w:pPr>
        <w:widowControl/>
        <w:spacing w:before="156" w:beforeLines="50" w:after="156" w:afterLines="50" w:line="460" w:lineRule="exact"/>
        <w:ind w:firstLine="1000" w:firstLineChars="5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采购包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2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：</w:t>
      </w: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中标/成交供应商是否需要缴纳履约金：是</w:t>
      </w:r>
    </w:p>
    <w:p w14:paraId="6B0AB114">
      <w:pPr>
        <w:widowControl/>
        <w:spacing w:before="156" w:beforeLines="50" w:after="156" w:afterLines="50" w:line="460" w:lineRule="exact"/>
        <w:ind w:firstLine="2000" w:firstLineChars="10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履约保证金缴纳比例：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1</w:t>
      </w: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%</w:t>
      </w:r>
    </w:p>
    <w:p w14:paraId="1143B5E3">
      <w:pPr>
        <w:widowControl/>
        <w:spacing w:before="156" w:beforeLines="50" w:after="156" w:afterLines="50" w:line="460" w:lineRule="exact"/>
        <w:ind w:firstLine="2000" w:firstLineChars="10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缴纳方式：银行转账，支票/汇票/本票，保函/保险</w:t>
      </w:r>
    </w:p>
    <w:p w14:paraId="2B66D727">
      <w:pPr>
        <w:widowControl/>
        <w:spacing w:before="156" w:beforeLines="50" w:after="156" w:afterLines="50" w:line="460" w:lineRule="exact"/>
        <w:ind w:firstLine="2000" w:firstLineChars="1000"/>
        <w:jc w:val="left"/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缴纳说明：履约完成后15个工作日无息退还</w:t>
      </w:r>
      <w:r>
        <w:rPr>
          <w:rFonts w:hint="eastAsia" w:ascii="宋体" w:hAnsi="宋体" w:eastAsia="宋体" w:cs="Times New Roman"/>
          <w:kern w:val="0"/>
          <w:sz w:val="20"/>
          <w:szCs w:val="20"/>
          <w:lang w:eastAsia="zh-CN"/>
        </w:rPr>
        <w:t>。</w:t>
      </w:r>
    </w:p>
    <w:p w14:paraId="462D37A3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四、交货条件</w:t>
      </w:r>
    </w:p>
    <w:p w14:paraId="2C9A9AF7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（一）交货地点：</w:t>
      </w:r>
    </w:p>
    <w:p w14:paraId="1C6DC60E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采购包1：自合同签订之日起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130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日历日内完成项目（包含供货、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开发集成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、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测试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、验收并交付的所有日历天数）。</w:t>
      </w:r>
    </w:p>
    <w:p w14:paraId="42A6018E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采购包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2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：自合同签订之日起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130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日历日内完成项目（包含供货、安装集成、调试、验收并交付的所有日历天数）。</w:t>
      </w:r>
    </w:p>
    <w:p w14:paraId="3269CAEB">
      <w:pPr>
        <w:widowControl/>
        <w:numPr>
          <w:ilvl w:val="0"/>
          <w:numId w:val="0"/>
        </w:numPr>
        <w:spacing w:before="156" w:beforeLines="50" w:after="156" w:afterLines="50" w:line="460" w:lineRule="exact"/>
        <w:ind w:left="0" w:leftChars="0" w:firstLine="400" w:firstLineChars="200"/>
        <w:jc w:val="left"/>
        <w:rPr>
          <w:rFonts w:hint="eastAsia"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 w:bidi="ar-SA"/>
        </w:rPr>
        <w:t>（</w:t>
      </w:r>
      <w:r>
        <w:rPr>
          <w:rFonts w:hint="eastAsia" w:ascii="宋体" w:hAnsi="宋体" w:cs="Times New Roman"/>
          <w:kern w:val="0"/>
          <w:sz w:val="20"/>
          <w:szCs w:val="20"/>
          <w:lang w:val="en-US" w:eastAsia="zh-CN" w:bidi="ar-SA"/>
        </w:rPr>
        <w:t>二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 w:bidi="ar-SA"/>
        </w:rPr>
        <w:t>）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服务期限：</w:t>
      </w:r>
    </w:p>
    <w:p w14:paraId="64FB36E9">
      <w:pPr>
        <w:widowControl/>
        <w:numPr>
          <w:numId w:val="0"/>
        </w:numPr>
        <w:spacing w:before="156" w:beforeLines="50" w:after="156" w:afterLines="50" w:line="460" w:lineRule="exact"/>
        <w:ind w:leftChars="200"/>
        <w:jc w:val="left"/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采购包1：采购人指定地点</w:t>
      </w:r>
    </w:p>
    <w:p w14:paraId="09BD2298">
      <w:pPr>
        <w:widowControl/>
        <w:numPr>
          <w:numId w:val="0"/>
        </w:numPr>
        <w:spacing w:before="156" w:beforeLines="50" w:after="156" w:afterLines="50" w:line="460" w:lineRule="exact"/>
        <w:ind w:leftChars="200"/>
        <w:jc w:val="left"/>
        <w:rPr>
          <w:rFonts w:hint="eastAsia"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采购包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CN"/>
        </w:rPr>
        <w:t>2</w:t>
      </w:r>
      <w:r>
        <w:rPr>
          <w:rFonts w:hint="eastAsia" w:ascii="宋体" w:hAnsi="宋体" w:eastAsia="宋体" w:cs="Times New Roman"/>
          <w:kern w:val="0"/>
          <w:sz w:val="20"/>
          <w:szCs w:val="20"/>
          <w:lang w:val="en-US" w:eastAsia="zh-Hans"/>
        </w:rPr>
        <w:t>：采购人指定地点</w:t>
      </w:r>
    </w:p>
    <w:p w14:paraId="731D8C32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五、包装运输</w:t>
      </w:r>
    </w:p>
    <w:p w14:paraId="543DF018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（一）包装、运杂费：一次包死，已包含在合同总价内，包括从供应地点到指定地点所包含的运输费、保险费、搬运费、包装费等一切费用。</w:t>
      </w:r>
    </w:p>
    <w:p w14:paraId="65C47406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（二）运输方式：</w:t>
      </w:r>
      <w:r>
        <w:rPr>
          <w:rFonts w:hint="eastAsia" w:ascii="宋体" w:hAnsi="宋体" w:eastAsia="宋体" w:cs="Times New Roman"/>
          <w:kern w:val="0"/>
          <w:sz w:val="20"/>
          <w:szCs w:val="20"/>
          <w:u w:val="single"/>
        </w:rPr>
        <w:t xml:space="preserve">            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 xml:space="preserve"> 。 </w:t>
      </w:r>
    </w:p>
    <w:p w14:paraId="415DC2B7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（三）包装要求：符合《商品包装政府采购需求标准（试行）》、 《快递包装政府采购需求标准（试行）》的相关要求。</w:t>
      </w:r>
    </w:p>
    <w:p w14:paraId="795B8297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六、质量保证</w:t>
      </w:r>
    </w:p>
    <w:p w14:paraId="7B4034E9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（一）乙方提供给甲方的服务和（或）货物必须是设计科学、技术成熟、工艺优良，是用优质材料制造的、先进的、原厂生产的未曾使用过的、全新的合格产品。</w:t>
      </w:r>
    </w:p>
    <w:p w14:paraId="33DAE7D2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（二）设计技术专利、外形专利、应用软件专利等均应符合我国有关法律及行业标准，凡因以上问题与第三方发生的任何纠纷均与甲方无关。</w:t>
      </w:r>
    </w:p>
    <w:p w14:paraId="056F7484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（三）安全可靠。在正常使用下不应对操作者造成任何人身伤害，如因产品质量或标示不明确而对操作者造成损失的，甲方将保留依法索赔的权利。</w:t>
      </w:r>
    </w:p>
    <w:p w14:paraId="38833303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（四）有强制性安全标准的产品，乙方应提供该产品的制造许可证证明。</w:t>
      </w:r>
    </w:p>
    <w:p w14:paraId="5BF28405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（五）属于国家计量检测强检的产品，供货时提供本省法定计量检测机构出具的检测证书。</w:t>
      </w:r>
    </w:p>
    <w:p w14:paraId="09E441A5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（六）产品性能必须与其标示的技术指标项符合，甲方有权依据技术指标对该产品进行技术验收，其主要的技术参数达不到标准时，甲方有权无条件退货或依据有关法律索赔。</w:t>
      </w:r>
    </w:p>
    <w:p w14:paraId="61E9F9E8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七、技术规格及标准。（详见附件2）</w:t>
      </w:r>
    </w:p>
    <w:p w14:paraId="7B673E7F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八、配置清单。（详见附件3）</w:t>
      </w:r>
    </w:p>
    <w:p w14:paraId="5AF1D4E9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九、技术服务</w:t>
      </w:r>
    </w:p>
    <w:p w14:paraId="256CF2FF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（一）技术资料：</w:t>
      </w:r>
    </w:p>
    <w:p w14:paraId="7865143D">
      <w:pPr>
        <w:widowControl/>
        <w:spacing w:before="156" w:beforeLines="50" w:after="156" w:afterLines="50" w:line="460" w:lineRule="exact"/>
        <w:ind w:firstLine="500" w:firstLineChars="25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1、合格证。</w:t>
      </w:r>
    </w:p>
    <w:p w14:paraId="6091BE23">
      <w:pPr>
        <w:widowControl/>
        <w:spacing w:before="156" w:beforeLines="50" w:after="156" w:afterLines="50" w:line="460" w:lineRule="exact"/>
        <w:ind w:firstLine="500" w:firstLineChars="25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2、使用说明书。</w:t>
      </w:r>
    </w:p>
    <w:p w14:paraId="701B9928">
      <w:pPr>
        <w:widowControl/>
        <w:spacing w:before="156" w:beforeLines="50" w:after="156" w:afterLines="50" w:line="460" w:lineRule="exact"/>
        <w:ind w:firstLine="500" w:firstLineChars="25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3、其他技术资料</w:t>
      </w:r>
    </w:p>
    <w:p w14:paraId="4D2D7BF2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（二）服务承诺：</w:t>
      </w:r>
      <w:bookmarkStart w:id="4" w:name="_GoBack"/>
      <w:bookmarkEnd w:id="4"/>
    </w:p>
    <w:p w14:paraId="2A474E70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十、违约责任</w:t>
      </w:r>
    </w:p>
    <w:p w14:paraId="6B23C2E5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（一）按《民法典》中的相关条款执行。</w:t>
      </w:r>
    </w:p>
    <w:p w14:paraId="6DCF43A9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（二）未按合同要求提供产品或设备质量不能满足技术要求，</w:t>
      </w:r>
      <w:r>
        <w:rPr>
          <w:rFonts w:hint="eastAsia" w:ascii="宋体" w:hAnsi="宋体" w:eastAsia="宋体" w:cs="Arial"/>
          <w:kern w:val="0"/>
          <w:sz w:val="20"/>
          <w:szCs w:val="20"/>
        </w:rPr>
        <w:t>甲方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有权终止合同，甚至对乙方违约行为进行追究。</w:t>
      </w:r>
    </w:p>
    <w:p w14:paraId="02D18271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（三）如有纠纷，双方友好协商解决，协商不成时可诉讼到甲方所在地人民法院解决。</w:t>
      </w:r>
    </w:p>
    <w:p w14:paraId="0ACDEF1C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十一、验收</w:t>
      </w:r>
    </w:p>
    <w:p w14:paraId="55F4B70F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通过检验的服务和（或）货物、达到使用条件时由采购人负责组织验收或者邀请有关专家、进行验收,验收费用由中标人支付；验收合格须交接项目实施的全部资料，并填写政府采购项目验收报告单。验收须以合同、招投标文件、澄清、及国家相应的标准、规范等为依据。</w:t>
      </w:r>
    </w:p>
    <w:p w14:paraId="269BDB5B">
      <w:pPr>
        <w:widowControl/>
        <w:spacing w:before="156" w:beforeLines="50" w:after="156" w:afterLines="50" w:line="460" w:lineRule="exact"/>
        <w:ind w:firstLine="402" w:firstLineChars="200"/>
        <w:jc w:val="left"/>
        <w:rPr>
          <w:rFonts w:ascii="宋体" w:hAnsi="宋体" w:eastAsia="宋体" w:cs="Times New Roman"/>
          <w:b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十二、其他事项</w:t>
      </w:r>
    </w:p>
    <w:p w14:paraId="14F6B524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653A231A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（二）本</w:t>
      </w:r>
      <w:r>
        <w:rPr>
          <w:rFonts w:ascii="宋体" w:hAnsi="宋体" w:eastAsia="宋体" w:cs="Times New Roman"/>
          <w:kern w:val="0"/>
          <w:sz w:val="20"/>
          <w:szCs w:val="20"/>
        </w:rPr>
        <w:t>合同一式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柒</w:t>
      </w:r>
      <w:r>
        <w:rPr>
          <w:rFonts w:ascii="宋体" w:hAnsi="宋体" w:eastAsia="宋体" w:cs="Times New Roman"/>
          <w:kern w:val="0"/>
          <w:sz w:val="20"/>
          <w:szCs w:val="20"/>
        </w:rPr>
        <w:t>份，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经</w:t>
      </w:r>
      <w:r>
        <w:rPr>
          <w:rFonts w:ascii="宋体" w:hAnsi="宋体" w:eastAsia="宋体" w:cs="Times New Roman"/>
          <w:kern w:val="0"/>
          <w:sz w:val="20"/>
          <w:szCs w:val="20"/>
        </w:rPr>
        <w:t>双方签字盖章后生效，合同执行完毕自动失效。甲方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执</w:t>
      </w:r>
      <w:r>
        <w:rPr>
          <w:rFonts w:ascii="宋体" w:hAnsi="宋体" w:eastAsia="宋体" w:cs="Times New Roman"/>
          <w:kern w:val="0"/>
          <w:sz w:val="20"/>
          <w:szCs w:val="20"/>
        </w:rPr>
        <w:t>肆份、乙方执贰份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、代理公司壹份</w:t>
      </w:r>
      <w:r>
        <w:rPr>
          <w:rFonts w:ascii="宋体" w:hAnsi="宋体" w:eastAsia="宋体" w:cs="Times New Roman"/>
          <w:kern w:val="0"/>
          <w:sz w:val="20"/>
          <w:szCs w:val="20"/>
        </w:rPr>
        <w:t>，</w:t>
      </w:r>
      <w:r>
        <w:rPr>
          <w:rFonts w:hint="eastAsia" w:ascii="宋体" w:hAnsi="宋体" w:eastAsia="宋体" w:cs="Times New Roman"/>
          <w:kern w:val="0"/>
          <w:sz w:val="20"/>
          <w:szCs w:val="20"/>
        </w:rPr>
        <w:t>具有同等法律效力。</w:t>
      </w:r>
    </w:p>
    <w:p w14:paraId="1EAF2B8E">
      <w:pPr>
        <w:widowControl/>
        <w:tabs>
          <w:tab w:val="left" w:pos="480"/>
        </w:tabs>
        <w:spacing w:before="156" w:beforeLines="50" w:after="156" w:afterLines="50" w:line="54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宋体"/>
          <w:bCs/>
          <w:kern w:val="0"/>
          <w:sz w:val="20"/>
          <w:szCs w:val="20"/>
        </w:rPr>
        <w:t>（三）招标文件、投标文件、澄清表（函）、中标通知书、合同附件均成为合同不可分割的部分。</w:t>
      </w:r>
    </w:p>
    <w:p w14:paraId="6BFD0E0C">
      <w:pPr>
        <w:widowControl/>
        <w:spacing w:before="156" w:beforeLines="50" w:after="156" w:afterLines="50" w:line="460" w:lineRule="exact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（四）</w:t>
      </w:r>
      <w:r>
        <w:rPr>
          <w:rFonts w:hint="eastAsia" w:ascii="宋体" w:hAnsi="宋体" w:eastAsia="宋体" w:cs="宋体"/>
          <w:bCs/>
          <w:kern w:val="0"/>
          <w:sz w:val="20"/>
          <w:szCs w:val="20"/>
        </w:rPr>
        <w:t>合同未尽事宜，由甲、乙双方协商并确认后，作为合同补充，与原合同具有同等法律效力。</w:t>
      </w:r>
    </w:p>
    <w:p w14:paraId="6BE8417D">
      <w:pPr>
        <w:widowControl/>
        <w:spacing w:before="156" w:beforeLines="50" w:after="156" w:afterLines="50" w:line="460" w:lineRule="exact"/>
        <w:ind w:firstLine="500" w:firstLineChars="25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 xml:space="preserve">合同签订地点：   </w:t>
      </w:r>
    </w:p>
    <w:p w14:paraId="041F5A73">
      <w:pPr>
        <w:widowControl/>
        <w:spacing w:before="156" w:beforeLines="50" w:after="156" w:afterLines="50"/>
        <w:ind w:firstLine="500" w:firstLineChars="25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合同签订时间：    年   月    日</w:t>
      </w:r>
    </w:p>
    <w:p w14:paraId="08819314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</w:p>
    <w:p w14:paraId="1C9ABCF6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kern w:val="0"/>
          <w:sz w:val="20"/>
          <w:szCs w:val="20"/>
        </w:rPr>
        <w:t>以下内容无正文。</w:t>
      </w:r>
    </w:p>
    <w:p w14:paraId="7F78D1D1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</w:p>
    <w:p w14:paraId="167B429F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甲方（盖章）：</w:t>
      </w:r>
      <w:r>
        <w:rPr>
          <w:rFonts w:ascii="宋体" w:hAnsi="宋体" w:eastAsia="宋体" w:cs="宋体"/>
          <w:kern w:val="0"/>
          <w:sz w:val="20"/>
          <w:szCs w:val="20"/>
        </w:rPr>
        <w:t xml:space="preserve">                    乙方（盖章）：</w:t>
      </w:r>
    </w:p>
    <w:p w14:paraId="259195F2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</w:p>
    <w:p w14:paraId="7E8F188D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法定代表人或委托代理人：</w:t>
      </w:r>
      <w:r>
        <w:rPr>
          <w:rFonts w:ascii="宋体" w:hAnsi="宋体" w:eastAsia="宋体" w:cs="宋体"/>
          <w:kern w:val="0"/>
          <w:sz w:val="20"/>
          <w:szCs w:val="20"/>
        </w:rPr>
        <w:t xml:space="preserve">         法定代表人</w:t>
      </w:r>
      <w:r>
        <w:rPr>
          <w:rFonts w:hint="eastAsia" w:ascii="宋体" w:hAnsi="宋体" w:eastAsia="宋体" w:cs="宋体"/>
          <w:kern w:val="0"/>
          <w:sz w:val="20"/>
          <w:szCs w:val="20"/>
        </w:rPr>
        <w:t>或</w:t>
      </w:r>
      <w:r>
        <w:rPr>
          <w:rFonts w:ascii="宋体" w:hAnsi="宋体" w:eastAsia="宋体" w:cs="宋体"/>
          <w:kern w:val="0"/>
          <w:sz w:val="20"/>
          <w:szCs w:val="20"/>
        </w:rPr>
        <w:t>委托代理人：</w:t>
      </w:r>
    </w:p>
    <w:p w14:paraId="4B2E91CB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</w:p>
    <w:p w14:paraId="2EE1BCDC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联系人：</w:t>
      </w:r>
      <w:r>
        <w:rPr>
          <w:rFonts w:ascii="宋体" w:hAnsi="宋体" w:eastAsia="宋体" w:cs="宋体"/>
          <w:kern w:val="0"/>
          <w:sz w:val="20"/>
          <w:szCs w:val="20"/>
        </w:rPr>
        <w:t xml:space="preserve">                         联系人：</w:t>
      </w:r>
    </w:p>
    <w:p w14:paraId="28159046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宋体"/>
          <w:kern w:val="0"/>
          <w:sz w:val="20"/>
          <w:szCs w:val="20"/>
        </w:rPr>
      </w:pPr>
    </w:p>
    <w:p w14:paraId="749AF88F">
      <w:pPr>
        <w:widowControl/>
        <w:spacing w:before="156" w:beforeLines="50" w:after="156" w:afterLines="50"/>
        <w:ind w:firstLine="400" w:firstLineChars="200"/>
        <w:jc w:val="left"/>
        <w:rPr>
          <w:rFonts w:ascii="宋体" w:hAnsi="宋体" w:eastAsia="宋体" w:cs="Times New Roman"/>
          <w:kern w:val="0"/>
          <w:sz w:val="20"/>
          <w:szCs w:val="20"/>
        </w:rPr>
      </w:pPr>
      <w:r>
        <w:rPr>
          <w:rFonts w:hint="eastAsia" w:ascii="宋体" w:hAnsi="宋体" w:eastAsia="宋体" w:cs="宋体"/>
          <w:kern w:val="0"/>
          <w:sz w:val="20"/>
          <w:szCs w:val="20"/>
        </w:rPr>
        <w:t>联系电话：</w:t>
      </w:r>
      <w:r>
        <w:rPr>
          <w:rFonts w:ascii="宋体" w:hAnsi="宋体" w:eastAsia="宋体" w:cs="宋体"/>
          <w:kern w:val="0"/>
          <w:sz w:val="20"/>
          <w:szCs w:val="20"/>
        </w:rPr>
        <w:t xml:space="preserve">                       联系电话：</w:t>
      </w:r>
    </w:p>
    <w:p w14:paraId="5475715E">
      <w:pPr>
        <w:widowControl/>
        <w:spacing w:before="156" w:beforeLines="50" w:after="156" w:afterLines="50"/>
        <w:ind w:firstLine="402" w:firstLineChars="200"/>
        <w:jc w:val="left"/>
        <w:rPr>
          <w:rFonts w:hint="eastAsia" w:ascii="宋体" w:hAnsi="宋体" w:eastAsia="宋体" w:cs="Times New Roman"/>
          <w:b/>
          <w:bCs/>
          <w:kern w:val="0"/>
          <w:sz w:val="20"/>
          <w:szCs w:val="20"/>
        </w:rPr>
      </w:pPr>
    </w:p>
    <w:p w14:paraId="6F466655">
      <w:pPr>
        <w:widowControl/>
        <w:spacing w:before="156" w:beforeLines="50" w:after="156" w:afterLines="50"/>
        <w:ind w:firstLine="402" w:firstLineChars="200"/>
        <w:jc w:val="left"/>
        <w:rPr>
          <w:rFonts w:ascii="宋体" w:hAnsi="宋体" w:eastAsia="宋体" w:cs="Times New Roman"/>
          <w:b/>
          <w:bCs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bCs/>
          <w:kern w:val="0"/>
          <w:sz w:val="20"/>
          <w:szCs w:val="20"/>
        </w:rPr>
        <w:t>附件1 采购内容</w:t>
      </w:r>
    </w:p>
    <w:p w14:paraId="05353B29">
      <w:pPr>
        <w:widowControl/>
        <w:spacing w:before="156" w:beforeLines="50" w:after="156" w:afterLines="50"/>
        <w:ind w:firstLine="402" w:firstLineChars="200"/>
        <w:jc w:val="left"/>
        <w:rPr>
          <w:rFonts w:ascii="宋体" w:hAnsi="宋体" w:eastAsia="宋体" w:cs="Times New Roman"/>
          <w:b/>
          <w:bCs/>
          <w:kern w:val="0"/>
          <w:sz w:val="20"/>
          <w:szCs w:val="20"/>
        </w:rPr>
      </w:pPr>
      <w:r>
        <w:rPr>
          <w:rFonts w:hint="eastAsia" w:ascii="宋体" w:hAnsi="宋体" w:eastAsia="宋体" w:cs="Times New Roman"/>
          <w:b/>
          <w:bCs/>
          <w:kern w:val="0"/>
          <w:sz w:val="20"/>
          <w:szCs w:val="20"/>
        </w:rPr>
        <w:t xml:space="preserve">附件2 </w:t>
      </w:r>
      <w:r>
        <w:rPr>
          <w:rFonts w:hint="eastAsia" w:ascii="宋体" w:hAnsi="宋体" w:eastAsia="宋体" w:cs="Times New Roman"/>
          <w:b/>
          <w:kern w:val="0"/>
          <w:sz w:val="20"/>
          <w:szCs w:val="20"/>
        </w:rPr>
        <w:t>技术规格及标准</w:t>
      </w:r>
    </w:p>
    <w:p w14:paraId="0E7A9555">
      <w:pPr>
        <w:widowControl/>
        <w:spacing w:before="156" w:beforeLines="50" w:after="156" w:afterLines="50"/>
        <w:ind w:firstLine="402" w:firstLineChars="200"/>
        <w:jc w:val="left"/>
        <w:rPr>
          <w:rFonts w:ascii="Calibri" w:hAnsi="Calibri" w:eastAsia="宋体" w:cs="Times New Roman"/>
          <w:kern w:val="0"/>
          <w:sz w:val="20"/>
          <w:szCs w:val="20"/>
          <w:lang w:eastAsia="zh-Hans"/>
        </w:rPr>
      </w:pPr>
      <w:r>
        <w:rPr>
          <w:rFonts w:hint="eastAsia" w:ascii="宋体" w:hAnsi="宋体" w:eastAsia="宋体" w:cs="Times New Roman"/>
          <w:b/>
          <w:bCs/>
          <w:kern w:val="0"/>
          <w:sz w:val="20"/>
          <w:szCs w:val="20"/>
        </w:rPr>
        <w:t>附件3 配置清单</w:t>
      </w:r>
    </w:p>
    <w:p w14:paraId="1BB02B3B">
      <w:pPr>
        <w:widowControl/>
        <w:spacing w:before="50" w:beforeLines="50" w:after="50" w:afterLines="50"/>
        <w:ind w:firstLine="440" w:firstLineChars="200"/>
        <w:jc w:val="left"/>
        <w:rPr>
          <w:rFonts w:ascii="Calibri" w:hAnsi="Calibri" w:eastAsia="宋体" w:cs="Times New Roman"/>
          <w:kern w:val="0"/>
          <w:sz w:val="22"/>
          <w:szCs w:val="22"/>
        </w:rPr>
      </w:pPr>
    </w:p>
    <w:p w14:paraId="193CE616">
      <w:pPr>
        <w:adjustRightInd w:val="0"/>
        <w:snapToGrid w:val="0"/>
        <w:spacing w:before="326" w:beforeLines="100"/>
        <w:jc w:val="center"/>
        <w:rPr>
          <w:rFonts w:hAnsi="宋体" w:cs="宋体" w:eastAsiaTheme="minorEastAsia"/>
          <w:b/>
          <w:bCs/>
          <w:color w:val="000000" w:themeColor="text1"/>
          <w:sz w:val="48"/>
          <w:szCs w:val="48"/>
        </w:rPr>
      </w:pPr>
    </w:p>
    <w:sectPr>
      <w:pgSz w:w="11906" w:h="16838"/>
      <w:pgMar w:top="1134" w:right="1134" w:bottom="1134" w:left="1701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304F"/>
    <w:rsid w:val="000008AB"/>
    <w:rsid w:val="00083BD6"/>
    <w:rsid w:val="000B1066"/>
    <w:rsid w:val="000D02A4"/>
    <w:rsid w:val="00113516"/>
    <w:rsid w:val="00177911"/>
    <w:rsid w:val="00190D4E"/>
    <w:rsid w:val="001975C2"/>
    <w:rsid w:val="001C2E1C"/>
    <w:rsid w:val="00201539"/>
    <w:rsid w:val="002100B2"/>
    <w:rsid w:val="00222AC8"/>
    <w:rsid w:val="00274436"/>
    <w:rsid w:val="00291F04"/>
    <w:rsid w:val="002D0D94"/>
    <w:rsid w:val="00301739"/>
    <w:rsid w:val="003420F1"/>
    <w:rsid w:val="00346AAC"/>
    <w:rsid w:val="00366F9D"/>
    <w:rsid w:val="003D4F88"/>
    <w:rsid w:val="004C154C"/>
    <w:rsid w:val="004F304F"/>
    <w:rsid w:val="0055419F"/>
    <w:rsid w:val="005A43F7"/>
    <w:rsid w:val="005A611A"/>
    <w:rsid w:val="005C3457"/>
    <w:rsid w:val="005E12E5"/>
    <w:rsid w:val="00633E81"/>
    <w:rsid w:val="00661C18"/>
    <w:rsid w:val="00682E67"/>
    <w:rsid w:val="00720785"/>
    <w:rsid w:val="007676C6"/>
    <w:rsid w:val="0085767F"/>
    <w:rsid w:val="00886211"/>
    <w:rsid w:val="00902A97"/>
    <w:rsid w:val="00903067"/>
    <w:rsid w:val="00907A6F"/>
    <w:rsid w:val="00940424"/>
    <w:rsid w:val="009B56E6"/>
    <w:rsid w:val="009C0295"/>
    <w:rsid w:val="009E6559"/>
    <w:rsid w:val="00A606A3"/>
    <w:rsid w:val="00A90D88"/>
    <w:rsid w:val="00AA08A6"/>
    <w:rsid w:val="00AA0BDA"/>
    <w:rsid w:val="00AA1629"/>
    <w:rsid w:val="00AA461A"/>
    <w:rsid w:val="00B87159"/>
    <w:rsid w:val="00C0240D"/>
    <w:rsid w:val="00C35C96"/>
    <w:rsid w:val="00CE0A1F"/>
    <w:rsid w:val="00CF1239"/>
    <w:rsid w:val="00D26D91"/>
    <w:rsid w:val="00D421EC"/>
    <w:rsid w:val="00DB6FAA"/>
    <w:rsid w:val="00DC659B"/>
    <w:rsid w:val="00DE397A"/>
    <w:rsid w:val="00E4110D"/>
    <w:rsid w:val="00E812FC"/>
    <w:rsid w:val="00E85542"/>
    <w:rsid w:val="00E869B9"/>
    <w:rsid w:val="00EA43E5"/>
    <w:rsid w:val="00ED4D20"/>
    <w:rsid w:val="00F457DB"/>
    <w:rsid w:val="00F66F2B"/>
    <w:rsid w:val="00F7580B"/>
    <w:rsid w:val="00F75BFC"/>
    <w:rsid w:val="00F850BD"/>
    <w:rsid w:val="00FC18BC"/>
    <w:rsid w:val="00FC75AE"/>
    <w:rsid w:val="37464ACC"/>
    <w:rsid w:val="3AC25636"/>
    <w:rsid w:val="4F7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autoSpaceDE w:val="0"/>
      <w:autoSpaceDN w:val="0"/>
      <w:adjustRightInd w:val="0"/>
      <w:spacing w:before="240" w:after="120"/>
      <w:ind w:left="425" w:hanging="425"/>
      <w:jc w:val="center"/>
      <w:outlineLvl w:val="0"/>
    </w:pPr>
    <w:rPr>
      <w:rFonts w:ascii="宋体" w:hAnsi="宋体"/>
      <w:b/>
      <w:bCs/>
      <w:kern w:val="44"/>
      <w:sz w:val="32"/>
      <w:szCs w:val="20"/>
    </w:rPr>
  </w:style>
  <w:style w:type="paragraph" w:styleId="3">
    <w:name w:val="heading 4"/>
    <w:basedOn w:val="1"/>
    <w:next w:val="1"/>
    <w:link w:val="1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5"/>
    <w:semiHidden/>
    <w:unhideWhenUsed/>
    <w:qFormat/>
    <w:uiPriority w:val="99"/>
    <w:rPr>
      <w:rFonts w:ascii="微软雅黑" w:eastAsia="微软雅黑"/>
      <w:sz w:val="18"/>
      <w:szCs w:val="18"/>
    </w:rPr>
  </w:style>
  <w:style w:type="paragraph" w:styleId="5">
    <w:name w:val="Body Text"/>
    <w:basedOn w:val="1"/>
    <w:link w:val="22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Body Text First Indent"/>
    <w:basedOn w:val="5"/>
    <w:link w:val="23"/>
    <w:unhideWhenUsed/>
    <w:qFormat/>
    <w:uiPriority w:val="99"/>
    <w:pPr>
      <w:tabs>
        <w:tab w:val="clear" w:pos="567"/>
      </w:tabs>
      <w:spacing w:before="0" w:after="120" w:line="240" w:lineRule="auto"/>
      <w:ind w:firstLine="420" w:firstLineChars="100"/>
    </w:pPr>
    <w:rPr>
      <w:rFonts w:ascii="Calibri" w:hAnsi="Calibri"/>
      <w:sz w:val="21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3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4">
    <w:name w:val="标题 4 字符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5">
    <w:name w:val="文档结构图 字符"/>
    <w:basedOn w:val="11"/>
    <w:link w:val="4"/>
    <w:semiHidden/>
    <w:qFormat/>
    <w:uiPriority w:val="99"/>
    <w:rPr>
      <w:rFonts w:ascii="微软雅黑" w:hAnsi="Times New Roman" w:eastAsia="微软雅黑" w:cs="Times New Roman"/>
      <w:sz w:val="18"/>
      <w:szCs w:val="18"/>
    </w:rPr>
  </w:style>
  <w:style w:type="character" w:customStyle="1" w:styleId="16">
    <w:name w:val="UH正文 Char"/>
    <w:link w:val="17"/>
    <w:qFormat/>
    <w:locked/>
    <w:uiPriority w:val="0"/>
    <w:rPr>
      <w:rFonts w:ascii="Arial" w:hAnsi="Arial" w:eastAsia="Times New Roman"/>
      <w:sz w:val="24"/>
    </w:rPr>
  </w:style>
  <w:style w:type="paragraph" w:customStyle="1" w:styleId="17">
    <w:name w:val="UH正文"/>
    <w:link w:val="16"/>
    <w:qFormat/>
    <w:uiPriority w:val="0"/>
    <w:pPr>
      <w:spacing w:line="360" w:lineRule="auto"/>
      <w:ind w:firstLine="200" w:firstLineChars="200"/>
    </w:pPr>
    <w:rPr>
      <w:rFonts w:ascii="Arial" w:hAnsi="Arial" w:eastAsia="Times New Roman" w:cstheme="minorBidi"/>
      <w:kern w:val="2"/>
      <w:sz w:val="24"/>
      <w:szCs w:val="22"/>
      <w:lang w:val="en-US" w:eastAsia="zh-CN" w:bidi="ar-SA"/>
    </w:rPr>
  </w:style>
  <w:style w:type="character" w:customStyle="1" w:styleId="18">
    <w:name w:val="NormalCharacter"/>
    <w:semiHidden/>
    <w:qFormat/>
    <w:uiPriority w:val="0"/>
  </w:style>
  <w:style w:type="character" w:customStyle="1" w:styleId="19">
    <w:name w:val="标题 1 Char"/>
    <w:basedOn w:val="11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1 字符"/>
    <w:link w:val="2"/>
    <w:qFormat/>
    <w:uiPriority w:val="0"/>
    <w:rPr>
      <w:rFonts w:ascii="宋体" w:hAnsi="宋体" w:eastAsia="宋体" w:cs="Times New Roman"/>
      <w:b/>
      <w:bCs/>
      <w:kern w:val="44"/>
      <w:sz w:val="32"/>
      <w:szCs w:val="20"/>
    </w:rPr>
  </w:style>
  <w:style w:type="character" w:customStyle="1" w:styleId="21">
    <w:name w:val="正文文本 Char"/>
    <w:basedOn w:val="11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2">
    <w:name w:val="正文文本 字符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23">
    <w:name w:val="正文首行缩进 字符"/>
    <w:basedOn w:val="21"/>
    <w:link w:val="8"/>
    <w:qFormat/>
    <w:uiPriority w:val="99"/>
    <w:rPr>
      <w:rFonts w:ascii="Calibri" w:hAnsi="Calibri" w:eastAsia="宋体" w:cs="Times New Roman"/>
      <w:sz w:val="24"/>
      <w:szCs w:val="24"/>
    </w:rPr>
  </w:style>
  <w:style w:type="paragraph" w:styleId="24">
    <w:name w:val="List Paragraph"/>
    <w:basedOn w:val="1"/>
    <w:qFormat/>
    <w:uiPriority w:val="99"/>
    <w:pPr>
      <w:spacing w:line="240" w:lineRule="auto"/>
      <w:ind w:firstLine="420" w:firstLineChars="200"/>
    </w:pPr>
    <w:rPr>
      <w:sz w:val="21"/>
    </w:rPr>
  </w:style>
  <w:style w:type="paragraph" w:customStyle="1" w:styleId="25">
    <w:name w:val="Fließtext"/>
    <w:qFormat/>
    <w:uiPriority w:val="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Calibri" w:hAnsi="Calibri" w:eastAsia="宋体" w:cs="Times New Roman"/>
      <w:kern w:val="28"/>
      <w:sz w:val="21"/>
      <w:szCs w:val="20"/>
      <w:lang w:val="en-US" w:eastAsia="zh-CN" w:bidi="ar-SA"/>
    </w:rPr>
  </w:style>
  <w:style w:type="paragraph" w:customStyle="1" w:styleId="26">
    <w:name w:val="null3"/>
    <w:qFormat/>
    <w:uiPriority w:val="0"/>
    <w:rPr>
      <w:rFonts w:asciiTheme="minorHAnsi" w:hAnsiTheme="minorHAnsi" w:eastAsiaTheme="minorEastAsia" w:cstheme="minorBidi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1938</Words>
  <Characters>1948</Characters>
  <Lines>15</Lines>
  <Paragraphs>4</Paragraphs>
  <TotalTime>2</TotalTime>
  <ScaleCrop>false</ScaleCrop>
  <LinksUpToDate>false</LinksUpToDate>
  <CharactersWithSpaces>2136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2023-07-12T07:27:00Z</dcterms:created>
  <dc:creator>Administrator</dc:creator>
  <cp:lastModifiedBy>婷^ _ ^</cp:lastModifiedBy>
  <dcterms:modified xsi:type="dcterms:W3CDTF">2026-06-04T11:10:46Z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745F371E97D744109C539CDC9B59114E_12</vt:lpwstr>
  </property>
</Properties>
</file>