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4CAD6B1">
      <w:pPr>
        <w:jc w:val="center"/>
        <w:rPr>
          <w:rFonts w:hint="default" w:ascii="Calibri" w:hAnsi="Calibri" w:eastAsia="仿宋_GB2312" w:cs="Times New Roman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采购需求</w:t>
      </w:r>
      <w:bookmarkStart w:id="0" w:name="_GoBack"/>
      <w:bookmarkEnd w:id="0"/>
    </w:p>
    <w:tbl>
      <w:tblPr>
        <w:tblStyle w:val="2"/>
        <w:tblW w:w="4998" w:type="pct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64"/>
        <w:gridCol w:w="1177"/>
        <w:gridCol w:w="5872"/>
      </w:tblGrid>
      <w:tr w14:paraId="5C1EDD76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3022234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0"/>
                <w:lang w:val="en-US" w:eastAsia="zh-Hans"/>
              </w:rPr>
              <w:t>序号</w:t>
            </w:r>
          </w:p>
        </w:tc>
        <w:tc>
          <w:tcPr>
            <w:tcW w:w="691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2DABF34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0"/>
                <w:lang w:val="en-US" w:eastAsia="zh-Hans"/>
              </w:rPr>
              <w:t>服务名称</w:t>
            </w:r>
          </w:p>
        </w:tc>
        <w:tc>
          <w:tcPr>
            <w:tcW w:w="34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DD05EAE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0"/>
                <w:lang w:val="en-US" w:eastAsia="zh-Hans"/>
              </w:rPr>
              <w:t>服务内容</w:t>
            </w:r>
          </w:p>
        </w:tc>
      </w:tr>
      <w:tr w14:paraId="598BA582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0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6AEE319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0"/>
                <w:lang w:val="en-US" w:eastAsia="zh-Hans"/>
              </w:rPr>
              <w:t>1</w:t>
            </w:r>
          </w:p>
        </w:tc>
        <w:tc>
          <w:tcPr>
            <w:tcW w:w="691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4F5D1C3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0"/>
                <w:lang w:val="en-US" w:eastAsia="zh-Hans"/>
              </w:rPr>
              <w:t>基础情况</w:t>
            </w:r>
          </w:p>
        </w:tc>
        <w:tc>
          <w:tcPr>
            <w:tcW w:w="3448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EA922E1">
            <w:pPr>
              <w:jc w:val="both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0"/>
                <w:lang w:val="en-US" w:eastAsia="zh-Hans"/>
              </w:rPr>
              <w:t>1.体检对象：学校正式教职工（含离退休人员、人事代理人员及安保、公寓管理等合同制管理人员），共计909人。</w:t>
            </w:r>
          </w:p>
          <w:p w14:paraId="074FA19D">
            <w:pPr>
              <w:jc w:val="both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0"/>
                <w:lang w:val="en-US" w:eastAsia="zh-Hans"/>
              </w:rPr>
              <w:t>2.人员分类：</w:t>
            </w:r>
          </w:p>
          <w:p w14:paraId="03F952A6">
            <w:pPr>
              <w:jc w:val="both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0"/>
                <w:lang w:val="en-US" w:eastAsia="zh-Hans"/>
              </w:rPr>
              <w:t>第一类（高层次引进人才、三级教授、省级教学名师、正高职称等）：共49人，男14人，女35人；</w:t>
            </w:r>
            <w:r>
              <w:rPr>
                <w:rFonts w:hint="eastAsia" w:ascii="Calibri" w:hAnsi="Calibri" w:eastAsia="宋体" w:cs="Times New Roman"/>
                <w:lang w:val="en-US" w:eastAsia="zh-Hans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sz w:val="20"/>
                <w:lang w:val="en-US" w:eastAsia="zh-Hans"/>
              </w:rPr>
              <w:t>第二类（离退休人员）：共172人，男107人，女65人；</w:t>
            </w:r>
          </w:p>
          <w:p w14:paraId="6812528A">
            <w:pPr>
              <w:jc w:val="both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0"/>
                <w:lang w:val="en-US" w:eastAsia="zh-Hans"/>
              </w:rPr>
              <w:t>第三类（其他在职人员)：共688人，40岁及以上男145人、女238人，40岁以下男66人、女239人。</w:t>
            </w:r>
          </w:p>
        </w:tc>
      </w:tr>
      <w:tr w14:paraId="05B55F34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0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D77D3FF">
            <w:pPr>
              <w:ind w:firstLine="200"/>
              <w:jc w:val="left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0"/>
                <w:lang w:val="en-US" w:eastAsia="zh-Hans"/>
              </w:rPr>
              <w:t>2</w:t>
            </w:r>
          </w:p>
        </w:tc>
        <w:tc>
          <w:tcPr>
            <w:tcW w:w="691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EEDC180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0"/>
                <w:lang w:val="en-US" w:eastAsia="zh-Hans"/>
              </w:rPr>
              <w:t>结算标准</w:t>
            </w:r>
          </w:p>
        </w:tc>
        <w:tc>
          <w:tcPr>
            <w:tcW w:w="3448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F4BE881">
            <w:pPr>
              <w:jc w:val="both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0"/>
                <w:lang w:val="en-US" w:eastAsia="zh-Hans"/>
              </w:rPr>
              <w:t>体检费用按人群、性别、年龄实行差异化固定单价，以实际到检人数据实结算。</w:t>
            </w:r>
          </w:p>
          <w:p w14:paraId="4172C1D8">
            <w:pPr>
              <w:jc w:val="both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0"/>
                <w:lang w:val="en-US" w:eastAsia="zh-Hans"/>
              </w:rPr>
              <w:t>第一类（高层次引进人才、三级教授、省级教学名师、正高职称等）：男900元/人，女950元/人；</w:t>
            </w:r>
            <w:r>
              <w:rPr>
                <w:rFonts w:hint="eastAsia" w:ascii="Calibri" w:hAnsi="Calibri" w:eastAsia="宋体" w:cs="Times New Roman"/>
                <w:lang w:val="en-US" w:eastAsia="zh-Hans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sz w:val="20"/>
                <w:lang w:val="en-US" w:eastAsia="zh-Hans"/>
              </w:rPr>
              <w:t>第二类（离退休人员）：男800元/人，女850元/人；</w:t>
            </w:r>
          </w:p>
          <w:p w14:paraId="2486E0F8">
            <w:pPr>
              <w:jc w:val="both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0"/>
                <w:lang w:val="en-US" w:eastAsia="zh-Hans"/>
              </w:rPr>
              <w:t>第三类（其他在职人员)：40岁及以上男750元/人，女830元/人，40岁以下男600元/人，女700元/人；</w:t>
            </w:r>
          </w:p>
        </w:tc>
      </w:tr>
      <w:tr w14:paraId="01ABD335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0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C604F23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0"/>
                <w:lang w:val="en-US" w:eastAsia="zh-Hans"/>
              </w:rPr>
              <w:t>3</w:t>
            </w:r>
          </w:p>
        </w:tc>
        <w:tc>
          <w:tcPr>
            <w:tcW w:w="691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A235DE4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0"/>
                <w:lang w:val="en-US" w:eastAsia="zh-Hans"/>
              </w:rPr>
              <w:t>体检项目</w:t>
            </w:r>
          </w:p>
        </w:tc>
        <w:tc>
          <w:tcPr>
            <w:tcW w:w="3448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FFDF517">
            <w:pPr>
              <w:jc w:val="both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0"/>
                <w:lang w:val="en-US" w:eastAsia="zh-Hans"/>
              </w:rPr>
              <w:t>1.必检项目：包括一般检查（身高、体重、血压）、内科（心肺听诊、腹部检查）、外科（淋巴结、甲状腺、乳腺、前列腺、肛肠、四肢脊柱）、心电图、眼科（视力、眼底、裂隙灯）、血细胞分析+五分类、血脂4项、空腹血糖、糖化血红蛋白、肝功能10项、肾功能5项、甲胎蛋白、癌胚抗原、前列腺特异性抗原（男）、糖类抗原CA125（女）、糖类抗原CA15-3（女）、糖类抗原CA19-9、</w:t>
            </w:r>
            <w:r>
              <w:rPr>
                <w:rFonts w:hint="eastAsia" w:ascii="仿宋_GB2312" w:hAnsi="仿宋_GB2312" w:eastAsia="仿宋_GB2312" w:cs="仿宋_GB2312"/>
                <w:b/>
                <w:sz w:val="20"/>
                <w:lang w:val="en-US" w:eastAsia="zh-Hans"/>
              </w:rPr>
              <w:t>同型半胱氨酸（仅第一类）、风湿4项（仅第一类）</w:t>
            </w:r>
            <w:r>
              <w:rPr>
                <w:rFonts w:hint="eastAsia" w:ascii="仿宋_GB2312" w:hAnsi="仿宋_GB2312" w:eastAsia="仿宋_GB2312" w:cs="仿宋_GB2312"/>
                <w:sz w:val="20"/>
                <w:lang w:val="en-US" w:eastAsia="zh-Hans"/>
              </w:rPr>
              <w:t>、尿液分析、甲状腺彩超、</w:t>
            </w:r>
            <w:r>
              <w:rPr>
                <w:rFonts w:hint="eastAsia" w:ascii="仿宋_GB2312" w:hAnsi="仿宋_GB2312" w:eastAsia="仿宋_GB2312" w:cs="仿宋_GB2312"/>
                <w:b/>
                <w:sz w:val="20"/>
                <w:lang w:val="en-US" w:eastAsia="zh-Hans"/>
              </w:rPr>
              <w:t>颈动脉彩超（双侧）（仅第一类及第二类及第三类40岁及以上在职）</w:t>
            </w:r>
            <w:r>
              <w:rPr>
                <w:rFonts w:hint="eastAsia" w:ascii="仿宋_GB2312" w:hAnsi="仿宋_GB2312" w:eastAsia="仿宋_GB2312" w:cs="仿宋_GB2312"/>
                <w:sz w:val="20"/>
                <w:lang w:val="en-US" w:eastAsia="zh-Hans"/>
              </w:rPr>
              <w:t>、双乳腺彩超（女）、上腹部彩超、泌尿系彩超（双肾、输尿管、膀胱、前列腺）（男）、泌尿系彩超（双肾、输尿管、膀胱）（女）、妇科彩超（女）、妇科检查及白带常规+宫颈刮片（女）、颈椎侧位片DR、胸部CT、</w:t>
            </w:r>
            <w:r>
              <w:rPr>
                <w:rFonts w:hint="eastAsia" w:ascii="仿宋_GB2312" w:hAnsi="仿宋_GB2312" w:eastAsia="仿宋_GB2312" w:cs="仿宋_GB2312"/>
                <w:b/>
                <w:sz w:val="20"/>
                <w:lang w:val="en-US" w:eastAsia="zh-Hans"/>
              </w:rPr>
              <w:t>骨密度检测（仅第一类及第二类）</w:t>
            </w:r>
            <w:r>
              <w:rPr>
                <w:rFonts w:hint="eastAsia" w:ascii="仿宋_GB2312" w:hAnsi="仿宋_GB2312" w:eastAsia="仿宋_GB2312" w:cs="仿宋_GB2312"/>
                <w:sz w:val="20"/>
                <w:lang w:val="en-US" w:eastAsia="zh-Hans"/>
              </w:rPr>
              <w:t>等。（见附件）</w:t>
            </w:r>
          </w:p>
          <w:p w14:paraId="656B83CC">
            <w:pPr>
              <w:jc w:val="both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0"/>
                <w:lang w:val="en-US" w:eastAsia="zh-Hans"/>
              </w:rPr>
              <w:t>2.其他项目套餐：在体检费用固定单价扣除必检项目费用后，由供应商根据剩余金额，除必检项目外，由供应商从消化系统（C13呼气试验、胃泌素-17）、心脑血管系统（心脏彩超、头颅CT）、妇科（HPV+TCT检测）、内分泌系统（甲功5项）、呼吸系统（肺功能）等方向配置成套餐，应包含但不限于括号内项目。</w:t>
            </w:r>
            <w:r>
              <w:rPr>
                <w:rFonts w:hint="eastAsia" w:ascii="仿宋_GB2312" w:hAnsi="仿宋_GB2312" w:eastAsia="仿宋_GB2312" w:cs="仿宋_GB2312"/>
                <w:b/>
                <w:sz w:val="20"/>
                <w:lang w:val="en-US" w:eastAsia="zh-Hans"/>
              </w:rPr>
              <w:t>教职工在套餐里选择1个。</w:t>
            </w:r>
          </w:p>
          <w:p w14:paraId="07FF5746">
            <w:pPr>
              <w:jc w:val="both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0"/>
                <w:lang w:val="en-US" w:eastAsia="zh-Hans"/>
              </w:rPr>
              <w:t>3.个人自选项目：教职工可根据自身需求，在必检项目及其他项目套餐之外，自行选择其他收费项目，费用自理。供应商需提供除必检项目+其他项目套餐外的项目目录，供教职工自选，并注明原价及折扣后价格，每项单价均不得高于本市同级三甲公立医疗机构现行公示收费标准。</w:t>
            </w:r>
          </w:p>
        </w:tc>
      </w:tr>
      <w:tr w14:paraId="01CFEEC1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0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8753B8B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0"/>
                <w:lang w:val="en-US" w:eastAsia="zh-Hans"/>
              </w:rPr>
              <w:t>4</w:t>
            </w:r>
          </w:p>
        </w:tc>
        <w:tc>
          <w:tcPr>
            <w:tcW w:w="691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7E5CF40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0"/>
                <w:lang w:val="en-US" w:eastAsia="zh-Hans"/>
              </w:rPr>
              <w:t>其他服务要求</w:t>
            </w:r>
          </w:p>
        </w:tc>
        <w:tc>
          <w:tcPr>
            <w:tcW w:w="3448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32EDF16">
            <w:pPr>
              <w:jc w:val="both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0"/>
                <w:lang w:val="en-US" w:eastAsia="zh-Hans"/>
              </w:rPr>
              <w:t>1.供应商体检前提供体检通知单，通知单内应明确告知体检注意事项。</w:t>
            </w:r>
          </w:p>
          <w:p w14:paraId="4F1A1D2F">
            <w:pPr>
              <w:jc w:val="both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0"/>
                <w:lang w:val="en-US" w:eastAsia="zh-Hans"/>
              </w:rPr>
              <w:t>2.供应商须为采购人教职工提供至少5种自助营养早餐餐品，包括但不限于牛奶、豆浆、面包、鸡蛋、包子等（以上内容费用包含在报价中）。</w:t>
            </w:r>
          </w:p>
          <w:p w14:paraId="31297151">
            <w:pPr>
              <w:jc w:val="both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0"/>
                <w:lang w:val="en-US" w:eastAsia="zh-Hans"/>
              </w:rPr>
              <w:t>3.至少集中组织4次体检（在职教职工2次，其他两类人群各1次），集中体检时，若达到100人以上，需安排专场体检。根据采购人需要提供充足的车辆接送教职工，以上内容费用包含在报价中。</w:t>
            </w:r>
          </w:p>
          <w:p w14:paraId="66E22D2E">
            <w:pPr>
              <w:jc w:val="both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0"/>
                <w:lang w:val="en-US" w:eastAsia="zh-Hans"/>
              </w:rPr>
              <w:t>4.现场应提供个人问诊咨询、体检报告解读服务等。</w:t>
            </w:r>
          </w:p>
          <w:p w14:paraId="3C334DE4">
            <w:pPr>
              <w:jc w:val="both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0"/>
                <w:lang w:val="en-US" w:eastAsia="zh-Hans"/>
              </w:rPr>
              <w:t>5.体检结束一周内，完成个人电子及纸质报告，将离退休人员的报告邮寄至个人，其余人员的报告统一送至采购人，不单独发放给个人。体检结束后两周内，完成团检报告，并提供加盖公章的纸质版团检报告。</w:t>
            </w:r>
          </w:p>
          <w:p w14:paraId="003C4BF3">
            <w:pPr>
              <w:jc w:val="both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0"/>
                <w:lang w:val="en-US" w:eastAsia="zh-Hans"/>
              </w:rPr>
              <w:t>6.自签订合同之日起一年内，无条件提供专家义诊和健康讲座各4场（共8场），为采购人大型活动无条件提供医疗救护车（含救护车医疗设备及司机、医生、护士各1人）和无条件提供医疗保障服务（需配备医生、护士各1人）各3次，每次1天（如运动会、大型赛事等），以上内容费用包含在报价中。</w:t>
            </w:r>
          </w:p>
          <w:p w14:paraId="445A205F">
            <w:pPr>
              <w:jc w:val="both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0"/>
                <w:lang w:val="en-US" w:eastAsia="zh-Hans"/>
              </w:rPr>
              <w:t>7.教职工家属可享受中标体检项目套餐同等优惠服务，费用自理。</w:t>
            </w:r>
          </w:p>
          <w:p w14:paraId="141D0399">
            <w:pPr>
              <w:jc w:val="both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0"/>
                <w:lang w:val="en-US" w:eastAsia="zh-Hans"/>
              </w:rPr>
              <w:t>8.对于体检过程中发现的学校人员的疾病、疾病征兆及健康隐患，供应商应在体检报告中予以充分说明；重大阳性情况应第一时间通知采购人；供应商应为采购人安排2次以上到采购人单位的体检报告解读分析。</w:t>
            </w:r>
          </w:p>
          <w:p w14:paraId="353CC47A">
            <w:pPr>
              <w:jc w:val="both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0"/>
                <w:lang w:val="en-US" w:eastAsia="zh-Hans"/>
              </w:rPr>
              <w:t>9.如教职工需要进一步就诊，供应商可以协助建立就医绿色通道；如需要进一步住院，可以协助办理住院手续；如需要进一步会诊诊断，可以协助办理会诊流程。</w:t>
            </w:r>
          </w:p>
          <w:p w14:paraId="0093250E">
            <w:pPr>
              <w:jc w:val="both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0"/>
                <w:lang w:val="en-US" w:eastAsia="zh-Hans"/>
              </w:rPr>
              <w:t>10.在体检过程中知悉的学校人员资料（包括但不限于姓名、年龄、体检指标、健康状况等），供应商负有充分的保密义务，且这种保密义务不受时间限制。</w:t>
            </w:r>
          </w:p>
          <w:p w14:paraId="0492AC15">
            <w:pPr>
              <w:jc w:val="both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0"/>
                <w:lang w:val="en-US" w:eastAsia="zh-Hans"/>
              </w:rPr>
              <w:t>11.应提供无偿停车服务，采购人单位员工来体检可享受无偿停车服务。</w:t>
            </w:r>
          </w:p>
          <w:p w14:paraId="65FC92D3">
            <w:pPr>
              <w:jc w:val="both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0"/>
                <w:lang w:val="en-US" w:eastAsia="zh-Hans"/>
              </w:rPr>
              <w:t>12.磋商文件、响应文件也是合同的组成部分，合同中未约定的，以磋商文件、响应文件为准，供应商的投标文件及招标现场承诺内容视为本合同的内容。</w:t>
            </w:r>
          </w:p>
          <w:p w14:paraId="4BAB0BA8">
            <w:pPr>
              <w:jc w:val="both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0"/>
                <w:lang w:val="en-US" w:eastAsia="zh-Hans"/>
              </w:rPr>
              <w:t>13.整个项目应符合国家有关规范和标准。</w:t>
            </w:r>
          </w:p>
          <w:p w14:paraId="49FADCA3">
            <w:pPr>
              <w:jc w:val="both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0"/>
                <w:lang w:val="en-US" w:eastAsia="zh-Hans"/>
              </w:rPr>
              <w:t>供应商应提供健康体检服务，严格遵守相关部门颁布的《中华人民共和国医师法》《医疗机构管理条例》《护士条例》和《健康体检管理暂行规定》等法律法规，采取有效措施保证健康体检的质量。</w:t>
            </w:r>
          </w:p>
        </w:tc>
      </w:tr>
    </w:tbl>
    <w:p w14:paraId="053E5386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D762712"/>
    <w:rsid w:val="0D762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2026-07-10T07:27:00Z</dcterms:created>
  <dc:creator>.L</dc:creator>
  <cp:lastModifiedBy>.L</cp:lastModifiedBy>
  <dcterms:modified xsi:type="dcterms:W3CDTF">2026-07-10T07:29:28Z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E5CDBB01D09645248F0FEF5A77CBBA69_11</vt:lpwstr>
  </property>
  <property fmtid="{D5CDD505-2E9C-101B-9397-08002B2CF9AE}" pid="4" name="KSOTemplateDocerSaveRecord">
    <vt:lpwstr>eyJoZGlkIjoiN2ViYTg5NDBiZjhlN2VjMmMxODQyM2Y0NTY5NDI4ZDUiLCJ1c2VySWQiOiI3ODE3NDc4MzEifQ==</vt:lpwstr>
  </property>
</Properties>
</file>