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0D4FE">
      <w:pPr>
        <w:widowControl/>
        <w:spacing w:before="120" w:line="360" w:lineRule="auto"/>
        <w:jc w:val="center"/>
        <w:rPr>
          <w:rFonts w:hint="eastAsia" w:ascii="宋体" w:hAnsi="宋体" w:eastAsia="宋体" w:cs="宋体"/>
          <w:b/>
          <w:bCs/>
          <w:kern w:val="0"/>
          <w:sz w:val="32"/>
          <w:szCs w:val="32"/>
          <w:highlight w:val="none"/>
        </w:rPr>
      </w:pPr>
      <w:bookmarkStart w:id="0" w:name="_Toc109542396"/>
      <w:bookmarkStart w:id="1" w:name="_Toc109543216"/>
    </w:p>
    <w:p w14:paraId="399AB990">
      <w:pPr>
        <w:widowControl/>
        <w:spacing w:before="120" w:line="360" w:lineRule="auto"/>
        <w:jc w:val="center"/>
        <w:rPr>
          <w:rFonts w:hint="eastAsia" w:ascii="宋体" w:hAnsi="宋体" w:eastAsia="宋体" w:cs="宋体"/>
          <w:b/>
          <w:bCs/>
          <w:kern w:val="0"/>
          <w:sz w:val="32"/>
          <w:szCs w:val="32"/>
          <w:highlight w:val="none"/>
        </w:rPr>
      </w:pPr>
    </w:p>
    <w:p w14:paraId="0F979A68">
      <w:pPr>
        <w:widowControl/>
        <w:spacing w:before="120" w:line="360" w:lineRule="auto"/>
        <w:jc w:val="center"/>
        <w:rPr>
          <w:rFonts w:ascii="宋体" w:hAnsi="宋体" w:eastAsia="宋体" w:cs="宋体"/>
          <w:b/>
          <w:bCs/>
          <w:kern w:val="0"/>
          <w:sz w:val="52"/>
          <w:szCs w:val="52"/>
          <w:highlight w:val="none"/>
        </w:rPr>
      </w:pPr>
      <w:r>
        <w:rPr>
          <w:rFonts w:hint="eastAsia" w:ascii="宋体" w:hAnsi="宋体" w:eastAsia="宋体" w:cs="宋体"/>
          <w:b/>
          <w:bCs/>
          <w:kern w:val="0"/>
          <w:sz w:val="32"/>
          <w:szCs w:val="32"/>
          <w:highlight w:val="none"/>
        </w:rPr>
        <w:t>陕西工业职业技术</w:t>
      </w:r>
      <w:r>
        <w:rPr>
          <w:rFonts w:hint="eastAsia" w:ascii="宋体" w:hAnsi="宋体" w:eastAsia="宋体" w:cs="宋体"/>
          <w:b/>
          <w:bCs/>
          <w:kern w:val="0"/>
          <w:sz w:val="32"/>
          <w:szCs w:val="32"/>
          <w:highlight w:val="none"/>
          <w:lang w:val="en-US" w:eastAsia="zh-CN"/>
        </w:rPr>
        <w:t>大学</w:t>
      </w:r>
      <w:r>
        <w:rPr>
          <w:rFonts w:hint="eastAsia" w:ascii="宋体" w:hAnsi="宋体" w:eastAsia="宋体" w:cs="宋体"/>
          <w:b/>
          <w:bCs/>
          <w:kern w:val="0"/>
          <w:sz w:val="32"/>
          <w:szCs w:val="32"/>
          <w:highlight w:val="none"/>
        </w:rPr>
        <w:t>货物采购合同</w:t>
      </w:r>
    </w:p>
    <w:p w14:paraId="0BA0EED8">
      <w:pPr>
        <w:keepNext/>
        <w:keepLines/>
        <w:widowControl/>
        <w:spacing w:before="120" w:after="120" w:line="720" w:lineRule="auto"/>
        <w:ind w:firstLine="1928" w:firstLineChars="800"/>
        <w:jc w:val="center"/>
        <w:outlineLvl w:val="1"/>
        <w:rPr>
          <w:rFonts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 xml:space="preserve">  </w:t>
      </w:r>
    </w:p>
    <w:bookmarkEnd w:id="0"/>
    <w:bookmarkEnd w:id="1"/>
    <w:p w14:paraId="08F6D472">
      <w:pPr>
        <w:widowControl/>
        <w:tabs>
          <w:tab w:val="center" w:pos="4153"/>
          <w:tab w:val="right" w:pos="8306"/>
        </w:tabs>
        <w:snapToGrid w:val="0"/>
        <w:jc w:val="left"/>
        <w:rPr>
          <w:rFonts w:ascii="宋体" w:hAnsi="宋体" w:eastAsia="宋体" w:cs="宋体"/>
          <w:b/>
          <w:color w:val="000000"/>
          <w:kern w:val="0"/>
          <w:sz w:val="28"/>
          <w:szCs w:val="28"/>
          <w:highlight w:val="none"/>
        </w:rPr>
      </w:pPr>
      <w:r>
        <w:rPr>
          <w:rFonts w:hint="eastAsia" w:ascii="宋体" w:hAnsi="宋体" w:eastAsia="宋体" w:cs="宋体"/>
          <w:b/>
          <w:color w:val="000000"/>
          <w:kern w:val="0"/>
          <w:sz w:val="32"/>
          <w:szCs w:val="32"/>
          <w:highlight w:val="none"/>
        </w:rPr>
        <w:t xml:space="preserve">              </w:t>
      </w:r>
      <w:r>
        <w:rPr>
          <w:rFonts w:hint="eastAsia" w:ascii="宋体" w:hAnsi="宋体" w:eastAsia="宋体" w:cs="宋体"/>
          <w:b/>
          <w:color w:val="000000"/>
          <w:kern w:val="0"/>
          <w:sz w:val="28"/>
          <w:szCs w:val="28"/>
          <w:highlight w:val="none"/>
        </w:rPr>
        <w:t>合同编号：</w:t>
      </w:r>
    </w:p>
    <w:p w14:paraId="0FDFB59A">
      <w:pPr>
        <w:widowControl/>
        <w:tabs>
          <w:tab w:val="center" w:pos="4153"/>
          <w:tab w:val="right" w:pos="8306"/>
        </w:tabs>
        <w:snapToGrid w:val="0"/>
        <w:jc w:val="left"/>
        <w:rPr>
          <w:rFonts w:ascii="宋体" w:hAnsi="宋体" w:eastAsia="宋体" w:cs="宋体"/>
          <w:b/>
          <w:kern w:val="0"/>
          <w:sz w:val="32"/>
          <w:szCs w:val="32"/>
          <w:highlight w:val="none"/>
        </w:rPr>
      </w:pPr>
      <w:r>
        <w:rPr>
          <w:rFonts w:hint="eastAsia" w:ascii="宋体" w:hAnsi="宋体" w:eastAsia="宋体" w:cs="宋体"/>
          <w:b/>
          <w:color w:val="000000"/>
          <w:kern w:val="0"/>
          <w:sz w:val="28"/>
          <w:szCs w:val="28"/>
          <w:highlight w:val="none"/>
        </w:rPr>
        <w:t xml:space="preserve">                会签编号：</w:t>
      </w:r>
      <w:r>
        <w:rPr>
          <w:rFonts w:hint="eastAsia" w:ascii="宋体" w:hAnsi="宋体" w:eastAsia="宋体" w:cs="宋体"/>
          <w:b/>
          <w:kern w:val="0"/>
          <w:sz w:val="32"/>
          <w:szCs w:val="32"/>
          <w:highlight w:val="none"/>
        </w:rPr>
        <w:t xml:space="preserve">             </w:t>
      </w:r>
    </w:p>
    <w:p w14:paraId="30AB1005">
      <w:pPr>
        <w:widowControl/>
        <w:tabs>
          <w:tab w:val="center" w:pos="4153"/>
          <w:tab w:val="right" w:pos="8306"/>
        </w:tabs>
        <w:snapToGrid w:val="0"/>
        <w:jc w:val="left"/>
        <w:rPr>
          <w:rFonts w:ascii="宋体" w:hAnsi="宋体" w:eastAsia="宋体" w:cs="宋体"/>
          <w:b/>
          <w:kern w:val="0"/>
          <w:sz w:val="32"/>
          <w:szCs w:val="32"/>
          <w:highlight w:val="none"/>
        </w:rPr>
      </w:pPr>
    </w:p>
    <w:p w14:paraId="6DDB4C4A">
      <w:pPr>
        <w:widowControl/>
        <w:tabs>
          <w:tab w:val="center" w:pos="4153"/>
          <w:tab w:val="right" w:pos="8306"/>
        </w:tabs>
        <w:snapToGrid w:val="0"/>
        <w:jc w:val="left"/>
        <w:rPr>
          <w:rFonts w:ascii="宋体" w:hAnsi="宋体" w:eastAsia="宋体" w:cs="宋体"/>
          <w:b/>
          <w:color w:val="000000"/>
          <w:kern w:val="0"/>
          <w:sz w:val="32"/>
          <w:szCs w:val="32"/>
          <w:highlight w:val="none"/>
        </w:rPr>
      </w:pPr>
    </w:p>
    <w:p w14:paraId="5A09A78E">
      <w:pPr>
        <w:pStyle w:val="3"/>
        <w:rPr>
          <w:highlight w:val="none"/>
        </w:rPr>
      </w:pPr>
    </w:p>
    <w:p w14:paraId="287F3272"/>
    <w:p w14:paraId="57919910">
      <w:pPr>
        <w:widowControl/>
        <w:tabs>
          <w:tab w:val="center" w:pos="4153"/>
          <w:tab w:val="right" w:pos="8306"/>
        </w:tabs>
        <w:snapToGrid w:val="0"/>
        <w:jc w:val="left"/>
        <w:rPr>
          <w:rFonts w:ascii="宋体" w:hAnsi="宋体" w:eastAsia="宋体" w:cs="宋体"/>
          <w:b/>
          <w:color w:val="000000"/>
          <w:kern w:val="0"/>
          <w:sz w:val="32"/>
          <w:szCs w:val="32"/>
          <w:highlight w:val="none"/>
        </w:rPr>
      </w:pPr>
    </w:p>
    <w:p w14:paraId="71D19D10">
      <w:pPr>
        <w:pStyle w:val="3"/>
        <w:rPr>
          <w:highlight w:val="none"/>
        </w:rPr>
      </w:pPr>
    </w:p>
    <w:p w14:paraId="7CD33B5A">
      <w:pPr>
        <w:rPr>
          <w:highlight w:val="none"/>
        </w:rPr>
      </w:pPr>
    </w:p>
    <w:p w14:paraId="39037D65">
      <w:pPr>
        <w:widowControl/>
        <w:tabs>
          <w:tab w:val="center" w:pos="4153"/>
          <w:tab w:val="right" w:pos="8306"/>
        </w:tabs>
        <w:snapToGrid w:val="0"/>
        <w:jc w:val="left"/>
        <w:rPr>
          <w:rFonts w:ascii="宋体" w:hAnsi="宋体" w:eastAsia="宋体" w:cs="宋体"/>
          <w:b/>
          <w:color w:val="000000"/>
          <w:kern w:val="0"/>
          <w:sz w:val="32"/>
          <w:szCs w:val="32"/>
          <w:highlight w:val="none"/>
        </w:rPr>
      </w:pPr>
    </w:p>
    <w:p w14:paraId="40DA842A">
      <w:pPr>
        <w:widowControl/>
        <w:rPr>
          <w:rFonts w:ascii="宋体" w:hAnsi="宋体" w:eastAsia="宋体" w:cs="宋体"/>
          <w:b/>
          <w:kern w:val="0"/>
          <w:sz w:val="28"/>
          <w:szCs w:val="28"/>
          <w:highlight w:val="none"/>
          <w:u w:val="single"/>
        </w:rPr>
      </w:pPr>
      <w:r>
        <w:rPr>
          <w:rFonts w:hint="eastAsia" w:ascii="宋体" w:hAnsi="宋体" w:eastAsia="宋体" w:cs="宋体"/>
          <w:b/>
          <w:color w:val="000000"/>
          <w:kern w:val="0"/>
          <w:sz w:val="28"/>
          <w:szCs w:val="28"/>
          <w:highlight w:val="none"/>
        </w:rPr>
        <w:t>项目名称：</w:t>
      </w:r>
      <w:r>
        <w:rPr>
          <w:rFonts w:hint="eastAsia" w:ascii="宋体" w:hAnsi="宋体" w:eastAsia="宋体" w:cs="宋体"/>
          <w:b/>
          <w:kern w:val="0"/>
          <w:sz w:val="28"/>
          <w:szCs w:val="28"/>
          <w:highlight w:val="none"/>
          <w:u w:val="single"/>
        </w:rPr>
        <w:t xml:space="preserve">                                                 </w:t>
      </w:r>
    </w:p>
    <w:p w14:paraId="7312D515">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采购内容：</w:t>
      </w:r>
      <w:r>
        <w:rPr>
          <w:rFonts w:hint="eastAsia" w:ascii="宋体" w:hAnsi="宋体" w:eastAsia="宋体" w:cs="宋体"/>
          <w:b/>
          <w:kern w:val="0"/>
          <w:sz w:val="28"/>
          <w:szCs w:val="28"/>
          <w:highlight w:val="none"/>
          <w:u w:val="single"/>
        </w:rPr>
        <w:t xml:space="preserve">                                               </w:t>
      </w:r>
      <w:r>
        <w:rPr>
          <w:rFonts w:hint="eastAsia" w:ascii="宋体" w:hAnsi="宋体" w:eastAsia="宋体" w:cs="宋体"/>
          <w:b/>
          <w:color w:val="000000"/>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0735F33">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甲    方：</w:t>
      </w:r>
      <w:r>
        <w:rPr>
          <w:rFonts w:hint="eastAsia" w:ascii="宋体" w:hAnsi="宋体" w:eastAsia="宋体" w:cs="宋体"/>
          <w:b/>
          <w:kern w:val="0"/>
          <w:sz w:val="28"/>
          <w:szCs w:val="28"/>
          <w:highlight w:val="none"/>
          <w:u w:val="single"/>
        </w:rPr>
        <w:t xml:space="preserve">               </w:t>
      </w:r>
      <w:r>
        <w:rPr>
          <w:rFonts w:hint="eastAsia" w:ascii="宋体" w:hAnsi="宋体" w:eastAsia="宋体" w:cs="宋体"/>
          <w:b/>
          <w:bCs/>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A613DF2">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乙    方：</w:t>
      </w:r>
      <w:r>
        <w:rPr>
          <w:rFonts w:hint="eastAsia" w:ascii="宋体" w:hAnsi="宋体" w:eastAsia="宋体" w:cs="宋体"/>
          <w:b/>
          <w:kern w:val="0"/>
          <w:sz w:val="28"/>
          <w:szCs w:val="28"/>
          <w:highlight w:val="none"/>
          <w:u w:val="single"/>
        </w:rPr>
        <w:t xml:space="preserve">                                                </w:t>
      </w:r>
    </w:p>
    <w:p w14:paraId="2EDBE1F2">
      <w:pPr>
        <w:widowControl/>
        <w:spacing w:line="360" w:lineRule="auto"/>
        <w:jc w:val="center"/>
        <w:rPr>
          <w:rFonts w:hint="eastAsia" w:ascii="宋体" w:hAnsi="宋体" w:eastAsia="宋体" w:cs="宋体"/>
          <w:b/>
          <w:bCs/>
          <w:kern w:val="0"/>
          <w:sz w:val="28"/>
          <w:szCs w:val="28"/>
          <w:highlight w:val="none"/>
        </w:rPr>
        <w:sectPr>
          <w:footerReference r:id="rId5" w:type="default"/>
          <w:pgSz w:w="11906" w:h="16838"/>
          <w:pgMar w:top="1701" w:right="1587" w:bottom="1417" w:left="1587" w:header="851" w:footer="992" w:gutter="0"/>
          <w:cols w:space="425" w:num="1"/>
          <w:docGrid w:type="lines" w:linePitch="312" w:charSpace="0"/>
        </w:sectPr>
      </w:pPr>
    </w:p>
    <w:p w14:paraId="3BC67DC5">
      <w:pPr>
        <w:widowControl/>
        <w:spacing w:line="360" w:lineRule="auto"/>
        <w:jc w:val="center"/>
        <w:rPr>
          <w:rFonts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货物采购合同</w:t>
      </w:r>
    </w:p>
    <w:p w14:paraId="3B095714">
      <w:pPr>
        <w:widowControl/>
        <w:shd w:val="clear" w:color="auto" w:fill="FFFFFF"/>
        <w:spacing w:before="312" w:beforeLines="100" w:after="312" w:afterLines="100"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甲方：</w:t>
      </w:r>
      <w:r>
        <w:rPr>
          <w:rFonts w:hint="eastAsia" w:ascii="宋体" w:hAnsi="宋体" w:eastAsia="宋体" w:cs="宋体"/>
          <w:b/>
          <w:bCs/>
          <w:kern w:val="0"/>
          <w:sz w:val="24"/>
          <w:szCs w:val="24"/>
          <w:highlight w:val="none"/>
          <w:u w:val="single"/>
        </w:rPr>
        <w:t>陕西工业职业技术</w:t>
      </w:r>
      <w:r>
        <w:rPr>
          <w:rFonts w:hint="eastAsia" w:ascii="宋体" w:hAnsi="宋体" w:eastAsia="宋体" w:cs="宋体"/>
          <w:b/>
          <w:bCs/>
          <w:kern w:val="0"/>
          <w:sz w:val="24"/>
          <w:szCs w:val="24"/>
          <w:highlight w:val="none"/>
          <w:u w:val="single"/>
          <w:lang w:val="en-US" w:eastAsia="zh-CN"/>
        </w:rPr>
        <w:t>大学</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rPr>
        <w:t xml:space="preserve">      </w:t>
      </w:r>
    </w:p>
    <w:p w14:paraId="00C60550">
      <w:pPr>
        <w:widowControl/>
        <w:shd w:val="clear" w:color="auto" w:fill="FFFFFF"/>
        <w:spacing w:before="312" w:beforeLines="100" w:after="312" w:afterLines="100" w:line="360" w:lineRule="auto"/>
        <w:jc w:val="left"/>
        <w:rPr>
          <w:rFonts w:ascii="宋体" w:hAnsi="宋体" w:eastAsia="宋体" w:cs="宋体"/>
          <w:b/>
          <w:kern w:val="0"/>
          <w:sz w:val="24"/>
          <w:szCs w:val="24"/>
          <w:highlight w:val="none"/>
          <w:u w:val="single"/>
        </w:rPr>
      </w:pPr>
      <w:r>
        <w:rPr>
          <w:rFonts w:hint="eastAsia" w:ascii="宋体" w:hAnsi="宋体" w:eastAsia="宋体" w:cs="宋体"/>
          <w:b/>
          <w:bCs/>
          <w:kern w:val="0"/>
          <w:sz w:val="24"/>
          <w:szCs w:val="24"/>
          <w:highlight w:val="none"/>
        </w:rPr>
        <w:t>乙方：</w:t>
      </w:r>
      <w:r>
        <w:rPr>
          <w:rFonts w:hint="eastAsia" w:ascii="宋体" w:hAnsi="宋体" w:eastAsia="宋体" w:cs="宋体"/>
          <w:b/>
          <w:kern w:val="0"/>
          <w:sz w:val="24"/>
          <w:szCs w:val="24"/>
          <w:highlight w:val="none"/>
          <w:u w:val="single"/>
        </w:rPr>
        <w:t xml:space="preserve">                     </w:t>
      </w:r>
    </w:p>
    <w:p w14:paraId="42273847">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依据《中华人民共和国民法典》《中华人民共和国政府采购法》等有关的法律法规，以及本采购项目（项目名称：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）的招标/采购文件、乙方的投标/响应文件，甲乙双方协商一致，约定以下合同条款，以兹共同遵守、全面履行。</w:t>
      </w:r>
    </w:p>
    <w:p w14:paraId="00235854">
      <w:pPr>
        <w:spacing w:line="560" w:lineRule="exact"/>
        <w:outlineLvl w:val="0"/>
        <w:rPr>
          <w:rFonts w:ascii="宋体" w:hAnsi="宋体" w:cs="宋体"/>
          <w:b/>
          <w:sz w:val="24"/>
          <w:highlight w:val="none"/>
        </w:rPr>
      </w:pPr>
      <w:bookmarkStart w:id="2" w:name="_Toc24059"/>
      <w:bookmarkStart w:id="3" w:name="_Toc2232"/>
      <w:bookmarkStart w:id="4" w:name="_Toc3029"/>
      <w:bookmarkStart w:id="5" w:name="_Toc10479"/>
      <w:bookmarkStart w:id="6" w:name="_Toc495505731"/>
      <w:r>
        <w:rPr>
          <w:rFonts w:hint="eastAsia" w:ascii="宋体" w:hAnsi="宋体" w:eastAsia="宋体" w:cs="宋体"/>
          <w:kern w:val="0"/>
          <w:sz w:val="24"/>
          <w:szCs w:val="24"/>
          <w:highlight w:val="none"/>
        </w:rPr>
        <w:t>一、</w:t>
      </w:r>
      <w:r>
        <w:rPr>
          <w:rFonts w:hint="eastAsia" w:ascii="宋体" w:hAnsi="宋体" w:cs="宋体"/>
          <w:b/>
          <w:sz w:val="24"/>
          <w:highlight w:val="none"/>
        </w:rPr>
        <w:t>合同组成部分</w:t>
      </w:r>
      <w:bookmarkEnd w:id="2"/>
      <w:bookmarkEnd w:id="3"/>
      <w:bookmarkEnd w:id="4"/>
    </w:p>
    <w:p w14:paraId="3E1DBD76">
      <w:pPr>
        <w:spacing w:line="360" w:lineRule="auto"/>
        <w:ind w:firstLine="480" w:firstLineChars="200"/>
        <w:rPr>
          <w:rFonts w:ascii="宋体" w:hAnsi="宋体" w:cs="宋体"/>
          <w:sz w:val="24"/>
          <w:highlight w:val="none"/>
        </w:rPr>
      </w:pPr>
      <w:r>
        <w:rPr>
          <w:rFonts w:hint="eastAsia" w:ascii="宋体" w:hAnsi="宋体" w:cs="宋体"/>
          <w:sz w:val="24"/>
          <w:highlight w:val="none"/>
        </w:rPr>
        <w:t>下列文件为本合同的组成部分，并构成一个整体，需综合解释、相互补充。如果下列文件内容出现不一致的情形，在保证按照采购文件确定的事项的前提下，组成本合同的多个文件的优先适用顺序如下：</w:t>
      </w:r>
    </w:p>
    <w:p w14:paraId="7651E138">
      <w:pPr>
        <w:spacing w:line="360" w:lineRule="auto"/>
        <w:ind w:firstLine="480" w:firstLineChars="200"/>
        <w:rPr>
          <w:rFonts w:ascii="宋体" w:hAnsi="宋体" w:cs="宋体"/>
          <w:sz w:val="24"/>
          <w:highlight w:val="none"/>
        </w:rPr>
      </w:pPr>
      <w:r>
        <w:rPr>
          <w:rFonts w:hint="eastAsia" w:ascii="宋体" w:hAnsi="宋体" w:cs="宋体"/>
          <w:sz w:val="24"/>
          <w:highlight w:val="none"/>
        </w:rPr>
        <w:t>本合同及其补充合同、变更协议；</w:t>
      </w:r>
    </w:p>
    <w:p w14:paraId="3F269318">
      <w:pPr>
        <w:spacing w:line="360" w:lineRule="auto"/>
        <w:ind w:firstLine="480" w:firstLineChars="200"/>
        <w:rPr>
          <w:rFonts w:ascii="宋体" w:hAnsi="宋体" w:cs="宋体"/>
          <w:sz w:val="24"/>
          <w:highlight w:val="none"/>
        </w:rPr>
      </w:pPr>
      <w:r>
        <w:rPr>
          <w:rFonts w:hint="eastAsia" w:ascii="宋体" w:hAnsi="宋体" w:cs="宋体"/>
          <w:sz w:val="24"/>
          <w:highlight w:val="none"/>
        </w:rPr>
        <w:t>中标或者成交通知书；</w:t>
      </w:r>
    </w:p>
    <w:p w14:paraId="76861569">
      <w:pPr>
        <w:spacing w:line="360" w:lineRule="auto"/>
        <w:ind w:firstLine="480" w:firstLineChars="200"/>
        <w:rPr>
          <w:rFonts w:ascii="宋体" w:hAnsi="宋体" w:cs="宋体"/>
          <w:sz w:val="24"/>
          <w:highlight w:val="none"/>
        </w:rPr>
      </w:pPr>
      <w:r>
        <w:rPr>
          <w:rFonts w:hint="eastAsia" w:ascii="宋体" w:hAnsi="宋体" w:cs="宋体"/>
          <w:sz w:val="24"/>
          <w:highlight w:val="none"/>
        </w:rPr>
        <w:t>投标或者响应文件（含澄清或者说明文件）；</w:t>
      </w:r>
    </w:p>
    <w:p w14:paraId="354A605B">
      <w:pPr>
        <w:spacing w:line="360" w:lineRule="auto"/>
        <w:ind w:firstLine="480" w:firstLineChars="200"/>
        <w:rPr>
          <w:rFonts w:ascii="宋体" w:hAnsi="宋体" w:cs="宋体"/>
          <w:sz w:val="24"/>
          <w:highlight w:val="none"/>
        </w:rPr>
      </w:pPr>
      <w:r>
        <w:rPr>
          <w:rFonts w:hint="eastAsia" w:ascii="宋体" w:hAnsi="宋体" w:cs="宋体"/>
          <w:sz w:val="24"/>
          <w:highlight w:val="none"/>
        </w:rPr>
        <w:t>采购文件（含澄清或者修改文件）；</w:t>
      </w:r>
    </w:p>
    <w:p w14:paraId="21579EC3">
      <w:pPr>
        <w:spacing w:line="360" w:lineRule="auto"/>
        <w:ind w:firstLine="480" w:firstLineChars="200"/>
        <w:rPr>
          <w:rFonts w:ascii="宋体" w:hAnsi="宋体" w:cs="宋体"/>
          <w:sz w:val="24"/>
          <w:highlight w:val="none"/>
        </w:rPr>
      </w:pPr>
      <w:r>
        <w:rPr>
          <w:rFonts w:hint="eastAsia" w:ascii="宋体" w:hAnsi="宋体" w:cs="宋体"/>
          <w:sz w:val="24"/>
          <w:highlight w:val="none"/>
        </w:rPr>
        <w:t>其他相关采购文件。</w:t>
      </w:r>
    </w:p>
    <w:p w14:paraId="53946D3F">
      <w:pPr>
        <w:widowControl/>
        <w:shd w:val="clear" w:color="auto" w:fill="FFFFFF"/>
        <w:spacing w:line="360" w:lineRule="auto"/>
        <w:jc w:val="left"/>
        <w:rPr>
          <w:rFonts w:ascii="宋体" w:hAnsi="宋体" w:eastAsia="宋体" w:cs="宋体"/>
          <w:kern w:val="0"/>
          <w:sz w:val="24"/>
          <w:szCs w:val="24"/>
          <w:highlight w:val="none"/>
        </w:rPr>
      </w:pPr>
      <w:r>
        <w:rPr>
          <w:rFonts w:hint="eastAsia" w:ascii="宋体" w:hAnsi="宋体" w:eastAsia="宋体" w:cs="宋体"/>
          <w:b/>
          <w:bCs/>
          <w:kern w:val="0"/>
          <w:sz w:val="24"/>
          <w:szCs w:val="24"/>
          <w:highlight w:val="none"/>
        </w:rPr>
        <w:t>二、合同价款、采购内容：</w:t>
      </w:r>
    </w:p>
    <w:p w14:paraId="5AA41FB2">
      <w:pPr>
        <w:keepNext/>
        <w:keepLines w:val="0"/>
        <w:pageBreakBefore w:val="0"/>
        <w:widowControl/>
        <w:shd w:val="clear" w:color="auto" w:fill="FFFFFF"/>
        <w:kinsoku/>
        <w:wordWrap w:val="0"/>
        <w:overflowPunct w:val="0"/>
        <w:topLinePunct w:val="0"/>
        <w:autoSpaceDE w:val="0"/>
        <w:bidi w:val="0"/>
        <w:spacing w:line="360" w:lineRule="auto"/>
        <w:ind w:firstLine="480" w:firstLineChars="200"/>
        <w:jc w:val="left"/>
        <w:textAlignment w:val="baseline"/>
        <w:rPr>
          <w:rFonts w:ascii="宋体" w:hAnsi="宋体" w:eastAsia="宋体" w:cs="宋体"/>
          <w:kern w:val="28"/>
          <w:sz w:val="24"/>
          <w:szCs w:val="24"/>
          <w:highlight w:val="none"/>
        </w:rPr>
      </w:pPr>
      <w:r>
        <w:rPr>
          <w:rFonts w:hint="eastAsia" w:ascii="宋体" w:hAnsi="宋体" w:eastAsia="宋体" w:cs="宋体"/>
          <w:kern w:val="28"/>
          <w:sz w:val="24"/>
          <w:szCs w:val="24"/>
          <w:highlight w:val="none"/>
        </w:rPr>
        <w:t>1.合同价款</w:t>
      </w:r>
    </w:p>
    <w:p w14:paraId="21404621">
      <w:pPr>
        <w:keepNext/>
        <w:keepLines w:val="0"/>
        <w:pageBreakBefore w:val="0"/>
        <w:widowControl/>
        <w:shd w:val="clear" w:color="auto" w:fill="FFFFFF"/>
        <w:kinsoku/>
        <w:wordWrap w:val="0"/>
        <w:overflowPunct w:val="0"/>
        <w:topLinePunct w:val="0"/>
        <w:autoSpaceDE w:val="0"/>
        <w:bidi w:val="0"/>
        <w:spacing w:line="360" w:lineRule="auto"/>
        <w:ind w:firstLine="480" w:firstLineChars="200"/>
        <w:jc w:val="left"/>
        <w:textAlignment w:val="baseline"/>
        <w:rPr>
          <w:rFonts w:ascii="宋体" w:hAnsi="宋体" w:eastAsia="宋体" w:cs="宋体"/>
          <w:kern w:val="0"/>
          <w:sz w:val="24"/>
          <w:szCs w:val="24"/>
          <w:highlight w:val="none"/>
        </w:rPr>
      </w:pPr>
      <w:r>
        <w:rPr>
          <w:rFonts w:hint="eastAsia" w:ascii="宋体" w:hAnsi="宋体" w:eastAsia="宋体" w:cs="宋体"/>
          <w:kern w:val="28"/>
          <w:sz w:val="24"/>
          <w:szCs w:val="24"/>
          <w:highlight w:val="none"/>
        </w:rPr>
        <w:t>固定总价合同：本合同固定含税总价款为</w:t>
      </w:r>
      <w:r>
        <w:rPr>
          <w:rFonts w:hint="eastAsia" w:ascii="宋体" w:hAnsi="宋体" w:eastAsia="宋体" w:cs="宋体"/>
          <w:b/>
          <w:bCs/>
          <w:kern w:val="28"/>
          <w:sz w:val="24"/>
          <w:szCs w:val="24"/>
          <w:highlight w:val="none"/>
          <w:u w:val="single"/>
        </w:rPr>
        <w:t>RMB        元（大写：         )</w:t>
      </w:r>
      <w:r>
        <w:rPr>
          <w:rFonts w:hint="eastAsia" w:ascii="宋体" w:hAnsi="宋体" w:eastAsia="宋体" w:cs="宋体"/>
          <w:kern w:val="28"/>
          <w:sz w:val="24"/>
          <w:szCs w:val="24"/>
          <w:highlight w:val="none"/>
        </w:rPr>
        <w:t>，该合同总价包括但不限于材料费、包装、运</w:t>
      </w:r>
      <w:r>
        <w:rPr>
          <w:rFonts w:hint="eastAsia" w:ascii="宋体" w:hAnsi="宋体" w:eastAsia="宋体" w:cs="宋体"/>
          <w:kern w:val="0"/>
          <w:sz w:val="24"/>
          <w:szCs w:val="24"/>
          <w:highlight w:val="none"/>
        </w:rPr>
        <w:t>输、仓储、保管、保险、装卸（卸货至甲方指定地点）、安装</w:t>
      </w:r>
      <w:r>
        <w:rPr>
          <w:rFonts w:ascii="宋体" w:hAnsi="宋体" w:eastAsia="宋体" w:cs="宋体"/>
          <w:kern w:val="0"/>
          <w:sz w:val="24"/>
          <w:szCs w:val="24"/>
          <w:highlight w:val="none"/>
        </w:rPr>
        <w:t>调试、</w:t>
      </w:r>
      <w:r>
        <w:rPr>
          <w:rFonts w:hint="eastAsia" w:ascii="宋体" w:hAnsi="宋体" w:eastAsia="宋体" w:cs="宋体"/>
          <w:kern w:val="0"/>
          <w:sz w:val="24"/>
          <w:szCs w:val="24"/>
          <w:highlight w:val="none"/>
        </w:rPr>
        <w:t>利润、售后服务、相关税费及市场价格风险</w:t>
      </w:r>
      <w:r>
        <w:rPr>
          <w:rFonts w:hint="eastAsia" w:ascii="宋体" w:hAnsi="宋体" w:eastAsia="宋体" w:cs="宋体"/>
          <w:kern w:val="28"/>
          <w:sz w:val="24"/>
          <w:szCs w:val="24"/>
          <w:highlight w:val="none"/>
        </w:rPr>
        <w:t>、政策原因调整、社会干扰因素排除费用</w:t>
      </w:r>
      <w:r>
        <w:rPr>
          <w:rFonts w:hint="eastAsia" w:ascii="宋体" w:hAnsi="宋体" w:eastAsia="宋体" w:cs="宋体"/>
          <w:kern w:val="0"/>
          <w:sz w:val="24"/>
          <w:szCs w:val="24"/>
          <w:highlight w:val="none"/>
        </w:rPr>
        <w:t>在内等保障乙方妥善履行本合同项下义务的一切费用。</w:t>
      </w:r>
      <w:r>
        <w:rPr>
          <w:rFonts w:hint="eastAsia" w:ascii="宋体" w:hAnsi="宋体" w:eastAsia="宋体" w:cs="宋体"/>
          <w:sz w:val="24"/>
          <w:szCs w:val="24"/>
          <w:highlight w:val="none"/>
          <w:lang w:eastAsia="zh-Hans"/>
        </w:rPr>
        <w:t>除此之外</w:t>
      </w:r>
      <w:r>
        <w:rPr>
          <w:rFonts w:ascii="宋体" w:hAnsi="宋体" w:eastAsia="宋体" w:cs="宋体"/>
          <w:sz w:val="24"/>
          <w:szCs w:val="24"/>
          <w:highlight w:val="none"/>
          <w:lang w:eastAsia="zh-Hans"/>
        </w:rPr>
        <w:t>，</w:t>
      </w:r>
      <w:r>
        <w:rPr>
          <w:rFonts w:hint="eastAsia" w:ascii="宋体" w:hAnsi="宋体" w:eastAsia="宋体" w:cs="宋体"/>
          <w:sz w:val="24"/>
          <w:szCs w:val="24"/>
          <w:highlight w:val="none"/>
          <w:lang w:eastAsia="zh-Hans"/>
        </w:rPr>
        <w:t>甲方无需支付任何其他费用</w:t>
      </w:r>
      <w:r>
        <w:rPr>
          <w:rFonts w:ascii="宋体" w:hAnsi="宋体" w:eastAsia="宋体" w:cs="宋体"/>
          <w:sz w:val="24"/>
          <w:szCs w:val="24"/>
          <w:highlight w:val="none"/>
          <w:lang w:eastAsia="zh-Hans"/>
        </w:rPr>
        <w:t>。</w:t>
      </w:r>
    </w:p>
    <w:p w14:paraId="2211C4D4">
      <w:pPr>
        <w:keepNext/>
        <w:keepLines w:val="0"/>
        <w:pageBreakBefore w:val="0"/>
        <w:widowControl/>
        <w:kinsoku/>
        <w:wordWrap w:val="0"/>
        <w:overflowPunct w:val="0"/>
        <w:topLinePunct w:val="0"/>
        <w:autoSpaceDE w:val="0"/>
        <w:autoSpaceDN w:val="0"/>
        <w:bidi w:val="0"/>
        <w:adjustRightInd w:val="0"/>
        <w:snapToGrid w:val="0"/>
        <w:spacing w:line="360" w:lineRule="auto"/>
        <w:ind w:firstLine="561"/>
        <w:textAlignment w:val="baseline"/>
        <w:rPr>
          <w:rFonts w:ascii="宋体" w:hAnsi="宋体" w:eastAsia="宋体" w:cs="宋体"/>
          <w:sz w:val="24"/>
          <w:szCs w:val="24"/>
          <w:highlight w:val="none"/>
        </w:rPr>
      </w:pPr>
      <w:r>
        <w:rPr>
          <w:rFonts w:hint="eastAsia" w:ascii="宋体" w:hAnsi="宋体" w:eastAsia="宋体" w:cs="宋体"/>
          <w:sz w:val="24"/>
          <w:szCs w:val="24"/>
          <w:highlight w:val="none"/>
        </w:rPr>
        <w:t>2.采购内容清单</w:t>
      </w:r>
    </w:p>
    <w:tbl>
      <w:tblPr>
        <w:tblStyle w:val="7"/>
        <w:tblW w:w="9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992"/>
        <w:gridCol w:w="992"/>
        <w:gridCol w:w="993"/>
        <w:gridCol w:w="832"/>
        <w:gridCol w:w="1152"/>
        <w:gridCol w:w="850"/>
        <w:gridCol w:w="851"/>
        <w:gridCol w:w="992"/>
        <w:gridCol w:w="284"/>
        <w:gridCol w:w="850"/>
      </w:tblGrid>
      <w:tr w14:paraId="79A2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Align w:val="center"/>
          </w:tcPr>
          <w:p w14:paraId="0C560F3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992" w:type="dxa"/>
            <w:vAlign w:val="center"/>
          </w:tcPr>
          <w:p w14:paraId="3CABDC22">
            <w:pPr>
              <w:autoSpaceDN w:val="0"/>
              <w:adjustRightInd w:val="0"/>
              <w:snapToGrid w:val="0"/>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val="en-US" w:eastAsia="zh-CN"/>
              </w:rPr>
              <w:t>产品</w:t>
            </w:r>
          </w:p>
          <w:p w14:paraId="6564F6CC">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992" w:type="dxa"/>
            <w:vAlign w:val="center"/>
          </w:tcPr>
          <w:p w14:paraId="473A6A77">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993" w:type="dxa"/>
            <w:vAlign w:val="center"/>
          </w:tcPr>
          <w:p w14:paraId="4F141E2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规格型号</w:t>
            </w:r>
          </w:p>
        </w:tc>
        <w:tc>
          <w:tcPr>
            <w:tcW w:w="832" w:type="dxa"/>
            <w:vAlign w:val="center"/>
          </w:tcPr>
          <w:p w14:paraId="6347C472">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产地</w:t>
            </w:r>
          </w:p>
        </w:tc>
        <w:tc>
          <w:tcPr>
            <w:tcW w:w="1152" w:type="dxa"/>
            <w:vAlign w:val="center"/>
          </w:tcPr>
          <w:p w14:paraId="64016C77">
            <w:pPr>
              <w:autoSpaceDN w:val="0"/>
              <w:adjustRightInd w:val="0"/>
              <w:snapToGrid w:val="0"/>
              <w:jc w:val="center"/>
              <w:rPr>
                <w:rFonts w:hint="default" w:ascii="宋体" w:hAnsi="宋体" w:eastAsia="宋体" w:cs="宋体"/>
                <w:b/>
                <w:sz w:val="24"/>
                <w:szCs w:val="24"/>
                <w:highlight w:val="none"/>
                <w:lang w:val="en-US"/>
              </w:rPr>
            </w:pPr>
            <w:r>
              <w:rPr>
                <w:rFonts w:hint="eastAsia" w:ascii="宋体" w:hAnsi="宋体" w:eastAsia="宋体" w:cs="宋体"/>
                <w:b/>
                <w:sz w:val="24"/>
                <w:szCs w:val="24"/>
                <w:highlight w:val="none"/>
                <w:lang w:val="en-US" w:eastAsia="zh-CN"/>
              </w:rPr>
              <w:t>制造商名称</w:t>
            </w:r>
          </w:p>
        </w:tc>
        <w:tc>
          <w:tcPr>
            <w:tcW w:w="850" w:type="dxa"/>
            <w:vAlign w:val="center"/>
          </w:tcPr>
          <w:p w14:paraId="1DC5032A">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单位</w:t>
            </w:r>
          </w:p>
        </w:tc>
        <w:tc>
          <w:tcPr>
            <w:tcW w:w="851" w:type="dxa"/>
            <w:vAlign w:val="center"/>
          </w:tcPr>
          <w:p w14:paraId="40EB77F3">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992" w:type="dxa"/>
            <w:vAlign w:val="center"/>
          </w:tcPr>
          <w:p w14:paraId="19E98294">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1134" w:type="dxa"/>
            <w:gridSpan w:val="2"/>
            <w:vAlign w:val="center"/>
          </w:tcPr>
          <w:p w14:paraId="5677376D">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总 价</w:t>
            </w:r>
          </w:p>
          <w:p w14:paraId="3146B8E9">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（元）</w:t>
            </w:r>
          </w:p>
        </w:tc>
      </w:tr>
      <w:tr w14:paraId="0EBC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B7C2754">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1</w:t>
            </w:r>
          </w:p>
        </w:tc>
        <w:tc>
          <w:tcPr>
            <w:tcW w:w="992" w:type="dxa"/>
          </w:tcPr>
          <w:p w14:paraId="0325C541">
            <w:pPr>
              <w:autoSpaceDN w:val="0"/>
              <w:adjustRightInd w:val="0"/>
              <w:snapToGrid w:val="0"/>
              <w:rPr>
                <w:rFonts w:ascii="宋体" w:hAnsi="宋体" w:eastAsia="宋体" w:cs="宋体"/>
                <w:b/>
                <w:sz w:val="24"/>
                <w:szCs w:val="24"/>
                <w:highlight w:val="none"/>
              </w:rPr>
            </w:pPr>
          </w:p>
        </w:tc>
        <w:tc>
          <w:tcPr>
            <w:tcW w:w="992" w:type="dxa"/>
          </w:tcPr>
          <w:p w14:paraId="17807475">
            <w:pPr>
              <w:autoSpaceDN w:val="0"/>
              <w:adjustRightInd w:val="0"/>
              <w:snapToGrid w:val="0"/>
              <w:rPr>
                <w:rFonts w:ascii="宋体" w:hAnsi="宋体" w:eastAsia="宋体" w:cs="宋体"/>
                <w:b/>
                <w:sz w:val="24"/>
                <w:szCs w:val="24"/>
                <w:highlight w:val="none"/>
              </w:rPr>
            </w:pPr>
          </w:p>
        </w:tc>
        <w:tc>
          <w:tcPr>
            <w:tcW w:w="993" w:type="dxa"/>
          </w:tcPr>
          <w:p w14:paraId="3EFCA268">
            <w:pPr>
              <w:autoSpaceDN w:val="0"/>
              <w:adjustRightInd w:val="0"/>
              <w:snapToGrid w:val="0"/>
              <w:rPr>
                <w:rFonts w:ascii="宋体" w:hAnsi="宋体" w:eastAsia="宋体" w:cs="宋体"/>
                <w:b/>
                <w:sz w:val="24"/>
                <w:szCs w:val="24"/>
                <w:highlight w:val="none"/>
              </w:rPr>
            </w:pPr>
          </w:p>
        </w:tc>
        <w:tc>
          <w:tcPr>
            <w:tcW w:w="832" w:type="dxa"/>
          </w:tcPr>
          <w:p w14:paraId="0B0FB389">
            <w:pPr>
              <w:autoSpaceDN w:val="0"/>
              <w:adjustRightInd w:val="0"/>
              <w:snapToGrid w:val="0"/>
              <w:rPr>
                <w:rFonts w:ascii="宋体" w:hAnsi="宋体" w:eastAsia="宋体" w:cs="宋体"/>
                <w:b/>
                <w:kern w:val="0"/>
                <w:sz w:val="24"/>
                <w:szCs w:val="24"/>
                <w:highlight w:val="none"/>
              </w:rPr>
            </w:pPr>
          </w:p>
        </w:tc>
        <w:tc>
          <w:tcPr>
            <w:tcW w:w="1152" w:type="dxa"/>
          </w:tcPr>
          <w:p w14:paraId="5CB772D5">
            <w:pPr>
              <w:autoSpaceDN w:val="0"/>
              <w:adjustRightInd w:val="0"/>
              <w:snapToGrid w:val="0"/>
              <w:rPr>
                <w:rFonts w:ascii="宋体" w:hAnsi="宋体" w:eastAsia="宋体" w:cs="宋体"/>
                <w:b/>
                <w:kern w:val="0"/>
                <w:sz w:val="24"/>
                <w:szCs w:val="24"/>
                <w:highlight w:val="none"/>
              </w:rPr>
            </w:pPr>
          </w:p>
        </w:tc>
        <w:tc>
          <w:tcPr>
            <w:tcW w:w="850" w:type="dxa"/>
          </w:tcPr>
          <w:p w14:paraId="2F3BF9C4">
            <w:pPr>
              <w:autoSpaceDN w:val="0"/>
              <w:adjustRightInd w:val="0"/>
              <w:snapToGrid w:val="0"/>
              <w:rPr>
                <w:rFonts w:ascii="宋体" w:hAnsi="宋体" w:eastAsia="宋体" w:cs="宋体"/>
                <w:b/>
                <w:sz w:val="24"/>
                <w:szCs w:val="24"/>
                <w:highlight w:val="none"/>
              </w:rPr>
            </w:pPr>
          </w:p>
        </w:tc>
        <w:tc>
          <w:tcPr>
            <w:tcW w:w="851" w:type="dxa"/>
          </w:tcPr>
          <w:p w14:paraId="00A297E7">
            <w:pPr>
              <w:autoSpaceDN w:val="0"/>
              <w:adjustRightInd w:val="0"/>
              <w:snapToGrid w:val="0"/>
              <w:rPr>
                <w:rFonts w:ascii="宋体" w:hAnsi="宋体" w:eastAsia="宋体" w:cs="宋体"/>
                <w:b/>
                <w:sz w:val="24"/>
                <w:szCs w:val="24"/>
                <w:highlight w:val="none"/>
              </w:rPr>
            </w:pPr>
          </w:p>
        </w:tc>
        <w:tc>
          <w:tcPr>
            <w:tcW w:w="992" w:type="dxa"/>
          </w:tcPr>
          <w:p w14:paraId="01D7A1FA">
            <w:pPr>
              <w:autoSpaceDN w:val="0"/>
              <w:adjustRightInd w:val="0"/>
              <w:snapToGrid w:val="0"/>
              <w:rPr>
                <w:rFonts w:ascii="宋体" w:hAnsi="宋体" w:eastAsia="宋体" w:cs="宋体"/>
                <w:b/>
                <w:sz w:val="24"/>
                <w:szCs w:val="24"/>
                <w:highlight w:val="none"/>
              </w:rPr>
            </w:pPr>
          </w:p>
        </w:tc>
        <w:tc>
          <w:tcPr>
            <w:tcW w:w="1134" w:type="dxa"/>
            <w:gridSpan w:val="2"/>
          </w:tcPr>
          <w:p w14:paraId="160054CE">
            <w:pPr>
              <w:autoSpaceDN w:val="0"/>
              <w:adjustRightInd w:val="0"/>
              <w:snapToGrid w:val="0"/>
              <w:rPr>
                <w:rFonts w:ascii="宋体" w:hAnsi="宋体" w:eastAsia="宋体" w:cs="宋体"/>
                <w:b/>
                <w:sz w:val="24"/>
                <w:szCs w:val="24"/>
                <w:highlight w:val="none"/>
              </w:rPr>
            </w:pPr>
          </w:p>
        </w:tc>
      </w:tr>
      <w:tr w14:paraId="55AC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57E94EC">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2</w:t>
            </w:r>
          </w:p>
        </w:tc>
        <w:tc>
          <w:tcPr>
            <w:tcW w:w="992" w:type="dxa"/>
          </w:tcPr>
          <w:p w14:paraId="04CB578E">
            <w:pPr>
              <w:autoSpaceDN w:val="0"/>
              <w:adjustRightInd w:val="0"/>
              <w:snapToGrid w:val="0"/>
              <w:rPr>
                <w:rFonts w:ascii="宋体" w:hAnsi="宋体" w:eastAsia="宋体" w:cs="宋体"/>
                <w:b/>
                <w:sz w:val="24"/>
                <w:szCs w:val="24"/>
                <w:highlight w:val="none"/>
              </w:rPr>
            </w:pPr>
          </w:p>
        </w:tc>
        <w:tc>
          <w:tcPr>
            <w:tcW w:w="992" w:type="dxa"/>
          </w:tcPr>
          <w:p w14:paraId="4E19D6DB">
            <w:pPr>
              <w:autoSpaceDN w:val="0"/>
              <w:adjustRightInd w:val="0"/>
              <w:snapToGrid w:val="0"/>
              <w:rPr>
                <w:rFonts w:ascii="宋体" w:hAnsi="宋体" w:eastAsia="宋体" w:cs="宋体"/>
                <w:b/>
                <w:sz w:val="24"/>
                <w:szCs w:val="24"/>
                <w:highlight w:val="none"/>
              </w:rPr>
            </w:pPr>
          </w:p>
        </w:tc>
        <w:tc>
          <w:tcPr>
            <w:tcW w:w="993" w:type="dxa"/>
          </w:tcPr>
          <w:p w14:paraId="391C2D5C">
            <w:pPr>
              <w:autoSpaceDN w:val="0"/>
              <w:adjustRightInd w:val="0"/>
              <w:snapToGrid w:val="0"/>
              <w:rPr>
                <w:rFonts w:ascii="宋体" w:hAnsi="宋体" w:eastAsia="宋体" w:cs="宋体"/>
                <w:b/>
                <w:sz w:val="24"/>
                <w:szCs w:val="24"/>
                <w:highlight w:val="none"/>
              </w:rPr>
            </w:pPr>
          </w:p>
        </w:tc>
        <w:tc>
          <w:tcPr>
            <w:tcW w:w="832" w:type="dxa"/>
          </w:tcPr>
          <w:p w14:paraId="2387C5BA">
            <w:pPr>
              <w:autoSpaceDN w:val="0"/>
              <w:adjustRightInd w:val="0"/>
              <w:snapToGrid w:val="0"/>
              <w:rPr>
                <w:rFonts w:ascii="宋体" w:hAnsi="宋体" w:eastAsia="宋体" w:cs="宋体"/>
                <w:b/>
                <w:kern w:val="0"/>
                <w:sz w:val="24"/>
                <w:szCs w:val="24"/>
                <w:highlight w:val="none"/>
              </w:rPr>
            </w:pPr>
          </w:p>
        </w:tc>
        <w:tc>
          <w:tcPr>
            <w:tcW w:w="1152" w:type="dxa"/>
          </w:tcPr>
          <w:p w14:paraId="66E8C546">
            <w:pPr>
              <w:autoSpaceDN w:val="0"/>
              <w:adjustRightInd w:val="0"/>
              <w:snapToGrid w:val="0"/>
              <w:rPr>
                <w:rFonts w:ascii="宋体" w:hAnsi="宋体" w:eastAsia="宋体" w:cs="宋体"/>
                <w:b/>
                <w:kern w:val="0"/>
                <w:sz w:val="24"/>
                <w:szCs w:val="24"/>
                <w:highlight w:val="none"/>
              </w:rPr>
            </w:pPr>
          </w:p>
        </w:tc>
        <w:tc>
          <w:tcPr>
            <w:tcW w:w="850" w:type="dxa"/>
          </w:tcPr>
          <w:p w14:paraId="446F9BE1">
            <w:pPr>
              <w:autoSpaceDN w:val="0"/>
              <w:adjustRightInd w:val="0"/>
              <w:snapToGrid w:val="0"/>
              <w:rPr>
                <w:rFonts w:ascii="宋体" w:hAnsi="宋体" w:eastAsia="宋体" w:cs="宋体"/>
                <w:b/>
                <w:sz w:val="24"/>
                <w:szCs w:val="24"/>
                <w:highlight w:val="none"/>
              </w:rPr>
            </w:pPr>
          </w:p>
        </w:tc>
        <w:tc>
          <w:tcPr>
            <w:tcW w:w="851" w:type="dxa"/>
          </w:tcPr>
          <w:p w14:paraId="3E1C28EB">
            <w:pPr>
              <w:autoSpaceDN w:val="0"/>
              <w:adjustRightInd w:val="0"/>
              <w:snapToGrid w:val="0"/>
              <w:rPr>
                <w:rFonts w:ascii="宋体" w:hAnsi="宋体" w:eastAsia="宋体" w:cs="宋体"/>
                <w:b/>
                <w:sz w:val="24"/>
                <w:szCs w:val="24"/>
                <w:highlight w:val="none"/>
              </w:rPr>
            </w:pPr>
          </w:p>
        </w:tc>
        <w:tc>
          <w:tcPr>
            <w:tcW w:w="992" w:type="dxa"/>
          </w:tcPr>
          <w:p w14:paraId="4C8328B5">
            <w:pPr>
              <w:autoSpaceDN w:val="0"/>
              <w:adjustRightInd w:val="0"/>
              <w:snapToGrid w:val="0"/>
              <w:rPr>
                <w:rFonts w:ascii="宋体" w:hAnsi="宋体" w:eastAsia="宋体" w:cs="宋体"/>
                <w:b/>
                <w:sz w:val="24"/>
                <w:szCs w:val="24"/>
                <w:highlight w:val="none"/>
              </w:rPr>
            </w:pPr>
          </w:p>
        </w:tc>
        <w:tc>
          <w:tcPr>
            <w:tcW w:w="1134" w:type="dxa"/>
            <w:gridSpan w:val="2"/>
          </w:tcPr>
          <w:p w14:paraId="6F754FFB">
            <w:pPr>
              <w:autoSpaceDN w:val="0"/>
              <w:adjustRightInd w:val="0"/>
              <w:snapToGrid w:val="0"/>
              <w:rPr>
                <w:rFonts w:ascii="宋体" w:hAnsi="宋体" w:eastAsia="宋体" w:cs="宋体"/>
                <w:b/>
                <w:sz w:val="24"/>
                <w:szCs w:val="24"/>
                <w:highlight w:val="none"/>
              </w:rPr>
            </w:pPr>
          </w:p>
        </w:tc>
      </w:tr>
      <w:tr w14:paraId="735C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7CFD2FD">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w:t>
            </w:r>
          </w:p>
        </w:tc>
        <w:tc>
          <w:tcPr>
            <w:tcW w:w="992" w:type="dxa"/>
          </w:tcPr>
          <w:p w14:paraId="00619445">
            <w:pPr>
              <w:autoSpaceDN w:val="0"/>
              <w:adjustRightInd w:val="0"/>
              <w:snapToGrid w:val="0"/>
              <w:rPr>
                <w:rFonts w:ascii="宋体" w:hAnsi="宋体" w:eastAsia="宋体" w:cs="宋体"/>
                <w:b/>
                <w:kern w:val="0"/>
                <w:sz w:val="24"/>
                <w:szCs w:val="24"/>
                <w:highlight w:val="none"/>
              </w:rPr>
            </w:pPr>
          </w:p>
        </w:tc>
        <w:tc>
          <w:tcPr>
            <w:tcW w:w="992" w:type="dxa"/>
          </w:tcPr>
          <w:p w14:paraId="60E33744">
            <w:pPr>
              <w:autoSpaceDN w:val="0"/>
              <w:adjustRightInd w:val="0"/>
              <w:snapToGrid w:val="0"/>
              <w:rPr>
                <w:rFonts w:ascii="宋体" w:hAnsi="宋体" w:eastAsia="宋体" w:cs="宋体"/>
                <w:b/>
                <w:kern w:val="0"/>
                <w:sz w:val="24"/>
                <w:szCs w:val="24"/>
                <w:highlight w:val="none"/>
              </w:rPr>
            </w:pPr>
          </w:p>
        </w:tc>
        <w:tc>
          <w:tcPr>
            <w:tcW w:w="993" w:type="dxa"/>
          </w:tcPr>
          <w:p w14:paraId="5538DB84">
            <w:pPr>
              <w:autoSpaceDN w:val="0"/>
              <w:adjustRightInd w:val="0"/>
              <w:snapToGrid w:val="0"/>
              <w:rPr>
                <w:rFonts w:ascii="宋体" w:hAnsi="宋体" w:eastAsia="宋体" w:cs="宋体"/>
                <w:b/>
                <w:kern w:val="0"/>
                <w:sz w:val="24"/>
                <w:szCs w:val="24"/>
                <w:highlight w:val="none"/>
              </w:rPr>
            </w:pPr>
          </w:p>
        </w:tc>
        <w:tc>
          <w:tcPr>
            <w:tcW w:w="832" w:type="dxa"/>
          </w:tcPr>
          <w:p w14:paraId="1DE189AA">
            <w:pPr>
              <w:autoSpaceDN w:val="0"/>
              <w:adjustRightInd w:val="0"/>
              <w:snapToGrid w:val="0"/>
              <w:rPr>
                <w:rFonts w:ascii="宋体" w:hAnsi="宋体" w:eastAsia="宋体" w:cs="宋体"/>
                <w:b/>
                <w:kern w:val="0"/>
                <w:sz w:val="24"/>
                <w:szCs w:val="24"/>
                <w:highlight w:val="none"/>
              </w:rPr>
            </w:pPr>
          </w:p>
        </w:tc>
        <w:tc>
          <w:tcPr>
            <w:tcW w:w="1152" w:type="dxa"/>
          </w:tcPr>
          <w:p w14:paraId="1C583363">
            <w:pPr>
              <w:autoSpaceDN w:val="0"/>
              <w:adjustRightInd w:val="0"/>
              <w:snapToGrid w:val="0"/>
              <w:rPr>
                <w:rFonts w:ascii="宋体" w:hAnsi="宋体" w:eastAsia="宋体" w:cs="宋体"/>
                <w:b/>
                <w:kern w:val="0"/>
                <w:sz w:val="24"/>
                <w:szCs w:val="24"/>
                <w:highlight w:val="none"/>
              </w:rPr>
            </w:pPr>
          </w:p>
        </w:tc>
        <w:tc>
          <w:tcPr>
            <w:tcW w:w="850" w:type="dxa"/>
          </w:tcPr>
          <w:p w14:paraId="14055A98">
            <w:pPr>
              <w:autoSpaceDN w:val="0"/>
              <w:adjustRightInd w:val="0"/>
              <w:snapToGrid w:val="0"/>
              <w:rPr>
                <w:rFonts w:ascii="宋体" w:hAnsi="宋体" w:eastAsia="宋体" w:cs="宋体"/>
                <w:b/>
                <w:kern w:val="0"/>
                <w:sz w:val="24"/>
                <w:szCs w:val="24"/>
                <w:highlight w:val="none"/>
              </w:rPr>
            </w:pPr>
          </w:p>
        </w:tc>
        <w:tc>
          <w:tcPr>
            <w:tcW w:w="851" w:type="dxa"/>
          </w:tcPr>
          <w:p w14:paraId="7CA874EE">
            <w:pPr>
              <w:autoSpaceDN w:val="0"/>
              <w:adjustRightInd w:val="0"/>
              <w:snapToGrid w:val="0"/>
              <w:rPr>
                <w:rFonts w:ascii="宋体" w:hAnsi="宋体" w:eastAsia="宋体" w:cs="宋体"/>
                <w:b/>
                <w:kern w:val="0"/>
                <w:sz w:val="24"/>
                <w:szCs w:val="24"/>
                <w:highlight w:val="none"/>
              </w:rPr>
            </w:pPr>
          </w:p>
        </w:tc>
        <w:tc>
          <w:tcPr>
            <w:tcW w:w="992" w:type="dxa"/>
          </w:tcPr>
          <w:p w14:paraId="14B3016E">
            <w:pPr>
              <w:autoSpaceDN w:val="0"/>
              <w:adjustRightInd w:val="0"/>
              <w:snapToGrid w:val="0"/>
              <w:rPr>
                <w:rFonts w:ascii="宋体" w:hAnsi="宋体" w:eastAsia="宋体" w:cs="宋体"/>
                <w:b/>
                <w:kern w:val="0"/>
                <w:sz w:val="24"/>
                <w:szCs w:val="24"/>
                <w:highlight w:val="none"/>
              </w:rPr>
            </w:pPr>
          </w:p>
        </w:tc>
        <w:tc>
          <w:tcPr>
            <w:tcW w:w="1134" w:type="dxa"/>
            <w:gridSpan w:val="2"/>
          </w:tcPr>
          <w:p w14:paraId="41FC4AD6">
            <w:pPr>
              <w:autoSpaceDN w:val="0"/>
              <w:adjustRightInd w:val="0"/>
              <w:snapToGrid w:val="0"/>
              <w:rPr>
                <w:rFonts w:ascii="宋体" w:hAnsi="宋体" w:eastAsia="宋体" w:cs="宋体"/>
                <w:b/>
                <w:kern w:val="0"/>
                <w:sz w:val="24"/>
                <w:szCs w:val="24"/>
                <w:highlight w:val="none"/>
              </w:rPr>
            </w:pPr>
          </w:p>
        </w:tc>
      </w:tr>
      <w:tr w14:paraId="3240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19" w:type="dxa"/>
            <w:gridSpan w:val="10"/>
          </w:tcPr>
          <w:p w14:paraId="37966DA7">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合计金额</w:t>
            </w:r>
            <w:r>
              <w:rPr>
                <w:rFonts w:hint="eastAsia" w:ascii="宋体" w:hAnsi="宋体" w:eastAsia="宋体" w:cs="宋体"/>
                <w:sz w:val="24"/>
                <w:szCs w:val="24"/>
                <w:highlight w:val="none"/>
              </w:rPr>
              <w:t>（小写）</w:t>
            </w:r>
            <w:r>
              <w:rPr>
                <w:rFonts w:hint="eastAsia" w:ascii="宋体" w:hAnsi="宋体" w:eastAsia="宋体" w:cs="宋体"/>
                <w:b/>
                <w:kern w:val="0"/>
                <w:sz w:val="24"/>
                <w:szCs w:val="24"/>
                <w:highlight w:val="none"/>
              </w:rPr>
              <w:t>：</w:t>
            </w:r>
            <w:r>
              <w:rPr>
                <w:rFonts w:hint="eastAsia" w:ascii="宋体" w:hAnsi="宋体" w:eastAsia="宋体" w:cs="宋体"/>
                <w:sz w:val="24"/>
                <w:szCs w:val="24"/>
                <w:highlight w:val="none"/>
              </w:rPr>
              <w:t>¥</w:t>
            </w:r>
            <w:r>
              <w:rPr>
                <w:rFonts w:hint="eastAsia" w:ascii="宋体" w:hAnsi="宋体" w:eastAsia="宋体" w:cs="宋体"/>
                <w:bCs/>
                <w:kern w:val="28"/>
                <w:sz w:val="24"/>
                <w:szCs w:val="24"/>
                <w:highlight w:val="none"/>
                <w:u w:val="single"/>
              </w:rPr>
              <w:t xml:space="preserve">          </w:t>
            </w:r>
            <w:r>
              <w:rPr>
                <w:rFonts w:hint="eastAsia" w:ascii="宋体" w:hAnsi="宋体" w:eastAsia="宋体" w:cs="宋体"/>
                <w:sz w:val="24"/>
                <w:szCs w:val="24"/>
                <w:highlight w:val="none"/>
              </w:rPr>
              <w:t>（大写）：</w:t>
            </w:r>
            <w:r>
              <w:rPr>
                <w:rFonts w:hint="eastAsia" w:ascii="宋体" w:hAnsi="宋体" w:eastAsia="宋体" w:cs="宋体"/>
                <w:bCs/>
                <w:kern w:val="28"/>
                <w:sz w:val="24"/>
                <w:szCs w:val="24"/>
                <w:highlight w:val="none"/>
                <w:u w:val="single"/>
              </w:rPr>
              <w:t xml:space="preserve">          </w:t>
            </w:r>
          </w:p>
        </w:tc>
        <w:tc>
          <w:tcPr>
            <w:tcW w:w="850" w:type="dxa"/>
          </w:tcPr>
          <w:p w14:paraId="195FC46F">
            <w:pPr>
              <w:autoSpaceDN w:val="0"/>
              <w:adjustRightInd w:val="0"/>
              <w:snapToGrid w:val="0"/>
              <w:rPr>
                <w:rFonts w:hint="eastAsia" w:ascii="宋体" w:hAnsi="宋体" w:eastAsia="宋体" w:cs="宋体"/>
                <w:b/>
                <w:kern w:val="0"/>
                <w:sz w:val="24"/>
                <w:szCs w:val="24"/>
                <w:highlight w:val="none"/>
              </w:rPr>
            </w:pPr>
          </w:p>
        </w:tc>
      </w:tr>
    </w:tbl>
    <w:p w14:paraId="64161F4D">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3.采购内容主要技术参数</w:t>
      </w:r>
    </w:p>
    <w:p w14:paraId="79B5423A">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以招标/采购文件、投标/响应文件内容为准填写，详见附件。</w:t>
      </w:r>
    </w:p>
    <w:bookmarkEnd w:id="5"/>
    <w:bookmarkEnd w:id="6"/>
    <w:p w14:paraId="02B4D60C">
      <w:pPr>
        <w:widowControl/>
        <w:shd w:val="clear" w:color="auto" w:fill="FFFFFF"/>
        <w:spacing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w:t>
      </w:r>
      <w:r>
        <w:rPr>
          <w:rFonts w:hint="eastAsia" w:ascii="宋体" w:hAnsi="宋体" w:eastAsia="宋体" w:cs="宋体"/>
          <w:b/>
          <w:kern w:val="0"/>
          <w:sz w:val="24"/>
          <w:szCs w:val="24"/>
          <w:highlight w:val="none"/>
        </w:rPr>
        <w:t>交货及安装</w:t>
      </w:r>
      <w:r>
        <w:rPr>
          <w:rFonts w:ascii="宋体" w:hAnsi="宋体" w:eastAsia="宋体" w:cs="宋体"/>
          <w:b/>
          <w:kern w:val="0"/>
          <w:sz w:val="24"/>
          <w:szCs w:val="24"/>
          <w:highlight w:val="none"/>
        </w:rPr>
        <w:t>调试</w:t>
      </w:r>
      <w:r>
        <w:rPr>
          <w:rFonts w:hint="eastAsia" w:ascii="宋体" w:hAnsi="宋体" w:eastAsia="宋体" w:cs="宋体"/>
          <w:b/>
          <w:bCs/>
          <w:kern w:val="0"/>
          <w:sz w:val="24"/>
          <w:szCs w:val="24"/>
          <w:highlight w:val="none"/>
        </w:rPr>
        <w:t>期、交货地点、质量保证期</w:t>
      </w:r>
    </w:p>
    <w:p w14:paraId="04C9A8E7">
      <w:pPr>
        <w:widowControl/>
        <w:shd w:val="clear" w:color="auto" w:fill="FFFFFF"/>
        <w:spacing w:line="360" w:lineRule="auto"/>
        <w:ind w:firstLine="480" w:firstLineChars="200"/>
        <w:jc w:val="lef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rPr>
        <w:t>交货</w:t>
      </w:r>
      <w:r>
        <w:rPr>
          <w:rFonts w:hint="eastAsia" w:ascii="宋体" w:hAnsi="宋体" w:eastAsia="宋体" w:cs="宋体"/>
          <w:kern w:val="0"/>
          <w:sz w:val="24"/>
          <w:szCs w:val="24"/>
          <w:highlight w:val="none"/>
          <w:lang w:val="en-US" w:eastAsia="zh-CN"/>
        </w:rPr>
        <w:t>期：</w:t>
      </w:r>
      <w:r>
        <w:rPr>
          <w:rFonts w:hint="eastAsia" w:ascii="宋体" w:hAnsi="宋体" w:eastAsia="宋体" w:cs="宋体"/>
          <w:color w:val="000000"/>
          <w:kern w:val="0"/>
          <w:sz w:val="24"/>
          <w:szCs w:val="24"/>
          <w:highlight w:val="none"/>
          <w:u w:val="single"/>
        </w:rPr>
        <w:t>合同签订之日起      个日历日内</w:t>
      </w:r>
      <w:r>
        <w:rPr>
          <w:rFonts w:hint="eastAsia" w:ascii="宋体" w:hAnsi="宋体" w:eastAsia="宋体" w:cs="宋体"/>
          <w:color w:val="000000"/>
          <w:kern w:val="0"/>
          <w:sz w:val="24"/>
          <w:szCs w:val="24"/>
          <w:highlight w:val="none"/>
          <w:u w:val="single"/>
          <w:lang w:val="en-US" w:eastAsia="zh-CN"/>
        </w:rPr>
        <w:t>乙方将全部货物送达甲方指定地点；</w:t>
      </w:r>
    </w:p>
    <w:p w14:paraId="19A7FB08">
      <w:pPr>
        <w:widowControl/>
        <w:shd w:val="clear" w:color="auto" w:fill="FFFFFF"/>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安装</w:t>
      </w:r>
      <w:r>
        <w:rPr>
          <w:rFonts w:ascii="宋体" w:hAnsi="宋体" w:eastAsia="宋体" w:cs="宋体"/>
          <w:kern w:val="0"/>
          <w:sz w:val="24"/>
          <w:szCs w:val="24"/>
          <w:highlight w:val="none"/>
        </w:rPr>
        <w:t>调试期</w:t>
      </w:r>
      <w:r>
        <w:rPr>
          <w:rFonts w:hint="eastAsia" w:ascii="宋体" w:hAnsi="宋体" w:eastAsia="宋体" w:cs="宋体"/>
          <w:kern w:val="0"/>
          <w:sz w:val="24"/>
          <w:szCs w:val="24"/>
          <w:highlight w:val="none"/>
        </w:rPr>
        <w:t>：</w:t>
      </w:r>
      <w:r>
        <w:rPr>
          <w:rFonts w:hint="eastAsia" w:ascii="宋体" w:hAnsi="宋体" w:eastAsia="宋体" w:cs="宋体"/>
          <w:color w:val="000000"/>
          <w:kern w:val="0"/>
          <w:sz w:val="24"/>
          <w:szCs w:val="24"/>
          <w:highlight w:val="none"/>
          <w:u w:val="single"/>
          <w:lang w:val="en-US" w:eastAsia="zh-CN"/>
        </w:rPr>
        <w:t>到货</w:t>
      </w:r>
      <w:r>
        <w:rPr>
          <w:rFonts w:hint="eastAsia" w:ascii="宋体" w:hAnsi="宋体" w:eastAsia="宋体" w:cs="宋体"/>
          <w:color w:val="000000"/>
          <w:kern w:val="0"/>
          <w:sz w:val="24"/>
          <w:szCs w:val="24"/>
          <w:highlight w:val="none"/>
          <w:u w:val="single"/>
        </w:rPr>
        <w:t>之日起      个日历日内</w:t>
      </w:r>
      <w:r>
        <w:rPr>
          <w:rFonts w:hint="eastAsia" w:ascii="宋体" w:hAnsi="宋体" w:eastAsia="宋体" w:cs="宋体"/>
          <w:color w:val="000000"/>
          <w:kern w:val="0"/>
          <w:sz w:val="24"/>
          <w:szCs w:val="24"/>
          <w:highlight w:val="none"/>
          <w:u w:val="single"/>
          <w:lang w:val="en-US" w:eastAsia="zh-CN"/>
        </w:rPr>
        <w:t>完成全部安装、调试工作，确保项目达到交付使用条件</w:t>
      </w:r>
      <w:r>
        <w:rPr>
          <w:rFonts w:hint="eastAsia" w:ascii="宋体" w:hAnsi="宋体" w:eastAsia="宋体" w:cs="宋体"/>
          <w:color w:val="000000"/>
          <w:kern w:val="0"/>
          <w:sz w:val="24"/>
          <w:szCs w:val="24"/>
          <w:highlight w:val="none"/>
        </w:rPr>
        <w:t>；</w:t>
      </w:r>
      <w:r>
        <w:rPr>
          <w:rFonts w:hint="eastAsia" w:ascii="宋体" w:hAnsi="宋体" w:eastAsia="宋体" w:cs="宋体"/>
          <w:kern w:val="0"/>
          <w:sz w:val="24"/>
          <w:szCs w:val="24"/>
          <w:highlight w:val="none"/>
        </w:rPr>
        <w:t xml:space="preserve">      </w:t>
      </w:r>
    </w:p>
    <w:p w14:paraId="2089F1F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交货地点为：</w:t>
      </w:r>
      <w:r>
        <w:rPr>
          <w:rFonts w:hint="eastAsia" w:ascii="宋体" w:hAnsi="宋体" w:eastAsia="宋体" w:cs="宋体"/>
          <w:kern w:val="0"/>
          <w:sz w:val="24"/>
          <w:szCs w:val="24"/>
          <w:highlight w:val="none"/>
          <w:u w:val="single"/>
        </w:rPr>
        <w:t>甲方指定地点</w:t>
      </w:r>
      <w:r>
        <w:rPr>
          <w:rFonts w:hint="eastAsia" w:ascii="宋体" w:hAnsi="宋体" w:eastAsia="宋体" w:cs="宋体"/>
          <w:kern w:val="0"/>
          <w:sz w:val="24"/>
          <w:szCs w:val="24"/>
          <w:highlight w:val="none"/>
        </w:rPr>
        <w:t>；</w:t>
      </w:r>
    </w:p>
    <w:p w14:paraId="1B524073">
      <w:pPr>
        <w:widowControl/>
        <w:shd w:val="clear" w:color="auto" w:fill="FFFFFF"/>
        <w:spacing w:line="360" w:lineRule="auto"/>
        <w:ind w:firstLine="480" w:firstLineChars="200"/>
        <w:jc w:val="left"/>
        <w:rPr>
          <w:rFonts w:hint="eastAsia" w:ascii="宋体" w:hAnsi="宋体" w:eastAsia="宋体" w:cs="宋体"/>
          <w:kern w:val="28"/>
          <w:sz w:val="24"/>
          <w:szCs w:val="24"/>
          <w:highlight w:val="none"/>
          <w:lang w:eastAsia="zh-CN"/>
        </w:rPr>
      </w:pP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rPr>
        <w:t>质量保证期为</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u w:val="single"/>
        </w:rPr>
        <w:t xml:space="preserve">     月/年，自甲方</w:t>
      </w:r>
      <w:r>
        <w:rPr>
          <w:rFonts w:hint="eastAsia" w:ascii="宋体" w:hAnsi="宋体" w:eastAsia="宋体" w:cs="宋体"/>
          <w:color w:val="000000"/>
          <w:kern w:val="0"/>
          <w:sz w:val="24"/>
          <w:szCs w:val="24"/>
          <w:highlight w:val="none"/>
          <w:u w:val="single"/>
          <w:lang w:val="en-US" w:eastAsia="zh-CN"/>
        </w:rPr>
        <w:t>最终</w:t>
      </w:r>
      <w:r>
        <w:rPr>
          <w:rFonts w:hint="eastAsia" w:ascii="宋体" w:hAnsi="宋体" w:eastAsia="宋体" w:cs="宋体"/>
          <w:color w:val="000000"/>
          <w:kern w:val="0"/>
          <w:sz w:val="24"/>
          <w:szCs w:val="24"/>
          <w:highlight w:val="none"/>
          <w:u w:val="single"/>
        </w:rPr>
        <w:t>书面验收合格之日起算</w:t>
      </w:r>
      <w:r>
        <w:rPr>
          <w:rFonts w:hint="eastAsia" w:ascii="宋体" w:hAnsi="宋体" w:eastAsia="宋体" w:cs="宋体"/>
          <w:color w:val="000000"/>
          <w:kern w:val="0"/>
          <w:sz w:val="24"/>
          <w:szCs w:val="24"/>
          <w:highlight w:val="none"/>
          <w:lang w:eastAsia="zh-CN"/>
        </w:rPr>
        <w:t>。</w:t>
      </w:r>
    </w:p>
    <w:p w14:paraId="169F6B6A">
      <w:pPr>
        <w:autoSpaceDN w:val="0"/>
        <w:adjustRightInd w:val="0"/>
        <w:snapToGrid w:val="0"/>
        <w:spacing w:line="360" w:lineRule="auto"/>
        <w:rPr>
          <w:rFonts w:ascii="宋体" w:hAnsi="宋体" w:eastAsia="宋体" w:cs="宋体"/>
          <w:b/>
          <w:bCs/>
          <w:kern w:val="0"/>
          <w:sz w:val="24"/>
          <w:szCs w:val="24"/>
          <w:highlight w:val="none"/>
        </w:rPr>
      </w:pPr>
      <w:r>
        <w:rPr>
          <w:rFonts w:hint="eastAsia" w:ascii="宋体" w:hAnsi="宋体" w:eastAsia="宋体" w:cs="宋体"/>
          <w:b/>
          <w:bCs/>
          <w:color w:val="000000"/>
          <w:kern w:val="0"/>
          <w:sz w:val="24"/>
          <w:szCs w:val="24"/>
          <w:highlight w:val="none"/>
        </w:rPr>
        <w:t>四、</w:t>
      </w:r>
      <w:r>
        <w:rPr>
          <w:rFonts w:hint="eastAsia" w:ascii="宋体" w:hAnsi="宋体" w:eastAsia="宋体" w:cs="宋体"/>
          <w:b/>
          <w:bCs/>
          <w:kern w:val="0"/>
          <w:sz w:val="24"/>
          <w:szCs w:val="24"/>
          <w:highlight w:val="none"/>
        </w:rPr>
        <w:t>付款方式</w:t>
      </w:r>
    </w:p>
    <w:p w14:paraId="46772C32">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1.分期付款</w:t>
      </w:r>
    </w:p>
    <w:p w14:paraId="5C508B0D">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（1）乙方将本合同项下所有货物</w:t>
      </w:r>
      <w:r>
        <w:rPr>
          <w:rFonts w:hint="eastAsia" w:ascii="宋体" w:hAnsi="宋体" w:eastAsia="宋体" w:cs="宋体"/>
          <w:kern w:val="0"/>
          <w:sz w:val="24"/>
          <w:szCs w:val="24"/>
          <w:highlight w:val="none"/>
        </w:rPr>
        <w:t>运送到甲方指定地点后，甲方进行到货</w:t>
      </w:r>
      <w:r>
        <w:rPr>
          <w:rFonts w:hint="eastAsia" w:ascii="宋体" w:hAnsi="宋体" w:eastAsia="宋体" w:cs="宋体"/>
          <w:kern w:val="0"/>
          <w:sz w:val="24"/>
          <w:szCs w:val="24"/>
          <w:highlight w:val="none"/>
          <w:lang w:val="en-US" w:eastAsia="zh-CN"/>
        </w:rPr>
        <w:t>开箱</w:t>
      </w:r>
      <w:r>
        <w:rPr>
          <w:rFonts w:hint="eastAsia" w:ascii="宋体" w:hAnsi="宋体" w:eastAsia="宋体" w:cs="宋体"/>
          <w:kern w:val="0"/>
          <w:sz w:val="24"/>
          <w:szCs w:val="24"/>
          <w:highlight w:val="none"/>
        </w:rPr>
        <w:t>验收</w:t>
      </w:r>
      <w:r>
        <w:rPr>
          <w:rFonts w:hint="eastAsia" w:ascii="宋体" w:hAnsi="宋体" w:eastAsia="宋体" w:cs="宋体"/>
          <w:sz w:val="24"/>
          <w:szCs w:val="24"/>
          <w:highlight w:val="none"/>
        </w:rPr>
        <w:t>，书面验收合格后，乙方开具合法且符合甲方要求的合同款项</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%的增值税专用发票，甲方收到乙方发票后</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0日内，</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160B14C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（2）乙方负责完成货物安装调试，试</w:t>
      </w:r>
      <w:r>
        <w:rPr>
          <w:rFonts w:ascii="宋体" w:hAnsi="宋体" w:eastAsia="宋体" w:cs="宋体"/>
          <w:sz w:val="24"/>
          <w:szCs w:val="24"/>
          <w:highlight w:val="none"/>
        </w:rPr>
        <w:t>运行</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且达到平稳运营条件</w:t>
      </w:r>
      <w:r>
        <w:rPr>
          <w:rFonts w:hint="eastAsia" w:ascii="宋体" w:hAnsi="宋体" w:eastAsia="宋体" w:cs="宋体"/>
          <w:sz w:val="24"/>
          <w:szCs w:val="24"/>
          <w:highlight w:val="none"/>
        </w:rPr>
        <w:t>后向甲方申请验收，在</w:t>
      </w:r>
      <w:r>
        <w:rPr>
          <w:rFonts w:hint="eastAsia" w:ascii="宋体" w:hAnsi="宋体" w:eastAsia="宋体" w:cs="宋体"/>
          <w:sz w:val="24"/>
          <w:szCs w:val="24"/>
          <w:highlight w:val="none"/>
          <w:u w:val="single"/>
        </w:rPr>
        <w:t>30日</w:t>
      </w:r>
      <w:r>
        <w:rPr>
          <w:rFonts w:hint="eastAsia" w:ascii="宋体" w:hAnsi="宋体" w:eastAsia="宋体" w:cs="宋体"/>
          <w:sz w:val="24"/>
          <w:szCs w:val="24"/>
          <w:highlight w:val="none"/>
        </w:rPr>
        <w:t>内甲方进行</w:t>
      </w:r>
      <w:r>
        <w:rPr>
          <w:rFonts w:hint="eastAsia" w:ascii="宋体" w:hAnsi="宋体" w:eastAsia="宋体" w:cs="宋体"/>
          <w:sz w:val="24"/>
          <w:szCs w:val="24"/>
          <w:highlight w:val="none"/>
          <w:lang w:val="en-US" w:eastAsia="zh-CN"/>
        </w:rPr>
        <w:t>最终</w:t>
      </w:r>
      <w:r>
        <w:rPr>
          <w:rFonts w:hint="eastAsia" w:ascii="宋体" w:hAnsi="宋体" w:eastAsia="宋体" w:cs="宋体"/>
          <w:sz w:val="24"/>
          <w:szCs w:val="24"/>
          <w:highlight w:val="none"/>
        </w:rPr>
        <w:t>验收，书面验收合格且无索赔争议后，甲方在</w:t>
      </w:r>
      <w:r>
        <w:rPr>
          <w:rFonts w:hint="eastAsia" w:ascii="宋体" w:hAnsi="宋体" w:eastAsia="宋体" w:cs="宋体"/>
          <w:sz w:val="24"/>
          <w:szCs w:val="24"/>
          <w:highlight w:val="none"/>
          <w:u w:val="single"/>
        </w:rPr>
        <w:t>30日</w:t>
      </w:r>
      <w:r>
        <w:rPr>
          <w:rFonts w:hint="eastAsia" w:ascii="宋体" w:hAnsi="宋体" w:eastAsia="宋体" w:cs="宋体"/>
          <w:sz w:val="24"/>
          <w:szCs w:val="24"/>
          <w:highlight w:val="none"/>
        </w:rPr>
        <w:t>内办理合同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0%</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元的支付手续。</w:t>
      </w:r>
    </w:p>
    <w:p w14:paraId="68C4BF44">
      <w:pPr>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乙方逾期提供发票或提供发票不符合要求的，甲方有权迟延付款且不承担任何责任。</w:t>
      </w:r>
    </w:p>
    <w:p w14:paraId="6B88E4B4">
      <w:pPr>
        <w:widowControl/>
        <w:shd w:val="clear" w:color="auto" w:fill="FFFFFF"/>
        <w:spacing w:line="360" w:lineRule="auto"/>
        <w:ind w:firstLine="480" w:firstLineChars="200"/>
        <w:rPr>
          <w:highlight w:val="none"/>
        </w:rPr>
      </w:pPr>
      <w:r>
        <w:rPr>
          <w:rFonts w:hint="eastAsia" w:ascii="宋体" w:hAnsi="宋体" w:eastAsia="宋体" w:cs="宋体"/>
          <w:kern w:val="0"/>
          <w:sz w:val="24"/>
          <w:szCs w:val="24"/>
          <w:highlight w:val="none"/>
        </w:rPr>
        <w:t>2.合同款支付全部通过银行转账至双方约定开设的项目专用账户，</w:t>
      </w:r>
      <w:r>
        <w:rPr>
          <w:rFonts w:hint="eastAsia" w:ascii="宋体" w:hAnsi="宋体" w:eastAsia="宋体" w:cs="宋体"/>
          <w:kern w:val="0"/>
          <w:sz w:val="24"/>
          <w:szCs w:val="24"/>
          <w:highlight w:val="none"/>
          <w:lang w:val="en-US" w:eastAsia="zh-CN"/>
        </w:rPr>
        <w:t>乙方应及时与甲方沟通专用账户开通事宜并在</w:t>
      </w: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2</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lang w:val="en-US" w:eastAsia="zh-CN"/>
        </w:rPr>
        <w:t>个工作日</w:t>
      </w:r>
      <w:r>
        <w:rPr>
          <w:rFonts w:hint="eastAsia" w:ascii="宋体" w:hAnsi="宋体" w:eastAsia="宋体" w:cs="宋体"/>
          <w:color w:val="000000"/>
          <w:kern w:val="0"/>
          <w:sz w:val="24"/>
          <w:szCs w:val="24"/>
          <w:highlight w:val="none"/>
        </w:rPr>
        <w:t>内</w:t>
      </w:r>
      <w:r>
        <w:rPr>
          <w:rFonts w:hint="eastAsia" w:ascii="宋体" w:hAnsi="宋体" w:eastAsia="宋体" w:cs="宋体"/>
          <w:color w:val="000000"/>
          <w:kern w:val="0"/>
          <w:sz w:val="24"/>
          <w:szCs w:val="24"/>
          <w:highlight w:val="none"/>
          <w:lang w:val="en-US" w:eastAsia="zh-CN"/>
        </w:rPr>
        <w:t>开通专用账户,确保项目资金专款专用。</w:t>
      </w:r>
      <w:r>
        <w:rPr>
          <w:rFonts w:hint="eastAsia" w:ascii="宋体" w:hAnsi="宋体" w:eastAsia="宋体" w:cs="宋体"/>
          <w:kern w:val="0"/>
          <w:sz w:val="24"/>
          <w:szCs w:val="24"/>
          <w:highlight w:val="none"/>
        </w:rPr>
        <w:t>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p w14:paraId="443986DA">
      <w:pPr>
        <w:widowControl/>
        <w:shd w:val="clear" w:color="auto" w:fill="FFFFFF"/>
        <w:tabs>
          <w:tab w:val="left" w:pos="425"/>
        </w:tabs>
        <w:spacing w:line="360" w:lineRule="auto"/>
        <w:jc w:val="left"/>
        <w:textAlignment w:val="baseline"/>
        <w:outlineLvl w:val="0"/>
        <w:rPr>
          <w:rFonts w:ascii="宋体" w:hAnsi="宋体" w:eastAsia="宋体" w:cs="宋体"/>
          <w:b/>
          <w:bCs/>
          <w:color w:val="000000"/>
          <w:kern w:val="0"/>
          <w:sz w:val="24"/>
          <w:szCs w:val="24"/>
          <w:highlight w:val="none"/>
        </w:rPr>
      </w:pPr>
      <w:bookmarkStart w:id="7" w:name="_Toc8816"/>
      <w:bookmarkStart w:id="8" w:name="_Toc495505734"/>
      <w:r>
        <w:rPr>
          <w:rFonts w:hint="eastAsia" w:ascii="宋体" w:hAnsi="宋体" w:eastAsia="宋体" w:cs="宋体"/>
          <w:b/>
          <w:bCs/>
          <w:kern w:val="0"/>
          <w:sz w:val="24"/>
          <w:szCs w:val="24"/>
          <w:highlight w:val="none"/>
        </w:rPr>
        <w:t>五、</w:t>
      </w:r>
      <w:r>
        <w:rPr>
          <w:rFonts w:hint="eastAsia" w:ascii="宋体" w:hAnsi="宋体" w:eastAsia="宋体" w:cs="宋体"/>
          <w:b/>
          <w:bCs/>
          <w:color w:val="000000"/>
          <w:kern w:val="0"/>
          <w:sz w:val="24"/>
          <w:szCs w:val="24"/>
          <w:highlight w:val="none"/>
        </w:rPr>
        <w:t>履约保证金</w:t>
      </w:r>
    </w:p>
    <w:p w14:paraId="57E401F2">
      <w:pPr>
        <w:widowControl/>
        <w:shd w:val="clear" w:color="auto" w:fill="FFFFFF"/>
        <w:tabs>
          <w:tab w:val="left" w:pos="425"/>
        </w:tabs>
        <w:spacing w:line="360" w:lineRule="auto"/>
        <w:ind w:firstLine="480" w:firstLineChars="200"/>
        <w:textAlignment w:val="baseline"/>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5 </w:t>
      </w:r>
      <w:r>
        <w:rPr>
          <w:rFonts w:hint="eastAsia" w:ascii="宋体" w:hAnsi="宋体" w:eastAsia="宋体" w:cs="宋体"/>
          <w:color w:val="000000"/>
          <w:kern w:val="0"/>
          <w:sz w:val="24"/>
          <w:szCs w:val="24"/>
          <w:highlight w:val="none"/>
        </w:rPr>
        <w:t>日内乙方以转账方式向甲方指定账户支付合同款的</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5</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%作为履约保证金，经甲方最终书面验收合格后，乙方向甲方申请全额无息退还</w:t>
      </w:r>
      <w:r>
        <w:rPr>
          <w:rFonts w:hint="eastAsia" w:ascii="宋体" w:hAnsi="宋体" w:eastAsia="宋体" w:cs="宋体"/>
          <w:color w:val="000000"/>
          <w:kern w:val="0"/>
          <w:sz w:val="24"/>
          <w:szCs w:val="24"/>
          <w:highlight w:val="none"/>
          <w:lang w:eastAsia="zh-CN"/>
        </w:rPr>
        <w:t>，若乙方存在违约行为，甲方有权直接从履约保证金中扣除违约金、赔偿金等款项</w:t>
      </w:r>
      <w:r>
        <w:rPr>
          <w:rFonts w:hint="eastAsia" w:ascii="宋体" w:hAnsi="宋体" w:eastAsia="宋体" w:cs="宋体"/>
          <w:color w:val="000000"/>
          <w:kern w:val="0"/>
          <w:sz w:val="24"/>
          <w:szCs w:val="24"/>
          <w:highlight w:val="none"/>
        </w:rPr>
        <w:t>。</w:t>
      </w:r>
    </w:p>
    <w:p w14:paraId="589C43A8">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六、权利与义务</w:t>
      </w:r>
      <w:bookmarkEnd w:id="7"/>
      <w:bookmarkEnd w:id="8"/>
    </w:p>
    <w:p w14:paraId="18B49444">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9" w:name="_Toc495505735"/>
      <w:bookmarkStart w:id="10" w:name="_Toc4611"/>
      <w:r>
        <w:rPr>
          <w:rFonts w:hint="eastAsia" w:ascii="宋体" w:hAnsi="宋体" w:eastAsia="宋体" w:cs="宋体"/>
          <w:b/>
          <w:bCs/>
          <w:kern w:val="0"/>
          <w:sz w:val="24"/>
          <w:szCs w:val="24"/>
          <w:highlight w:val="none"/>
        </w:rPr>
        <w:t>1.甲方的权利与义务</w:t>
      </w:r>
      <w:bookmarkEnd w:id="9"/>
      <w:bookmarkEnd w:id="10"/>
    </w:p>
    <w:p w14:paraId="19D29892">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甲方有权要求乙方供货的项目内容符合国家相关规范，符合国家验收标准、合同约定及甲方要求，能够通过国家及甲方验收。</w:t>
      </w:r>
    </w:p>
    <w:p w14:paraId="2B69CC28">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甲方有权要求乙方配合甲方完成所采购项目内容的预验收工作以及正式验收工作。</w:t>
      </w:r>
    </w:p>
    <w:p w14:paraId="33CF449D">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甲方有权要求乙方提供的产品所涉及的第三方权利进行免责。</w:t>
      </w:r>
    </w:p>
    <w:p w14:paraId="522EF150">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在乙方妥善履行本合同项下义务且付款节点届至的前提下，甲方有义务保证按合同所规定的内容及时间支付乙方相关费用。</w:t>
      </w:r>
    </w:p>
    <w:p w14:paraId="557C8A4B">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乙方不能按甲方要求及时供货，甲方有单方解除合同的权利。解除合同的同时，乙方应赔偿因此给甲方造成的全部损失。</w:t>
      </w:r>
    </w:p>
    <w:p w14:paraId="191AA6EE">
      <w:pPr>
        <w:widowControl/>
        <w:numPr>
          <w:ilvl w:val="0"/>
          <w:numId w:val="1"/>
        </w:numPr>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因乙方原因供货延误，给甲方造成损失或被第三方要求索赔的，乙方应全额承担</w:t>
      </w:r>
      <w:r>
        <w:rPr>
          <w:rFonts w:hint="eastAsia" w:ascii="宋体" w:hAnsi="宋体" w:eastAsia="宋体" w:cs="宋体"/>
          <w:kern w:val="28"/>
          <w:sz w:val="24"/>
          <w:szCs w:val="24"/>
          <w:highlight w:val="none"/>
          <w:lang w:val="en-US" w:eastAsia="zh-CN"/>
        </w:rPr>
        <w:t>赔偿责任</w:t>
      </w:r>
      <w:r>
        <w:rPr>
          <w:rFonts w:hint="eastAsia" w:ascii="宋体" w:hAnsi="宋体" w:eastAsia="宋体" w:cs="宋体"/>
          <w:kern w:val="28"/>
          <w:sz w:val="24"/>
          <w:szCs w:val="24"/>
          <w:highlight w:val="none"/>
        </w:rPr>
        <w:t>。</w:t>
      </w:r>
    </w:p>
    <w:p w14:paraId="4EFB915D">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11" w:name="_Toc495505736"/>
      <w:bookmarkStart w:id="12" w:name="_Toc226"/>
      <w:r>
        <w:rPr>
          <w:rFonts w:hint="eastAsia" w:ascii="宋体" w:hAnsi="宋体" w:eastAsia="宋体" w:cs="宋体"/>
          <w:b/>
          <w:bCs/>
          <w:kern w:val="0"/>
          <w:sz w:val="24"/>
          <w:szCs w:val="24"/>
          <w:highlight w:val="none"/>
        </w:rPr>
        <w:t>2.乙方的权利与义务</w:t>
      </w:r>
      <w:bookmarkEnd w:id="11"/>
      <w:bookmarkEnd w:id="12"/>
    </w:p>
    <w:p w14:paraId="0CD03D4F">
      <w:pPr>
        <w:widowControl/>
        <w:numPr>
          <w:ilvl w:val="0"/>
          <w:numId w:val="2"/>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乙方应</w:t>
      </w:r>
      <w:r>
        <w:rPr>
          <w:rFonts w:hint="eastAsia" w:ascii="宋体" w:hAnsi="宋体" w:eastAsia="宋体" w:cs="宋体"/>
          <w:kern w:val="0"/>
          <w:sz w:val="24"/>
          <w:szCs w:val="24"/>
          <w:highlight w:val="none"/>
        </w:rPr>
        <w:t>按本合同的规定供货</w:t>
      </w:r>
      <w:r>
        <w:rPr>
          <w:rFonts w:hint="eastAsia" w:ascii="宋体" w:hAnsi="宋体" w:eastAsia="宋体" w:cs="宋体"/>
          <w:kern w:val="0"/>
          <w:sz w:val="24"/>
          <w:szCs w:val="24"/>
          <w:highlight w:val="none"/>
          <w:lang w:val="en-US" w:eastAsia="zh-CN"/>
        </w:rPr>
        <w:t>时间、内容提交符合合同及甲方要求的货品</w:t>
      </w:r>
      <w:r>
        <w:rPr>
          <w:rFonts w:hint="eastAsia" w:ascii="宋体" w:hAnsi="宋体" w:eastAsia="宋体" w:cs="宋体"/>
          <w:kern w:val="0"/>
          <w:sz w:val="24"/>
          <w:szCs w:val="24"/>
          <w:highlight w:val="none"/>
        </w:rPr>
        <w:t>，并保证产品质量。</w:t>
      </w:r>
    </w:p>
    <w:p w14:paraId="289A66D1">
      <w:pPr>
        <w:widowControl/>
        <w:numPr>
          <w:ilvl w:val="0"/>
          <w:numId w:val="2"/>
        </w:numPr>
        <w:shd w:val="clear" w:color="auto" w:fill="FFFFFF"/>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乙方有义务配合甲方参与项目的预验收、正式竣工验收工作，并确保所供货物符合本项目国家现行标准。</w:t>
      </w:r>
    </w:p>
    <w:p w14:paraId="000294A1">
      <w:pPr>
        <w:widowControl/>
        <w:numPr>
          <w:ilvl w:val="0"/>
          <w:numId w:val="2"/>
        </w:numPr>
        <w:autoSpaceDN w:val="0"/>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乙方产品进场时应充分了解甲方的现场各项管理标准文件，并在进场后全面服从甲方的管理制度、管理细则等。</w:t>
      </w:r>
    </w:p>
    <w:p w14:paraId="28CEAD09">
      <w:pPr>
        <w:widowControl/>
        <w:numPr>
          <w:ilvl w:val="0"/>
          <w:numId w:val="2"/>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按甲方指定地点将货物码放整齐，及时清运过程中产生的垃圾，保持现场整洁。</w:t>
      </w:r>
    </w:p>
    <w:p w14:paraId="68278BF2">
      <w:pPr>
        <w:numPr>
          <w:ilvl w:val="0"/>
          <w:numId w:val="2"/>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在货物验收时，向甲方提供《货物合格证》《货物使用说明书》等技术文件及甲方要求提供的各项资料。</w:t>
      </w:r>
    </w:p>
    <w:p w14:paraId="3D5DBFB7">
      <w:pPr>
        <w:numPr>
          <w:ilvl w:val="0"/>
          <w:numId w:val="2"/>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乙方交付产品如不符合合同要求及约定技术参数，未能通过甲方书面验收的，应在甲方限定期间内履行免费更换、补足或重发的义务。</w:t>
      </w:r>
    </w:p>
    <w:p w14:paraId="2E15DC21">
      <w:pPr>
        <w:numPr>
          <w:ilvl w:val="0"/>
          <w:numId w:val="2"/>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承担</w:t>
      </w:r>
      <w:r>
        <w:rPr>
          <w:rFonts w:hint="eastAsia" w:ascii="宋体" w:hAnsi="宋体" w:eastAsia="宋体" w:cs="宋体"/>
          <w:sz w:val="24"/>
          <w:szCs w:val="24"/>
          <w:highlight w:val="none"/>
          <w:lang w:eastAsia="zh-Hans"/>
        </w:rPr>
        <w:t>产品</w:t>
      </w:r>
      <w:r>
        <w:rPr>
          <w:rFonts w:hint="eastAsia" w:ascii="宋体" w:hAnsi="宋体" w:eastAsia="宋体" w:cs="宋体"/>
          <w:sz w:val="24"/>
          <w:szCs w:val="24"/>
          <w:highlight w:val="none"/>
        </w:rPr>
        <w:t>安装调试并经甲方书面验收合格前破损、遗失、盗抢等风险。</w:t>
      </w:r>
    </w:p>
    <w:p w14:paraId="7B133137">
      <w:pPr>
        <w:numPr>
          <w:ilvl w:val="0"/>
          <w:numId w:val="2"/>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质量保证期内产品质量出现问题的，乙方应在</w:t>
      </w:r>
      <w:r>
        <w:rPr>
          <w:rFonts w:hint="eastAsia" w:ascii="宋体" w:hAnsi="宋体" w:eastAsia="宋体" w:cs="宋体"/>
          <w:b w:val="0"/>
          <w:bCs w:val="0"/>
          <w:sz w:val="24"/>
          <w:szCs w:val="24"/>
          <w:highlight w:val="none"/>
        </w:rPr>
        <w:t>甲方通知后</w:t>
      </w:r>
      <w:r>
        <w:rPr>
          <w:rFonts w:hint="eastAsia" w:ascii="宋体" w:hAnsi="宋体" w:eastAsia="宋体" w:cs="宋体"/>
          <w:b w:val="0"/>
          <w:bCs w:val="0"/>
          <w:sz w:val="24"/>
          <w:szCs w:val="24"/>
          <w:highlight w:val="none"/>
          <w:lang w:eastAsia="zh-CN"/>
        </w:rPr>
        <w:t>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小时内响应，</w:t>
      </w:r>
      <w:r>
        <w:rPr>
          <w:rFonts w:hint="eastAsia" w:ascii="宋体" w:hAnsi="宋体" w:eastAsia="宋体" w:cs="宋体"/>
          <w:b w:val="0"/>
          <w:bCs w:val="0"/>
          <w:sz w:val="24"/>
          <w:szCs w:val="24"/>
          <w:highlight w:val="none"/>
          <w:lang w:val="en-US" w:eastAsia="zh-CN"/>
        </w:rPr>
        <w:t>48</w:t>
      </w:r>
      <w:r>
        <w:rPr>
          <w:rFonts w:hint="eastAsia" w:ascii="宋体" w:hAnsi="宋体" w:eastAsia="宋体" w:cs="宋体"/>
          <w:b w:val="0"/>
          <w:bCs w:val="0"/>
          <w:sz w:val="24"/>
          <w:szCs w:val="24"/>
          <w:highlight w:val="none"/>
        </w:rPr>
        <w:t>小时内上门处理完毕</w:t>
      </w:r>
      <w:r>
        <w:rPr>
          <w:rFonts w:hint="eastAsia" w:ascii="宋体" w:hAnsi="宋体" w:eastAsia="宋体" w:cs="宋体"/>
          <w:sz w:val="24"/>
          <w:szCs w:val="24"/>
          <w:highlight w:val="none"/>
        </w:rPr>
        <w:t>，免费履行维修、更换义务。</w:t>
      </w:r>
    </w:p>
    <w:p w14:paraId="5A0F786A">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3" w:name="_Toc495505737"/>
      <w:bookmarkStart w:id="14" w:name="_Toc22065"/>
      <w:r>
        <w:rPr>
          <w:rFonts w:hint="eastAsia" w:ascii="宋体" w:hAnsi="宋体" w:eastAsia="宋体" w:cs="宋体"/>
          <w:b/>
          <w:bCs/>
          <w:kern w:val="0"/>
          <w:sz w:val="24"/>
          <w:szCs w:val="24"/>
          <w:highlight w:val="none"/>
        </w:rPr>
        <w:t>七、质量要求及质保要求</w:t>
      </w:r>
      <w:bookmarkEnd w:id="13"/>
      <w:bookmarkEnd w:id="14"/>
    </w:p>
    <w:p w14:paraId="598B885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1.质量标准</w:t>
      </w:r>
    </w:p>
    <w:p w14:paraId="4CCB8091">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w:t>
      </w:r>
    </w:p>
    <w:p w14:paraId="5C429405">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如本合同项下货物技术协议中规定的质量标准高于国家标准的，则应以本合同项下货物技术协议中规定的标准作为认定本合同项下产品质量的依据。</w:t>
      </w:r>
    </w:p>
    <w:p w14:paraId="48FFF813">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乙方保证所供货物齐全且能够独立正常使用/运行。</w:t>
      </w:r>
    </w:p>
    <w:p w14:paraId="657AE8C2">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2.质保要求</w:t>
      </w:r>
    </w:p>
    <w:p w14:paraId="5DA2EAA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质保期自甲方</w:t>
      </w:r>
      <w:r>
        <w:rPr>
          <w:rFonts w:hint="eastAsia" w:ascii="宋体" w:hAnsi="宋体" w:eastAsia="宋体" w:cs="宋体"/>
          <w:kern w:val="0"/>
          <w:sz w:val="24"/>
          <w:szCs w:val="24"/>
          <w:highlight w:val="none"/>
          <w:lang w:val="en-US" w:eastAsia="zh-CN"/>
        </w:rPr>
        <w:t>最终书面</w:t>
      </w:r>
      <w:r>
        <w:rPr>
          <w:rFonts w:hint="eastAsia" w:ascii="宋体" w:hAnsi="宋体" w:eastAsia="宋体" w:cs="宋体"/>
          <w:kern w:val="0"/>
          <w:sz w:val="24"/>
          <w:szCs w:val="24"/>
          <w:highlight w:val="none"/>
        </w:rPr>
        <w:t>验收合格之日起算，质保期内非因甲方原因而出现质量问题的，由乙方负责修理、承担因修理产生的所有费用。乙方应自收到甲方通知之时起48小时内修理完毕，保证甲方正常使用。如乙方违反上述约定，甲方有权</w:t>
      </w:r>
      <w:r>
        <w:rPr>
          <w:rFonts w:hint="eastAsia" w:ascii="宋体" w:hAnsi="宋体" w:eastAsia="宋体" w:cs="宋体"/>
          <w:kern w:val="0"/>
          <w:sz w:val="24"/>
          <w:szCs w:val="24"/>
          <w:highlight w:val="none"/>
          <w:lang w:val="en-US" w:eastAsia="zh-CN"/>
        </w:rPr>
        <w:t>委托</w:t>
      </w:r>
      <w:r>
        <w:rPr>
          <w:rFonts w:hint="eastAsia" w:ascii="宋体" w:hAnsi="宋体" w:eastAsia="宋体" w:cs="宋体"/>
          <w:kern w:val="0"/>
          <w:sz w:val="24"/>
          <w:szCs w:val="24"/>
          <w:highlight w:val="none"/>
        </w:rPr>
        <w:t>第三方进行维修，产生的费用由乙方承担</w:t>
      </w:r>
      <w:r>
        <w:rPr>
          <w:rFonts w:hint="eastAsia" w:ascii="宋体" w:hAnsi="宋体" w:eastAsia="宋体" w:cs="宋体"/>
          <w:kern w:val="0"/>
          <w:sz w:val="24"/>
          <w:szCs w:val="24"/>
          <w:highlight w:val="none"/>
          <w:lang w:eastAsia="zh-CN"/>
        </w:rPr>
        <w:t>，</w:t>
      </w:r>
      <w:r>
        <w:rPr>
          <w:rFonts w:ascii="宋体" w:hAnsi="宋体" w:eastAsia="宋体" w:cs="宋体"/>
          <w:sz w:val="24"/>
          <w:szCs w:val="24"/>
        </w:rPr>
        <w:t>甲方有权直接从应付款或履约保证金中扣除</w:t>
      </w:r>
      <w:r>
        <w:rPr>
          <w:rFonts w:hint="eastAsia" w:ascii="宋体" w:hAnsi="宋体" w:eastAsia="宋体" w:cs="宋体"/>
          <w:kern w:val="0"/>
          <w:sz w:val="24"/>
          <w:szCs w:val="24"/>
          <w:highlight w:val="none"/>
        </w:rPr>
        <w:t>。</w:t>
      </w:r>
    </w:p>
    <w:p w14:paraId="42F789EB">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同一质量问题，乙方连续修理两次，甲方有权要求乙方更换新产品或退货，退货金额为甲方已向乙方支付的全部货款及费用。乙方同时承担因退换货物产生的所有费用。</w:t>
      </w:r>
    </w:p>
    <w:p w14:paraId="47DC863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5" w:name="_Toc495505738"/>
      <w:bookmarkStart w:id="16" w:name="_Toc8306"/>
      <w:r>
        <w:rPr>
          <w:rFonts w:hint="eastAsia" w:ascii="宋体" w:hAnsi="宋体" w:eastAsia="宋体" w:cs="宋体"/>
          <w:b/>
          <w:bCs/>
          <w:kern w:val="0"/>
          <w:sz w:val="24"/>
          <w:szCs w:val="24"/>
          <w:highlight w:val="none"/>
        </w:rPr>
        <w:t>八、交货要求</w:t>
      </w:r>
      <w:bookmarkEnd w:id="15"/>
      <w:bookmarkEnd w:id="16"/>
    </w:p>
    <w:p w14:paraId="08302471">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1.乙方应保证所提供的设备均为崭新的、合法的正品，其质量、规格和性能应完全满足合同约定要求。</w:t>
      </w:r>
    </w:p>
    <w:p w14:paraId="1EF2CA57">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2.乙方保证享有所提供货物所需的完整知识产权，并保证甲方正常使用（包括但不限于单独使用、结合使用、连接使用、嵌入使用、贴附使用、拼拆使用），且不会侵犯任何第三方知识产权</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如引发侵权纠纷，由乙方承担全部法律责任及赔偿责任</w:t>
      </w:r>
      <w:r>
        <w:rPr>
          <w:rFonts w:hint="eastAsia" w:ascii="宋体" w:hAnsi="宋体" w:eastAsia="宋体" w:cs="宋体"/>
          <w:kern w:val="0"/>
          <w:sz w:val="24"/>
          <w:szCs w:val="24"/>
          <w:highlight w:val="none"/>
          <w:lang w:eastAsia="zh-CN"/>
        </w:rPr>
        <w:t>。</w:t>
      </w:r>
    </w:p>
    <w:p w14:paraId="11BD2035">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7" w:name="_Toc495505740"/>
      <w:bookmarkStart w:id="18" w:name="_Toc29995"/>
      <w:r>
        <w:rPr>
          <w:rFonts w:hint="eastAsia" w:ascii="宋体" w:hAnsi="宋体" w:eastAsia="宋体" w:cs="宋体"/>
          <w:b/>
          <w:bCs/>
          <w:kern w:val="0"/>
          <w:sz w:val="24"/>
          <w:szCs w:val="24"/>
          <w:highlight w:val="none"/>
        </w:rPr>
        <w:t>九、货物验收</w:t>
      </w:r>
      <w:bookmarkEnd w:id="17"/>
      <w:bookmarkEnd w:id="18"/>
    </w:p>
    <w:p w14:paraId="02A08B72">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验收分</w:t>
      </w:r>
      <w:r>
        <w:rPr>
          <w:rFonts w:hint="eastAsia" w:ascii="宋体" w:hAnsi="宋体" w:eastAsia="宋体" w:cs="宋体"/>
          <w:kern w:val="0"/>
          <w:sz w:val="24"/>
          <w:szCs w:val="24"/>
          <w:highlight w:val="none"/>
          <w:lang w:val="en-US" w:eastAsia="zh-CN"/>
        </w:rPr>
        <w:t>到货</w:t>
      </w:r>
      <w:r>
        <w:rPr>
          <w:rFonts w:hint="eastAsia" w:ascii="宋体" w:hAnsi="宋体" w:eastAsia="宋体" w:cs="宋体"/>
          <w:kern w:val="0"/>
          <w:sz w:val="24"/>
          <w:szCs w:val="24"/>
          <w:highlight w:val="none"/>
        </w:rPr>
        <w:t>开箱验收和</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最终验收两个阶段，以</w:t>
      </w:r>
      <w:r>
        <w:rPr>
          <w:rFonts w:hint="eastAsia" w:ascii="宋体" w:hAnsi="宋体" w:eastAsia="宋体" w:cs="宋体"/>
          <w:kern w:val="0"/>
          <w:sz w:val="24"/>
          <w:szCs w:val="24"/>
          <w:highlight w:val="none"/>
          <w:lang w:val="en-US" w:eastAsia="zh-CN"/>
        </w:rPr>
        <w:t>甲方出具的《</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val="en-US" w:eastAsia="zh-CN"/>
        </w:rPr>
        <w:t>合格证书》</w:t>
      </w:r>
      <w:r>
        <w:rPr>
          <w:rFonts w:hint="eastAsia" w:ascii="宋体" w:hAnsi="宋体" w:eastAsia="宋体" w:cs="宋体"/>
          <w:kern w:val="0"/>
          <w:sz w:val="24"/>
          <w:szCs w:val="24"/>
          <w:highlight w:val="none"/>
        </w:rPr>
        <w:t>为准。</w:t>
      </w:r>
    </w:p>
    <w:p w14:paraId="645102AB">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1.到货开箱验收。</w:t>
      </w:r>
      <w:r>
        <w:rPr>
          <w:rFonts w:hint="eastAsia" w:ascii="宋体" w:hAnsi="宋体" w:eastAsia="宋体" w:cs="宋体"/>
          <w:kern w:val="0"/>
          <w:sz w:val="24"/>
          <w:szCs w:val="24"/>
          <w:highlight w:val="none"/>
        </w:rPr>
        <w:t>货物运送到甲方指定地点后，甲方(使用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)、乙方共同开箱验收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检查货物</w:t>
      </w:r>
      <w:r>
        <w:rPr>
          <w:rFonts w:hint="eastAsia" w:ascii="宋体" w:hAnsi="宋体" w:eastAsia="宋体" w:cs="宋体"/>
          <w:kern w:val="0"/>
          <w:sz w:val="24"/>
          <w:szCs w:val="24"/>
          <w:highlight w:val="none"/>
          <w:lang w:val="en-US" w:eastAsia="zh-CN"/>
        </w:rPr>
        <w:t>生产厂家/</w:t>
      </w:r>
      <w:r>
        <w:rPr>
          <w:rFonts w:hint="eastAsia" w:ascii="宋体" w:hAnsi="宋体" w:eastAsia="宋体" w:cs="宋体"/>
          <w:kern w:val="0"/>
          <w:sz w:val="24"/>
          <w:szCs w:val="24"/>
          <w:highlight w:val="none"/>
        </w:rPr>
        <w:t>产地、型号、规格、配置</w:t>
      </w:r>
      <w:r>
        <w:rPr>
          <w:rFonts w:hint="eastAsia" w:ascii="宋体" w:hAnsi="宋体" w:eastAsia="宋体" w:cs="宋体"/>
          <w:kern w:val="0"/>
          <w:sz w:val="24"/>
          <w:szCs w:val="24"/>
          <w:highlight w:val="none"/>
          <w:lang w:val="en-US" w:eastAsia="zh-CN"/>
        </w:rPr>
        <w:t>等内容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若</w:t>
      </w:r>
      <w:r>
        <w:rPr>
          <w:rFonts w:hint="eastAsia" w:ascii="宋体" w:hAnsi="宋体" w:eastAsia="宋体" w:cs="宋体"/>
          <w:kern w:val="0"/>
          <w:sz w:val="24"/>
          <w:szCs w:val="24"/>
          <w:highlight w:val="none"/>
        </w:rPr>
        <w:t>乙方提供的货物不符合合同、合同项下技术协议、采购/招标文件、响应/投标文件规定的，</w:t>
      </w:r>
      <w:r>
        <w:rPr>
          <w:rFonts w:hint="eastAsia" w:ascii="宋体" w:hAnsi="宋体" w:eastAsia="宋体" w:cs="宋体"/>
          <w:kern w:val="0"/>
          <w:sz w:val="24"/>
          <w:szCs w:val="24"/>
          <w:highlight w:val="none"/>
          <w:lang w:eastAsia="zh-CN"/>
        </w:rPr>
        <w:t>甲方有权拒收货物，由此引发的费用和相关损失，由乙方完全承担，甲方有权追究乙方法律责任。</w:t>
      </w:r>
    </w:p>
    <w:p w14:paraId="5204923E">
      <w:pPr>
        <w:widowControl/>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2.甲方</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乙方安装调试完成且</w:t>
      </w:r>
      <w:r>
        <w:rPr>
          <w:rFonts w:ascii="宋体" w:hAnsi="宋体" w:eastAsia="宋体" w:cs="宋体"/>
          <w:kern w:val="0"/>
          <w:sz w:val="24"/>
          <w:szCs w:val="24"/>
          <w:highlight w:val="none"/>
        </w:rPr>
        <w:t>试运行期满，</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期内无</w:t>
      </w:r>
      <w:r>
        <w:rPr>
          <w:rFonts w:hint="eastAsia" w:ascii="宋体" w:hAnsi="宋体" w:eastAsia="宋体" w:cs="宋体"/>
          <w:kern w:val="0"/>
          <w:sz w:val="24"/>
          <w:szCs w:val="24"/>
          <w:highlight w:val="none"/>
        </w:rPr>
        <w:t>任何</w:t>
      </w:r>
      <w:r>
        <w:rPr>
          <w:rFonts w:ascii="宋体" w:hAnsi="宋体" w:eastAsia="宋体" w:cs="宋体"/>
          <w:kern w:val="0"/>
          <w:sz w:val="24"/>
          <w:szCs w:val="24"/>
          <w:highlight w:val="none"/>
        </w:rPr>
        <w:t>质量问题后，</w:t>
      </w:r>
      <w:r>
        <w:rPr>
          <w:rFonts w:hint="eastAsia" w:ascii="宋体" w:hAnsi="宋体" w:eastAsia="宋体" w:cs="宋体"/>
          <w:kern w:val="0"/>
          <w:sz w:val="24"/>
          <w:szCs w:val="24"/>
          <w:highlight w:val="none"/>
        </w:rPr>
        <w:t>向甲方</w:t>
      </w:r>
      <w:r>
        <w:rPr>
          <w:rFonts w:ascii="宋体" w:hAnsi="宋体" w:eastAsia="宋体" w:cs="宋体"/>
          <w:kern w:val="0"/>
          <w:sz w:val="24"/>
          <w:szCs w:val="24"/>
          <w:highlight w:val="none"/>
        </w:rPr>
        <w:t>书面申请</w:t>
      </w:r>
      <w:r>
        <w:rPr>
          <w:rFonts w:hint="eastAsia" w:ascii="宋体" w:hAnsi="宋体" w:eastAsia="宋体" w:cs="宋体"/>
          <w:kern w:val="0"/>
          <w:sz w:val="24"/>
          <w:szCs w:val="24"/>
          <w:highlight w:val="none"/>
        </w:rPr>
        <w:t>验收</w:t>
      </w:r>
      <w:r>
        <w:rPr>
          <w:rFonts w:ascii="宋体" w:hAnsi="宋体" w:eastAsia="宋体" w:cs="宋体"/>
          <w:kern w:val="0"/>
          <w:sz w:val="24"/>
          <w:szCs w:val="24"/>
          <w:highlight w:val="none"/>
        </w:rPr>
        <w:t>，</w:t>
      </w:r>
      <w:r>
        <w:rPr>
          <w:rFonts w:hint="eastAsia" w:ascii="宋体" w:hAnsi="宋体" w:eastAsia="宋体" w:cs="宋体"/>
          <w:kern w:val="0"/>
          <w:sz w:val="24"/>
          <w:szCs w:val="24"/>
          <w:highlight w:val="none"/>
        </w:rPr>
        <w:t>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)负责技术验收(乙方协助)，验收以国内行业标准或合同文本货物供货配置清单中描述的有关技术要求为准。甲方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使用部门</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技术验收合格后，甲方组织有关专家进行项目的最终验收。</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期内出现质量问题，试运行期从解决质量问题后重新计算</w:t>
      </w:r>
      <w:r>
        <w:rPr>
          <w:rFonts w:hint="eastAsia" w:ascii="宋体" w:hAnsi="宋体" w:eastAsia="宋体" w:cs="宋体"/>
          <w:kern w:val="0"/>
          <w:sz w:val="24"/>
          <w:szCs w:val="24"/>
          <w:highlight w:val="none"/>
        </w:rPr>
        <w:t>。</w:t>
      </w:r>
    </w:p>
    <w:p w14:paraId="74F4419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9" w:name="_Toc495505741"/>
      <w:bookmarkStart w:id="20" w:name="_Toc20950"/>
      <w:r>
        <w:rPr>
          <w:rFonts w:hint="eastAsia" w:ascii="宋体" w:hAnsi="宋体" w:eastAsia="宋体" w:cs="宋体"/>
          <w:b/>
          <w:bCs/>
          <w:kern w:val="0"/>
          <w:sz w:val="24"/>
          <w:szCs w:val="24"/>
          <w:highlight w:val="none"/>
        </w:rPr>
        <w:t>十、保密条款</w:t>
      </w:r>
      <w:bookmarkEnd w:id="19"/>
      <w:bookmarkEnd w:id="20"/>
    </w:p>
    <w:p w14:paraId="566CA2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双方承诺，除非法律另有规定或双方一致同意，任何一方不得将本协议的内容</w:t>
      </w:r>
      <w:r>
        <w:rPr>
          <w:rFonts w:hint="eastAsia" w:ascii="宋体" w:hAnsi="宋体"/>
          <w:kern w:val="28"/>
          <w:sz w:val="24"/>
          <w:szCs w:val="24"/>
          <w:highlight w:val="none"/>
        </w:rPr>
        <w:t>及合同履行及至终止后知悉的商业秘密及其他信息</w:t>
      </w:r>
      <w:r>
        <w:rPr>
          <w:rFonts w:hint="eastAsia" w:ascii="宋体" w:hAnsi="宋体" w:eastAsia="宋体" w:cs="宋体"/>
          <w:kern w:val="28"/>
          <w:sz w:val="24"/>
          <w:szCs w:val="24"/>
          <w:highlight w:val="none"/>
        </w:rPr>
        <w:t>向第三方透露或不正当的使用，否则，应向对方承担相应的违约责任。</w:t>
      </w:r>
    </w:p>
    <w:p w14:paraId="380000F3">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6827F72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4ED5A29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1" w:name="_Toc24636"/>
      <w:bookmarkStart w:id="22" w:name="_Toc495505742"/>
      <w:r>
        <w:rPr>
          <w:rFonts w:hint="eastAsia" w:ascii="宋体" w:hAnsi="宋体" w:eastAsia="宋体" w:cs="宋体"/>
          <w:b/>
          <w:bCs/>
          <w:kern w:val="0"/>
          <w:sz w:val="24"/>
          <w:szCs w:val="24"/>
          <w:highlight w:val="none"/>
        </w:rPr>
        <w:t>十一、违约责任</w:t>
      </w:r>
      <w:bookmarkEnd w:id="21"/>
      <w:bookmarkEnd w:id="22"/>
    </w:p>
    <w:p w14:paraId="24E12B7B">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1.乙方逾期供货，每延迟1日，应按合同总价款的1‰向甲方支付违约金，因不可抗力或经甲方同意除外，但违约金总额不超过合同总价的10％。如合同总价5％以上的货物迟达10日的，甲方有权解除本合同。</w:t>
      </w:r>
    </w:p>
    <w:p w14:paraId="71DAD4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2.如乙方产品质量不符合国家标准或未达到本企业内控标准，甲方有权退货，并且乙方应承担甲方合同总价款的10％的违约金并赔偿</w:t>
      </w:r>
      <w:r>
        <w:rPr>
          <w:rFonts w:hint="eastAsia" w:ascii="宋体" w:hAnsi="宋体" w:eastAsia="宋体" w:cs="宋体"/>
          <w:kern w:val="0"/>
          <w:sz w:val="24"/>
          <w:szCs w:val="24"/>
          <w:highlight w:val="none"/>
          <w:lang w:val="en-US" w:eastAsia="zh-CN"/>
        </w:rPr>
        <w:t>因此给甲方造成的全部</w:t>
      </w:r>
      <w:r>
        <w:rPr>
          <w:rFonts w:hint="eastAsia" w:ascii="宋体" w:hAnsi="宋体" w:eastAsia="宋体" w:cs="宋体"/>
          <w:kern w:val="0"/>
          <w:sz w:val="24"/>
          <w:szCs w:val="24"/>
          <w:highlight w:val="none"/>
        </w:rPr>
        <w:t>损失。</w:t>
      </w:r>
    </w:p>
    <w:p w14:paraId="178A5E2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3.在合同规定的供货期内乙方未如数交货，除应如数补齐外，还应承担合同总款的10％违约金。</w:t>
      </w:r>
    </w:p>
    <w:p w14:paraId="4F9FD71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4.质量保证期内因产品质量问题，乙方未按合同规定及时进行维修、更换，甲方可自行组织人员进行维修、更换，因此造成的相关责任、费用由乙方承担，同时质量保证期重新起算。</w:t>
      </w:r>
    </w:p>
    <w:p w14:paraId="2699405F">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5.乙方擅自更换产品或材料，除恢复到本合同或招标文件要求的产品或材料外，应承担更换部分价款10%的违约金。</w:t>
      </w:r>
    </w:p>
    <w:p w14:paraId="6A6EFF19">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6.乙方所供材料以次充好，除全部按要求恢复外，应承担此部分价款10%的违约金</w:t>
      </w:r>
      <w:r>
        <w:rPr>
          <w:rFonts w:hint="eastAsia" w:ascii="宋体" w:hAnsi="宋体" w:eastAsia="宋体" w:cs="宋体"/>
          <w:kern w:val="0"/>
          <w:sz w:val="24"/>
          <w:szCs w:val="24"/>
          <w:highlight w:val="none"/>
          <w:lang w:eastAsia="zh-CN"/>
        </w:rPr>
        <w:t>。</w:t>
      </w:r>
    </w:p>
    <w:p w14:paraId="5D52EB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7.如由于产品质量原因，不能通过验收，乙方除按规定无偿更换外，应承担所涉及产品总价款的10％违约金。</w:t>
      </w:r>
    </w:p>
    <w:p w14:paraId="5E792D62">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0"/>
          <w:sz w:val="24"/>
          <w:szCs w:val="24"/>
          <w:highlight w:val="none"/>
        </w:rPr>
        <w:t>8.</w:t>
      </w:r>
      <w:r>
        <w:rPr>
          <w:rFonts w:hint="eastAsia" w:ascii="宋体" w:hAnsi="宋体" w:eastAsia="宋体" w:cs="宋体"/>
          <w:kern w:val="28"/>
          <w:sz w:val="24"/>
          <w:szCs w:val="24"/>
          <w:highlight w:val="none"/>
        </w:rPr>
        <w:t>乙方供应产品存在知识产权瑕疵或所有权瑕疵，导致第三方向甲方索赔的，因此产生的赔偿款、行政罚款、处理纠纷发生的律师费、诉讼费、保全费等各项费用由乙方承担。</w:t>
      </w:r>
    </w:p>
    <w:p w14:paraId="397622F7">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9.本合同签订后，乙方不得将本合同项下义务转交或委托任何第三方完成，一经发现，甲方有权解除合同。乙方应当按照合同总价款两倍向甲方支付违约金。</w:t>
      </w:r>
    </w:p>
    <w:p w14:paraId="02CBDFAC">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10.如因天气原因或甲方安排等原因需要调整供货时间、地点的，乙方应当无条件配合甲方，合同期限相应顺延且甲方不承担任何责任。</w:t>
      </w:r>
    </w:p>
    <w:p w14:paraId="0F8C6F43">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3" w:name="_Toc495505743"/>
      <w:bookmarkStart w:id="24" w:name="_Toc1802"/>
      <w:r>
        <w:rPr>
          <w:rFonts w:hint="eastAsia" w:ascii="宋体" w:hAnsi="宋体" w:eastAsia="宋体" w:cs="宋体"/>
          <w:b/>
          <w:bCs/>
          <w:kern w:val="0"/>
          <w:sz w:val="24"/>
          <w:szCs w:val="24"/>
          <w:highlight w:val="none"/>
        </w:rPr>
        <w:t>十二、争议解决</w:t>
      </w:r>
      <w:bookmarkEnd w:id="23"/>
      <w:bookmarkEnd w:id="24"/>
    </w:p>
    <w:p w14:paraId="1662066F">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hint="eastAsia" w:ascii="宋体" w:hAnsi="宋体" w:eastAsia="宋体" w:cs="宋体"/>
          <w:kern w:val="0"/>
          <w:sz w:val="24"/>
          <w:szCs w:val="24"/>
          <w:highlight w:val="none"/>
        </w:rPr>
        <w:t>甲方所在地人民法院管辖。</w:t>
      </w:r>
    </w:p>
    <w:p w14:paraId="67C2C7DB">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5" w:name="_Toc495505744"/>
      <w:bookmarkStart w:id="26" w:name="_Toc7958"/>
      <w:r>
        <w:rPr>
          <w:rFonts w:hint="eastAsia" w:ascii="宋体" w:hAnsi="宋体" w:eastAsia="宋体" w:cs="宋体"/>
          <w:b/>
          <w:bCs/>
          <w:kern w:val="0"/>
          <w:sz w:val="24"/>
          <w:szCs w:val="24"/>
          <w:highlight w:val="none"/>
        </w:rPr>
        <w:t>十三、协议期限</w:t>
      </w:r>
      <w:bookmarkEnd w:id="25"/>
      <w:bookmarkEnd w:id="26"/>
    </w:p>
    <w:p w14:paraId="7593736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1.合同经</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和</w:t>
      </w:r>
      <w:r>
        <w:rPr>
          <w:rFonts w:hint="eastAsia" w:ascii="宋体" w:hAnsi="宋体" w:eastAsia="宋体" w:cs="宋体"/>
          <w:kern w:val="0"/>
          <w:sz w:val="24"/>
          <w:szCs w:val="24"/>
          <w:highlight w:val="none"/>
          <w:lang w:val="en-US" w:eastAsia="zh-CN"/>
        </w:rPr>
        <w:t>乙方</w:t>
      </w:r>
      <w:r>
        <w:rPr>
          <w:rFonts w:hint="eastAsia" w:ascii="宋体" w:hAnsi="宋体" w:eastAsia="宋体" w:cs="宋体"/>
          <w:kern w:val="0"/>
          <w:sz w:val="24"/>
          <w:szCs w:val="24"/>
          <w:highlight w:val="none"/>
        </w:rPr>
        <w:t>双方法定代表人或者授权代表人签字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并加盖公章（或合同章）即行生效。</w:t>
      </w:r>
    </w:p>
    <w:p w14:paraId="1F183B95">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2.合同签订后双方即直接产生权利与义务的关系，合同执行过程中出现的问题应按照《中华人民共和国民法典》等有关规定办理。</w:t>
      </w:r>
    </w:p>
    <w:p w14:paraId="097473E8">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3.合同在执行过程中出现的未尽事宜，双方在不违背本合同和招标文件的原则下协商解决，协商结果以“纪要”形式盖章记录在案，作为本合同的附件，与本合同具有同等效力。</w:t>
      </w:r>
    </w:p>
    <w:p w14:paraId="6E03FB0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7" w:name="_Toc27197"/>
      <w:bookmarkStart w:id="28" w:name="_Toc495505745"/>
      <w:r>
        <w:rPr>
          <w:rFonts w:hint="eastAsia" w:ascii="宋体" w:hAnsi="宋体" w:eastAsia="宋体" w:cs="宋体"/>
          <w:b/>
          <w:bCs/>
          <w:kern w:val="0"/>
          <w:sz w:val="24"/>
          <w:szCs w:val="24"/>
          <w:highlight w:val="none"/>
        </w:rPr>
        <w:t>十四、不可抗力</w:t>
      </w:r>
      <w:bookmarkEnd w:id="27"/>
      <w:bookmarkEnd w:id="28"/>
    </w:p>
    <w:p w14:paraId="01282DB9">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1.本合同项下的“不可抗力”是指不能预见，不能避免且不能克服的客观情况，使得本合同一方当事人无法履行合同义务，如战争、严重火灾、水灾、风灾和地震属于不可抗力的事故。</w:t>
      </w:r>
    </w:p>
    <w:p w14:paraId="0BCC7F2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628C19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3.如不可抗力时间延续120天以上的，各方通过协商达成在合理的时间内继续履行合同，或部分履行合同，或终止合同的履行。</w:t>
      </w:r>
    </w:p>
    <w:p w14:paraId="31D1BAC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4.一方迟延履行后发生不可抗力的，不能免除责任。</w:t>
      </w:r>
    </w:p>
    <w:p w14:paraId="60A013C7">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9" w:name="_Toc25810"/>
      <w:bookmarkStart w:id="30" w:name="_Toc495505746"/>
      <w:r>
        <w:rPr>
          <w:rFonts w:hint="eastAsia" w:ascii="宋体" w:hAnsi="宋体" w:eastAsia="宋体" w:cs="宋体"/>
          <w:b/>
          <w:bCs/>
          <w:kern w:val="0"/>
          <w:sz w:val="24"/>
          <w:szCs w:val="24"/>
          <w:highlight w:val="none"/>
        </w:rPr>
        <w:t>十五、通知和合同修改</w:t>
      </w:r>
      <w:bookmarkEnd w:id="29"/>
      <w:bookmarkEnd w:id="30"/>
    </w:p>
    <w:p w14:paraId="78323BCC">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本合同一方给另一方的通知，都应以书面的形式（信函、传真）发送至对方，对本合同条款进行任何改动，均须由甲乙双方签署书面合同修改签证，方为有效。</w:t>
      </w:r>
    </w:p>
    <w:p w14:paraId="4E3ADAA4">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31" w:name="_Toc495505747"/>
      <w:bookmarkStart w:id="32" w:name="_Toc24358"/>
      <w:r>
        <w:rPr>
          <w:rFonts w:hint="eastAsia" w:ascii="宋体" w:hAnsi="宋体" w:eastAsia="宋体" w:cs="宋体"/>
          <w:b/>
          <w:bCs/>
          <w:kern w:val="0"/>
          <w:sz w:val="24"/>
          <w:szCs w:val="24"/>
          <w:highlight w:val="none"/>
        </w:rPr>
        <w:t>十六、其他规定</w:t>
      </w:r>
      <w:bookmarkEnd w:id="31"/>
      <w:bookmarkEnd w:id="32"/>
    </w:p>
    <w:p w14:paraId="4DDAE13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787E0EF6">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本合同甲、乙双方均同意以上条款内容。</w:t>
      </w:r>
    </w:p>
    <w:p w14:paraId="57E707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本合同一式</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份，其中，甲方</w:t>
      </w:r>
      <w:r>
        <w:rPr>
          <w:rFonts w:hint="eastAsia" w:ascii="宋体" w:hAnsi="宋体" w:eastAsia="宋体" w:cs="宋体"/>
          <w:kern w:val="0"/>
          <w:sz w:val="24"/>
          <w:szCs w:val="24"/>
          <w:highlight w:val="none"/>
          <w:u w:val="single"/>
        </w:rPr>
        <w:t>伍</w:t>
      </w:r>
      <w:r>
        <w:rPr>
          <w:rFonts w:hint="eastAsia" w:ascii="宋体" w:hAnsi="宋体" w:eastAsia="宋体" w:cs="宋体"/>
          <w:kern w:val="0"/>
          <w:sz w:val="24"/>
          <w:szCs w:val="24"/>
          <w:highlight w:val="none"/>
        </w:rPr>
        <w:t>份，乙方</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份，具有同等的法律效力。</w:t>
      </w:r>
    </w:p>
    <w:p w14:paraId="7DF27F7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本合同的订立、履行、变更、终止、解释等均适用中华人民共和国法律。</w:t>
      </w:r>
    </w:p>
    <w:p w14:paraId="3B96B60E">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本合同未尽事宜由双方共同协商，另行订立补充协议，补充协议与本协议具有同样的法律效力。如果本合同之附件与本合同规定不符， 以本合同规定为准。</w:t>
      </w:r>
    </w:p>
    <w:p w14:paraId="3D343CFE">
      <w:pPr>
        <w:widowControl/>
        <w:spacing w:line="360" w:lineRule="auto"/>
        <w:ind w:firstLine="482" w:firstLineChars="200"/>
        <w:jc w:val="left"/>
        <w:rPr>
          <w:rFonts w:hint="eastAsia" w:ascii="宋体" w:hAnsi="宋体" w:eastAsia="宋体" w:cs="宋体"/>
          <w:b/>
          <w:bCs/>
          <w:kern w:val="0"/>
          <w:sz w:val="24"/>
          <w:szCs w:val="24"/>
          <w:highlight w:val="none"/>
        </w:rPr>
      </w:pPr>
    </w:p>
    <w:p w14:paraId="44272068">
      <w:pPr>
        <w:widowControl/>
        <w:spacing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附件：采购内容主要技术参数</w:t>
      </w:r>
    </w:p>
    <w:p w14:paraId="7E67E993">
      <w:pPr>
        <w:pStyle w:val="5"/>
        <w:spacing w:line="520" w:lineRule="exact"/>
        <w:ind w:firstLine="560"/>
        <w:jc w:val="center"/>
        <w:rPr>
          <w:rFonts w:ascii="宋体" w:hAnsi="宋体" w:eastAsia="宋体" w:cs="宋体"/>
          <w:sz w:val="24"/>
          <w:szCs w:val="24"/>
          <w:highlight w:val="none"/>
        </w:rPr>
      </w:pPr>
      <w:r>
        <w:rPr>
          <w:rFonts w:hint="eastAsia" w:ascii="宋体" w:hAnsi="宋体" w:eastAsia="宋体" w:cs="宋体"/>
          <w:sz w:val="24"/>
          <w:szCs w:val="24"/>
          <w:highlight w:val="none"/>
        </w:rPr>
        <w:t>（以下无正文，为合同签章页）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5" w:type="dxa"/>
          <w:bottom w:w="0" w:type="dxa"/>
          <w:right w:w="105" w:type="dxa"/>
        </w:tblCellMar>
      </w:tblPr>
      <w:tblGrid>
        <w:gridCol w:w="4265"/>
        <w:gridCol w:w="4251"/>
      </w:tblGrid>
      <w:tr w14:paraId="621E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233" w:hRule="atLeast"/>
          <w:jc w:val="center"/>
        </w:trPr>
        <w:tc>
          <w:tcPr>
            <w:tcW w:w="4268" w:type="dxa"/>
            <w:vAlign w:val="center"/>
          </w:tcPr>
          <w:p w14:paraId="3800451E">
            <w:pPr>
              <w:spacing w:line="400" w:lineRule="exact"/>
              <w:rPr>
                <w:rFonts w:ascii="宋体" w:hAnsi="宋体" w:eastAsia="宋体" w:cs="宋体"/>
                <w:szCs w:val="21"/>
                <w:highlight w:val="none"/>
              </w:rPr>
            </w:pPr>
            <w:r>
              <w:rPr>
                <w:rFonts w:hint="eastAsia" w:ascii="宋体" w:hAnsi="宋体" w:cs="宋体"/>
                <w:szCs w:val="21"/>
                <w:highlight w:val="none"/>
              </w:rPr>
              <w:t>甲方：陕西工业职业技术</w:t>
            </w:r>
            <w:r>
              <w:rPr>
                <w:rFonts w:hint="eastAsia" w:ascii="宋体" w:hAnsi="宋体" w:cs="宋体"/>
                <w:szCs w:val="21"/>
                <w:highlight w:val="none"/>
                <w:lang w:val="en-US" w:eastAsia="zh-CN"/>
              </w:rPr>
              <w:t>大学</w:t>
            </w:r>
            <w:r>
              <w:rPr>
                <w:rFonts w:hint="eastAsia" w:ascii="宋体" w:hAnsi="宋体" w:cs="宋体"/>
                <w:szCs w:val="21"/>
                <w:highlight w:val="none"/>
              </w:rPr>
              <w:t>（盖章）</w:t>
            </w:r>
          </w:p>
        </w:tc>
        <w:tc>
          <w:tcPr>
            <w:tcW w:w="4255" w:type="dxa"/>
            <w:vAlign w:val="center"/>
          </w:tcPr>
          <w:p w14:paraId="497A2BBF">
            <w:pPr>
              <w:spacing w:line="400" w:lineRule="exact"/>
              <w:rPr>
                <w:rFonts w:ascii="宋体" w:hAnsi="宋体" w:cs="宋体"/>
                <w:szCs w:val="21"/>
                <w:highlight w:val="none"/>
              </w:rPr>
            </w:pPr>
            <w:r>
              <w:rPr>
                <w:rFonts w:hint="eastAsia" w:ascii="宋体" w:hAnsi="宋体" w:cs="宋体"/>
                <w:szCs w:val="21"/>
                <w:highlight w:val="none"/>
              </w:rPr>
              <w:t>乙方：                        （盖章）</w:t>
            </w:r>
          </w:p>
        </w:tc>
      </w:tr>
      <w:tr w14:paraId="0465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73" w:hRule="atLeast"/>
          <w:jc w:val="center"/>
        </w:trPr>
        <w:tc>
          <w:tcPr>
            <w:tcW w:w="4268" w:type="dxa"/>
            <w:shd w:val="clear" w:color="auto" w:fill="auto"/>
            <w:vAlign w:val="center"/>
          </w:tcPr>
          <w:p w14:paraId="45FDD900">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 xml:space="preserve">法人代表或授权代表： </w:t>
            </w:r>
          </w:p>
          <w:p w14:paraId="7E9530FA">
            <w:pPr>
              <w:pageBreakBefore w:val="0"/>
              <w:widowControl w:val="0"/>
              <w:kinsoku/>
              <w:wordWrap/>
              <w:overflowPunct/>
              <w:topLinePunct w:val="0"/>
              <w:autoSpaceDE/>
              <w:autoSpaceDN/>
              <w:bidi w:val="0"/>
              <w:adjustRightInd/>
              <w:snapToGrid/>
              <w:spacing w:line="400" w:lineRule="exact"/>
              <w:textAlignment w:val="auto"/>
              <w:rPr>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c>
          <w:tcPr>
            <w:tcW w:w="4255" w:type="dxa"/>
            <w:shd w:val="clear" w:color="auto" w:fill="auto"/>
            <w:vAlign w:val="center"/>
          </w:tcPr>
          <w:p w14:paraId="685198D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法人代表或授权代表：</w:t>
            </w:r>
          </w:p>
          <w:p w14:paraId="6CDB2A5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r>
      <w:tr w14:paraId="16BB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33" w:hRule="atLeast"/>
          <w:jc w:val="center"/>
        </w:trPr>
        <w:tc>
          <w:tcPr>
            <w:tcW w:w="4268" w:type="dxa"/>
            <w:shd w:val="clear" w:color="auto" w:fill="auto"/>
            <w:vAlign w:val="center"/>
          </w:tcPr>
          <w:p w14:paraId="610499C3">
            <w:pPr>
              <w:spacing w:line="400" w:lineRule="exact"/>
              <w:rPr>
                <w:rFonts w:ascii="宋体" w:hAnsi="宋体" w:eastAsia="宋体" w:cs="宋体"/>
                <w:szCs w:val="21"/>
                <w:highlight w:val="none"/>
              </w:rPr>
            </w:pPr>
            <w:r>
              <w:rPr>
                <w:rFonts w:hint="eastAsia" w:ascii="宋体" w:hAnsi="宋体" w:cs="宋体"/>
                <w:szCs w:val="21"/>
                <w:highlight w:val="none"/>
              </w:rPr>
              <w:t>地址：陕西省咸阳市文汇西路12号</w:t>
            </w:r>
          </w:p>
        </w:tc>
        <w:tc>
          <w:tcPr>
            <w:tcW w:w="4255" w:type="dxa"/>
            <w:shd w:val="clear" w:color="auto" w:fill="auto"/>
            <w:vAlign w:val="center"/>
          </w:tcPr>
          <w:p w14:paraId="73153861">
            <w:pPr>
              <w:spacing w:line="400" w:lineRule="exact"/>
              <w:rPr>
                <w:rFonts w:ascii="宋体" w:hAnsi="宋体" w:eastAsia="宋体" w:cs="宋体"/>
                <w:szCs w:val="21"/>
                <w:highlight w:val="none"/>
              </w:rPr>
            </w:pPr>
            <w:r>
              <w:rPr>
                <w:rFonts w:hint="eastAsia" w:ascii="宋体" w:hAnsi="宋体" w:cs="宋体"/>
                <w:szCs w:val="21"/>
                <w:highlight w:val="none"/>
              </w:rPr>
              <w:t>地址：</w:t>
            </w:r>
          </w:p>
        </w:tc>
      </w:tr>
      <w:tr w14:paraId="1726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AA33355">
            <w:pPr>
              <w:spacing w:line="400" w:lineRule="exact"/>
              <w:rPr>
                <w:rFonts w:ascii="宋体" w:hAnsi="宋体" w:eastAsia="宋体" w:cs="宋体"/>
                <w:szCs w:val="21"/>
                <w:highlight w:val="none"/>
              </w:rPr>
            </w:pPr>
            <w:r>
              <w:rPr>
                <w:rFonts w:hint="eastAsia" w:ascii="宋体" w:hAnsi="宋体" w:cs="宋体"/>
                <w:szCs w:val="21"/>
                <w:highlight w:val="none"/>
              </w:rPr>
              <w:t>税号：12610000435630183M</w:t>
            </w:r>
          </w:p>
        </w:tc>
        <w:tc>
          <w:tcPr>
            <w:tcW w:w="4255" w:type="dxa"/>
            <w:vAlign w:val="center"/>
          </w:tcPr>
          <w:p w14:paraId="7CB6C27F">
            <w:pPr>
              <w:spacing w:line="400" w:lineRule="exact"/>
              <w:rPr>
                <w:rFonts w:ascii="宋体" w:hAnsi="宋体" w:cs="宋体"/>
                <w:szCs w:val="21"/>
                <w:highlight w:val="none"/>
              </w:rPr>
            </w:pPr>
            <w:r>
              <w:rPr>
                <w:rFonts w:hint="eastAsia" w:ascii="宋体" w:hAnsi="宋体" w:cs="宋体"/>
                <w:szCs w:val="21"/>
                <w:highlight w:val="none"/>
              </w:rPr>
              <w:t>税号：</w:t>
            </w:r>
          </w:p>
        </w:tc>
      </w:tr>
      <w:tr w14:paraId="6959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2E49157">
            <w:pPr>
              <w:spacing w:line="400" w:lineRule="exact"/>
              <w:rPr>
                <w:rFonts w:ascii="宋体" w:hAnsi="宋体" w:cs="宋体"/>
                <w:szCs w:val="21"/>
                <w:highlight w:val="none"/>
              </w:rPr>
            </w:pPr>
            <w:r>
              <w:rPr>
                <w:rFonts w:hint="eastAsia" w:ascii="宋体" w:hAnsi="宋体" w:cs="宋体"/>
                <w:szCs w:val="21"/>
                <w:highlight w:val="none"/>
              </w:rPr>
              <w:t>开户银行：中国银行咸阳分行</w:t>
            </w:r>
          </w:p>
        </w:tc>
        <w:tc>
          <w:tcPr>
            <w:tcW w:w="4255" w:type="dxa"/>
            <w:vAlign w:val="center"/>
          </w:tcPr>
          <w:p w14:paraId="61B9ACA1">
            <w:pPr>
              <w:spacing w:line="400" w:lineRule="exact"/>
              <w:rPr>
                <w:rFonts w:ascii="宋体" w:hAnsi="宋体" w:cs="宋体"/>
                <w:szCs w:val="21"/>
                <w:highlight w:val="none"/>
              </w:rPr>
            </w:pPr>
            <w:r>
              <w:rPr>
                <w:rFonts w:hint="eastAsia" w:ascii="宋体" w:hAnsi="宋体" w:cs="宋体"/>
                <w:szCs w:val="21"/>
                <w:highlight w:val="none"/>
              </w:rPr>
              <w:t>开户银行：</w:t>
            </w:r>
          </w:p>
        </w:tc>
      </w:tr>
      <w:tr w14:paraId="7B4C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0D7D5681">
            <w:pPr>
              <w:spacing w:line="400" w:lineRule="exact"/>
              <w:rPr>
                <w:rFonts w:ascii="宋体" w:hAnsi="宋体" w:cs="宋体"/>
                <w:szCs w:val="21"/>
                <w:highlight w:val="none"/>
              </w:rPr>
            </w:pPr>
            <w:r>
              <w:rPr>
                <w:rFonts w:hint="eastAsia" w:ascii="宋体" w:hAnsi="宋体" w:cs="宋体"/>
                <w:szCs w:val="21"/>
                <w:highlight w:val="none"/>
              </w:rPr>
              <w:t>账号：1024 0332 6818</w:t>
            </w:r>
          </w:p>
        </w:tc>
        <w:tc>
          <w:tcPr>
            <w:tcW w:w="4255" w:type="dxa"/>
            <w:vAlign w:val="center"/>
          </w:tcPr>
          <w:p w14:paraId="6F5E7B83">
            <w:pPr>
              <w:spacing w:line="400" w:lineRule="exact"/>
              <w:rPr>
                <w:rFonts w:ascii="宋体" w:hAnsi="宋体" w:cs="宋体"/>
                <w:szCs w:val="21"/>
                <w:highlight w:val="none"/>
              </w:rPr>
            </w:pPr>
            <w:r>
              <w:rPr>
                <w:rFonts w:hint="eastAsia" w:ascii="宋体" w:hAnsi="宋体" w:cs="宋体"/>
                <w:szCs w:val="21"/>
                <w:highlight w:val="none"/>
                <w:lang w:val="en-US" w:eastAsia="zh-CN"/>
              </w:rPr>
              <w:t>项目专用</w:t>
            </w:r>
            <w:r>
              <w:rPr>
                <w:rFonts w:hint="eastAsia" w:ascii="宋体" w:hAnsi="宋体" w:cs="宋体"/>
                <w:szCs w:val="21"/>
                <w:highlight w:val="none"/>
              </w:rPr>
              <w:t>账号：</w:t>
            </w:r>
          </w:p>
        </w:tc>
      </w:tr>
      <w:tr w14:paraId="4BF5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55BE6809">
            <w:pPr>
              <w:spacing w:line="400" w:lineRule="exact"/>
              <w:rPr>
                <w:rFonts w:ascii="宋体" w:hAnsi="宋体" w:eastAsia="宋体" w:cs="宋体"/>
                <w:szCs w:val="21"/>
                <w:highlight w:val="none"/>
              </w:rPr>
            </w:pPr>
            <w:r>
              <w:rPr>
                <w:rFonts w:hint="eastAsia" w:ascii="宋体" w:hAnsi="宋体" w:cs="宋体"/>
                <w:szCs w:val="21"/>
                <w:highlight w:val="none"/>
              </w:rPr>
              <w:t>甲方项目负责人：</w:t>
            </w:r>
          </w:p>
        </w:tc>
        <w:tc>
          <w:tcPr>
            <w:tcW w:w="4255" w:type="dxa"/>
            <w:vAlign w:val="center"/>
          </w:tcPr>
          <w:p w14:paraId="23CE2506">
            <w:pPr>
              <w:spacing w:line="400" w:lineRule="exact"/>
              <w:rPr>
                <w:rFonts w:ascii="宋体" w:hAnsi="宋体" w:cs="宋体"/>
                <w:szCs w:val="21"/>
                <w:highlight w:val="none"/>
              </w:rPr>
            </w:pPr>
            <w:r>
              <w:rPr>
                <w:rFonts w:hint="eastAsia" w:ascii="宋体" w:hAnsi="宋体" w:cs="宋体"/>
                <w:szCs w:val="21"/>
                <w:highlight w:val="none"/>
              </w:rPr>
              <w:t>乙方项目负责人：</w:t>
            </w:r>
          </w:p>
        </w:tc>
      </w:tr>
      <w:tr w14:paraId="15AA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3C4AAC9F">
            <w:pPr>
              <w:spacing w:line="400" w:lineRule="exact"/>
              <w:rPr>
                <w:rFonts w:ascii="宋体" w:hAnsi="宋体" w:eastAsia="宋体" w:cs="宋体"/>
                <w:szCs w:val="21"/>
                <w:highlight w:val="none"/>
              </w:rPr>
            </w:pPr>
            <w:r>
              <w:rPr>
                <w:rFonts w:hint="eastAsia" w:ascii="宋体" w:hAnsi="宋体" w:eastAsia="宋体" w:cs="宋体"/>
                <w:szCs w:val="21"/>
                <w:highlight w:val="none"/>
              </w:rPr>
              <w:t>联系电话：</w:t>
            </w:r>
          </w:p>
        </w:tc>
        <w:tc>
          <w:tcPr>
            <w:tcW w:w="4255" w:type="dxa"/>
            <w:vAlign w:val="center"/>
          </w:tcPr>
          <w:p w14:paraId="6737A57A">
            <w:pPr>
              <w:spacing w:line="400" w:lineRule="exact"/>
              <w:rPr>
                <w:rFonts w:ascii="宋体" w:hAnsi="宋体" w:cs="宋体"/>
                <w:szCs w:val="21"/>
                <w:highlight w:val="none"/>
              </w:rPr>
            </w:pPr>
            <w:r>
              <w:rPr>
                <w:rFonts w:hint="eastAsia" w:ascii="宋体" w:hAnsi="宋体" w:eastAsia="宋体" w:cs="宋体"/>
                <w:szCs w:val="21"/>
                <w:highlight w:val="none"/>
              </w:rPr>
              <w:t>联系电话：</w:t>
            </w:r>
          </w:p>
        </w:tc>
      </w:tr>
      <w:tr w14:paraId="6BCE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908" w:hRule="atLeast"/>
          <w:jc w:val="center"/>
        </w:trPr>
        <w:tc>
          <w:tcPr>
            <w:tcW w:w="4268" w:type="dxa"/>
            <w:vAlign w:val="center"/>
          </w:tcPr>
          <w:p w14:paraId="5B8AD28A">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c>
          <w:tcPr>
            <w:tcW w:w="4255" w:type="dxa"/>
            <w:vAlign w:val="center"/>
          </w:tcPr>
          <w:p w14:paraId="5E37E275">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r>
    </w:tbl>
    <w:p w14:paraId="3387567C">
      <w:pPr>
        <w:spacing w:before="312" w:beforeLines="100"/>
        <w:rPr>
          <w:rFonts w:ascii="宋体" w:hAnsi="宋体" w:cs="宋体"/>
          <w:sz w:val="24"/>
          <w:szCs w:val="24"/>
          <w:highlight w:val="none"/>
          <w:u w:val="single"/>
        </w:rPr>
      </w:pPr>
      <w:r>
        <w:rPr>
          <w:rFonts w:hint="eastAsia" w:ascii="宋体" w:hAnsi="宋体" w:cs="宋体"/>
          <w:sz w:val="24"/>
          <w:szCs w:val="24"/>
          <w:highlight w:val="none"/>
        </w:rPr>
        <w:t>采购代理机构（盖章）：</w:t>
      </w:r>
      <w:r>
        <w:rPr>
          <w:rFonts w:hint="eastAsia" w:ascii="宋体" w:hAnsi="宋体" w:cs="宋体"/>
          <w:sz w:val="24"/>
          <w:szCs w:val="24"/>
          <w:highlight w:val="none"/>
          <w:u w:val="single"/>
        </w:rPr>
        <w:t xml:space="preserve">                 </w:t>
      </w:r>
    </w:p>
    <w:p w14:paraId="7EC3B0B9">
      <w:pPr>
        <w:spacing w:before="312" w:beforeLines="100"/>
        <w:rPr>
          <w:rFonts w:ascii="宋体" w:hAnsi="宋体" w:cs="宋体"/>
          <w:sz w:val="24"/>
          <w:szCs w:val="24"/>
          <w:highlight w:val="none"/>
        </w:rPr>
      </w:pPr>
      <w:r>
        <w:rPr>
          <w:rFonts w:hint="eastAsia" w:ascii="宋体" w:hAnsi="宋体" w:cs="宋体"/>
          <w:sz w:val="24"/>
          <w:szCs w:val="24"/>
          <w:highlight w:val="none"/>
        </w:rPr>
        <w:t>代                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0706A7A3">
      <w:pPr>
        <w:pStyle w:val="4"/>
        <w:spacing w:before="312" w:beforeLines="100"/>
        <w:rPr>
          <w:rFonts w:hAnsi="宋体"/>
          <w:b/>
          <w:sz w:val="24"/>
          <w:highlight w:val="none"/>
        </w:rPr>
      </w:pPr>
      <w:r>
        <w:rPr>
          <w:rFonts w:hint="eastAsia" w:hAnsi="宋体" w:cs="宋体"/>
          <w:sz w:val="24"/>
          <w:szCs w:val="24"/>
          <w:highlight w:val="none"/>
        </w:rPr>
        <w:t>签订日期：</w:t>
      </w: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 xml:space="preserve"> 月</w:t>
      </w:r>
      <w:r>
        <w:rPr>
          <w:rFonts w:hint="eastAsia" w:hAnsi="宋体" w:cs="宋体"/>
          <w:sz w:val="24"/>
          <w:szCs w:val="24"/>
          <w:highlight w:val="none"/>
          <w:u w:val="single"/>
        </w:rPr>
        <w:t xml:space="preserve">    </w:t>
      </w:r>
      <w:r>
        <w:rPr>
          <w:rFonts w:hint="eastAsia" w:hAnsi="宋体" w:cs="宋体"/>
          <w:sz w:val="24"/>
          <w:szCs w:val="24"/>
          <w:highlight w:val="none"/>
        </w:rPr>
        <w:t>日</w:t>
      </w:r>
    </w:p>
    <w:p w14:paraId="5A8849CA">
      <w:pPr>
        <w:rPr>
          <w:highlight w:val="none"/>
        </w:rPr>
      </w:pPr>
      <w:r>
        <w:rPr>
          <w:highlight w:val="none"/>
        </w:rPr>
        <w:br w:type="page"/>
      </w:r>
    </w:p>
    <w:p w14:paraId="40FE1820">
      <w:pPr>
        <w:rPr>
          <w:rFonts w:ascii="宋体" w:hAnsi="宋体" w:eastAsia="宋体" w:cs="宋体"/>
          <w:sz w:val="24"/>
          <w:szCs w:val="24"/>
          <w:highlight w:val="none"/>
        </w:rPr>
      </w:pPr>
      <w:r>
        <w:rPr>
          <w:rFonts w:hint="eastAsia" w:ascii="宋体" w:hAnsi="宋体" w:eastAsia="宋体" w:cs="宋体"/>
          <w:sz w:val="24"/>
          <w:szCs w:val="24"/>
          <w:highlight w:val="none"/>
        </w:rPr>
        <w:t>附件：采购内容主要技术参数</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313"/>
        <w:gridCol w:w="1533"/>
        <w:gridCol w:w="2037"/>
        <w:gridCol w:w="2992"/>
      </w:tblGrid>
      <w:tr w14:paraId="362A7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44" w:type="dxa"/>
            <w:shd w:val="clear" w:color="auto" w:fill="auto"/>
            <w:vAlign w:val="center"/>
          </w:tcPr>
          <w:p w14:paraId="453A9163">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1313" w:type="dxa"/>
            <w:shd w:val="clear" w:color="auto" w:fill="auto"/>
            <w:vAlign w:val="center"/>
          </w:tcPr>
          <w:p w14:paraId="04C55C0C">
            <w:pPr>
              <w:autoSpaceDN w:val="0"/>
              <w:adjustRightInd w:val="0"/>
              <w:snapToGrid w:val="0"/>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产品</w:t>
            </w:r>
            <w:r>
              <w:rPr>
                <w:rFonts w:hint="eastAsia" w:ascii="宋体" w:hAnsi="宋体" w:eastAsia="宋体" w:cs="宋体"/>
                <w:bCs/>
                <w:sz w:val="24"/>
                <w:szCs w:val="24"/>
                <w:highlight w:val="none"/>
              </w:rPr>
              <w:t>名称</w:t>
            </w:r>
          </w:p>
        </w:tc>
        <w:tc>
          <w:tcPr>
            <w:tcW w:w="1533" w:type="dxa"/>
            <w:shd w:val="clear" w:color="auto" w:fill="auto"/>
            <w:vAlign w:val="center"/>
          </w:tcPr>
          <w:p w14:paraId="01548E6F">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品牌</w:t>
            </w:r>
          </w:p>
        </w:tc>
        <w:tc>
          <w:tcPr>
            <w:tcW w:w="2037" w:type="dxa"/>
            <w:vAlign w:val="center"/>
          </w:tcPr>
          <w:p w14:paraId="483240FA">
            <w:pPr>
              <w:autoSpaceDN w:val="0"/>
              <w:adjustRightInd w:val="0"/>
              <w:snapToGrid w:val="0"/>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数量（单位）</w:t>
            </w:r>
          </w:p>
        </w:tc>
        <w:tc>
          <w:tcPr>
            <w:tcW w:w="2992" w:type="dxa"/>
            <w:vAlign w:val="center"/>
          </w:tcPr>
          <w:p w14:paraId="2FE78F4A">
            <w:pPr>
              <w:keepNext/>
              <w:keepLines/>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highlight w:val="none"/>
              </w:rPr>
            </w:pPr>
            <w:r>
              <w:rPr>
                <w:rFonts w:hint="eastAsia" w:ascii="宋体" w:hAnsi="宋体" w:eastAsia="宋体" w:cs="宋体"/>
                <w:highlight w:val="none"/>
              </w:rPr>
              <w:t>技术参数</w:t>
            </w:r>
          </w:p>
        </w:tc>
      </w:tr>
      <w:tr w14:paraId="78C24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tcPr>
          <w:p w14:paraId="1744A737">
            <w:pPr>
              <w:pStyle w:val="2"/>
              <w:jc w:val="center"/>
              <w:rPr>
                <w:rFonts w:ascii="宋体" w:hAnsi="宋体" w:eastAsia="宋体" w:cs="宋体"/>
                <w:highlight w:val="none"/>
              </w:rPr>
            </w:pPr>
            <w:r>
              <w:rPr>
                <w:rFonts w:hint="eastAsia" w:ascii="宋体" w:hAnsi="宋体" w:eastAsia="宋体" w:cs="宋体"/>
                <w:highlight w:val="none"/>
              </w:rPr>
              <w:t>1</w:t>
            </w:r>
          </w:p>
        </w:tc>
        <w:tc>
          <w:tcPr>
            <w:tcW w:w="1313" w:type="dxa"/>
          </w:tcPr>
          <w:p w14:paraId="4157798A">
            <w:pPr>
              <w:pStyle w:val="2"/>
              <w:jc w:val="center"/>
              <w:rPr>
                <w:rFonts w:ascii="宋体" w:hAnsi="宋体" w:eastAsia="宋体" w:cs="宋体"/>
                <w:highlight w:val="none"/>
              </w:rPr>
            </w:pPr>
          </w:p>
        </w:tc>
        <w:tc>
          <w:tcPr>
            <w:tcW w:w="1533" w:type="dxa"/>
          </w:tcPr>
          <w:p w14:paraId="5DD09A41">
            <w:pPr>
              <w:pStyle w:val="2"/>
              <w:jc w:val="center"/>
              <w:rPr>
                <w:rFonts w:ascii="宋体" w:hAnsi="宋体" w:eastAsia="宋体" w:cs="宋体"/>
                <w:highlight w:val="none"/>
              </w:rPr>
            </w:pPr>
          </w:p>
        </w:tc>
        <w:tc>
          <w:tcPr>
            <w:tcW w:w="2037" w:type="dxa"/>
          </w:tcPr>
          <w:p w14:paraId="36C06974">
            <w:pPr>
              <w:pStyle w:val="2"/>
              <w:jc w:val="center"/>
              <w:rPr>
                <w:rFonts w:ascii="宋体" w:hAnsi="宋体" w:eastAsia="宋体" w:cs="宋体"/>
                <w:highlight w:val="none"/>
              </w:rPr>
            </w:pPr>
          </w:p>
        </w:tc>
        <w:tc>
          <w:tcPr>
            <w:tcW w:w="2992" w:type="dxa"/>
          </w:tcPr>
          <w:p w14:paraId="3BEE0594">
            <w:pPr>
              <w:pStyle w:val="2"/>
              <w:jc w:val="center"/>
              <w:rPr>
                <w:rFonts w:ascii="宋体" w:hAnsi="宋体" w:eastAsia="宋体" w:cs="宋体"/>
                <w:highlight w:val="none"/>
              </w:rPr>
            </w:pPr>
          </w:p>
        </w:tc>
      </w:tr>
      <w:tr w14:paraId="01FCF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tcPr>
          <w:p w14:paraId="7EC2267E">
            <w:pPr>
              <w:pStyle w:val="2"/>
              <w:jc w:val="center"/>
              <w:rPr>
                <w:rFonts w:ascii="宋体" w:hAnsi="宋体" w:eastAsia="宋体" w:cs="宋体"/>
                <w:highlight w:val="none"/>
              </w:rPr>
            </w:pPr>
            <w:r>
              <w:rPr>
                <w:rFonts w:hint="eastAsia" w:ascii="宋体" w:hAnsi="宋体" w:eastAsia="宋体" w:cs="宋体"/>
                <w:highlight w:val="none"/>
              </w:rPr>
              <w:t>2</w:t>
            </w:r>
          </w:p>
        </w:tc>
        <w:tc>
          <w:tcPr>
            <w:tcW w:w="1313" w:type="dxa"/>
          </w:tcPr>
          <w:p w14:paraId="5C5B8C34">
            <w:pPr>
              <w:pStyle w:val="2"/>
              <w:jc w:val="center"/>
              <w:rPr>
                <w:rFonts w:ascii="宋体" w:hAnsi="宋体" w:eastAsia="宋体" w:cs="宋体"/>
                <w:highlight w:val="none"/>
              </w:rPr>
            </w:pPr>
          </w:p>
        </w:tc>
        <w:tc>
          <w:tcPr>
            <w:tcW w:w="1533" w:type="dxa"/>
          </w:tcPr>
          <w:p w14:paraId="650CE7F9">
            <w:pPr>
              <w:pStyle w:val="2"/>
              <w:jc w:val="center"/>
              <w:rPr>
                <w:rFonts w:ascii="宋体" w:hAnsi="宋体" w:eastAsia="宋体" w:cs="宋体"/>
                <w:highlight w:val="none"/>
              </w:rPr>
            </w:pPr>
          </w:p>
        </w:tc>
        <w:tc>
          <w:tcPr>
            <w:tcW w:w="2037" w:type="dxa"/>
          </w:tcPr>
          <w:p w14:paraId="5D15E2D7">
            <w:pPr>
              <w:pStyle w:val="2"/>
              <w:jc w:val="center"/>
              <w:rPr>
                <w:rFonts w:ascii="宋体" w:hAnsi="宋体" w:eastAsia="宋体" w:cs="宋体"/>
                <w:highlight w:val="none"/>
              </w:rPr>
            </w:pPr>
          </w:p>
        </w:tc>
        <w:tc>
          <w:tcPr>
            <w:tcW w:w="2992" w:type="dxa"/>
          </w:tcPr>
          <w:p w14:paraId="72821108">
            <w:pPr>
              <w:pStyle w:val="2"/>
              <w:jc w:val="center"/>
              <w:rPr>
                <w:rFonts w:ascii="宋体" w:hAnsi="宋体" w:eastAsia="宋体" w:cs="宋体"/>
                <w:highlight w:val="none"/>
              </w:rPr>
            </w:pPr>
          </w:p>
        </w:tc>
      </w:tr>
      <w:tr w14:paraId="3430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tcPr>
          <w:p w14:paraId="0661985D">
            <w:pPr>
              <w:pStyle w:val="2"/>
              <w:jc w:val="center"/>
              <w:rPr>
                <w:rFonts w:ascii="宋体" w:hAnsi="宋体" w:eastAsia="宋体" w:cs="宋体"/>
                <w:highlight w:val="none"/>
              </w:rPr>
            </w:pPr>
            <w:r>
              <w:rPr>
                <w:rFonts w:hint="eastAsia" w:ascii="宋体" w:hAnsi="宋体" w:eastAsia="宋体" w:cs="宋体"/>
                <w:highlight w:val="none"/>
              </w:rPr>
              <w:t>3</w:t>
            </w:r>
          </w:p>
        </w:tc>
        <w:tc>
          <w:tcPr>
            <w:tcW w:w="1313" w:type="dxa"/>
          </w:tcPr>
          <w:p w14:paraId="32DEB151">
            <w:pPr>
              <w:pStyle w:val="2"/>
              <w:jc w:val="center"/>
              <w:rPr>
                <w:rFonts w:ascii="宋体" w:hAnsi="宋体" w:eastAsia="宋体" w:cs="宋体"/>
                <w:highlight w:val="none"/>
              </w:rPr>
            </w:pPr>
          </w:p>
        </w:tc>
        <w:tc>
          <w:tcPr>
            <w:tcW w:w="1533" w:type="dxa"/>
          </w:tcPr>
          <w:p w14:paraId="50279F6C">
            <w:pPr>
              <w:pStyle w:val="2"/>
              <w:jc w:val="center"/>
              <w:rPr>
                <w:rFonts w:ascii="宋体" w:hAnsi="宋体" w:eastAsia="宋体" w:cs="宋体"/>
                <w:highlight w:val="none"/>
              </w:rPr>
            </w:pPr>
          </w:p>
        </w:tc>
        <w:tc>
          <w:tcPr>
            <w:tcW w:w="2037" w:type="dxa"/>
          </w:tcPr>
          <w:p w14:paraId="175A4013">
            <w:pPr>
              <w:pStyle w:val="2"/>
              <w:jc w:val="center"/>
              <w:rPr>
                <w:rFonts w:ascii="宋体" w:hAnsi="宋体" w:eastAsia="宋体" w:cs="宋体"/>
                <w:highlight w:val="none"/>
              </w:rPr>
            </w:pPr>
          </w:p>
        </w:tc>
        <w:tc>
          <w:tcPr>
            <w:tcW w:w="2992" w:type="dxa"/>
          </w:tcPr>
          <w:p w14:paraId="044E02D4">
            <w:pPr>
              <w:pStyle w:val="2"/>
              <w:jc w:val="center"/>
              <w:rPr>
                <w:rFonts w:ascii="宋体" w:hAnsi="宋体" w:eastAsia="宋体" w:cs="宋体"/>
                <w:highlight w:val="none"/>
              </w:rPr>
            </w:pPr>
          </w:p>
        </w:tc>
      </w:tr>
      <w:tr w14:paraId="0642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tcPr>
          <w:p w14:paraId="16EA4035">
            <w:pPr>
              <w:pStyle w:val="2"/>
              <w:jc w:val="center"/>
              <w:rPr>
                <w:rFonts w:ascii="宋体" w:hAnsi="宋体" w:eastAsia="宋体" w:cs="宋体"/>
                <w:highlight w:val="none"/>
              </w:rPr>
            </w:pPr>
            <w:r>
              <w:rPr>
                <w:rFonts w:hint="eastAsia" w:ascii="宋体" w:hAnsi="宋体" w:eastAsia="宋体" w:cs="宋体"/>
                <w:highlight w:val="none"/>
              </w:rPr>
              <w:t>...</w:t>
            </w:r>
          </w:p>
        </w:tc>
        <w:tc>
          <w:tcPr>
            <w:tcW w:w="1313" w:type="dxa"/>
          </w:tcPr>
          <w:p w14:paraId="6403CCF9">
            <w:pPr>
              <w:pStyle w:val="2"/>
              <w:jc w:val="center"/>
              <w:rPr>
                <w:rFonts w:ascii="宋体" w:hAnsi="宋体" w:eastAsia="宋体" w:cs="宋体"/>
                <w:highlight w:val="none"/>
              </w:rPr>
            </w:pPr>
          </w:p>
        </w:tc>
        <w:tc>
          <w:tcPr>
            <w:tcW w:w="1533" w:type="dxa"/>
          </w:tcPr>
          <w:p w14:paraId="09485111">
            <w:pPr>
              <w:pStyle w:val="2"/>
              <w:jc w:val="center"/>
              <w:rPr>
                <w:rFonts w:ascii="宋体" w:hAnsi="宋体" w:eastAsia="宋体" w:cs="宋体"/>
                <w:highlight w:val="none"/>
              </w:rPr>
            </w:pPr>
          </w:p>
        </w:tc>
        <w:tc>
          <w:tcPr>
            <w:tcW w:w="2037" w:type="dxa"/>
          </w:tcPr>
          <w:p w14:paraId="751057C6">
            <w:pPr>
              <w:pStyle w:val="2"/>
              <w:jc w:val="center"/>
              <w:rPr>
                <w:rFonts w:ascii="宋体" w:hAnsi="宋体" w:eastAsia="宋体" w:cs="宋体"/>
                <w:highlight w:val="none"/>
              </w:rPr>
            </w:pPr>
          </w:p>
        </w:tc>
        <w:tc>
          <w:tcPr>
            <w:tcW w:w="2992" w:type="dxa"/>
          </w:tcPr>
          <w:p w14:paraId="07FCBC3D">
            <w:pPr>
              <w:pStyle w:val="2"/>
              <w:jc w:val="center"/>
              <w:rPr>
                <w:rFonts w:ascii="宋体" w:hAnsi="宋体" w:eastAsia="宋体" w:cs="宋体"/>
                <w:highlight w:val="none"/>
              </w:rPr>
            </w:pPr>
          </w:p>
        </w:tc>
      </w:tr>
    </w:tbl>
    <w:p w14:paraId="4033139E">
      <w:pPr>
        <w:pStyle w:val="2"/>
        <w:rPr>
          <w:highlight w:val="none"/>
        </w:rPr>
      </w:pPr>
    </w:p>
    <w:p w14:paraId="05CEDF81">
      <w:pPr>
        <w:pStyle w:val="9"/>
        <w:rPr>
          <w:rFonts w:hint="eastAsia"/>
          <w:lang w:val="en-US" w:eastAsia="zh-Hans"/>
        </w:rPr>
      </w:pPr>
    </w:p>
    <w:p w14:paraId="316D049B">
      <w:bookmarkStart w:id="33" w:name="_GoBack"/>
      <w:bookmarkEnd w:id="3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D189B">
    <w:pPr>
      <w:pStyle w:val="5"/>
      <w:tabs>
        <w:tab w:val="center" w:pos="436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51551D">
                          <w:pPr>
                            <w:pStyle w:val="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C51551D">
                    <w:pPr>
                      <w:pStyle w:val="5"/>
                    </w:pP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6F249"/>
    <w:multiLevelType w:val="singleLevel"/>
    <w:tmpl w:val="B4A6F249"/>
    <w:lvl w:ilvl="0" w:tentative="0">
      <w:start w:val="1"/>
      <w:numFmt w:val="decimal"/>
      <w:suff w:val="space"/>
      <w:lvlText w:val="(%1)"/>
      <w:lvlJc w:val="left"/>
      <w:pPr>
        <w:ind w:left="425" w:hanging="425"/>
      </w:pPr>
      <w:rPr>
        <w:rFonts w:hint="default"/>
      </w:rPr>
    </w:lvl>
  </w:abstractNum>
  <w:abstractNum w:abstractNumId="1">
    <w:nsid w:val="1E499ADD"/>
    <w:multiLevelType w:val="singleLevel"/>
    <w:tmpl w:val="1E499ADD"/>
    <w:lvl w:ilvl="0" w:tentative="0">
      <w:start w:val="1"/>
      <w:numFmt w:val="decimal"/>
      <w:suff w:val="space"/>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137E89"/>
    <w:rsid w:val="7A13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sz w:val="19"/>
      <w:szCs w:val="19"/>
      <w:lang w:val="en-US" w:eastAsia="en-US" w:bidi="ar-SA"/>
    </w:rPr>
  </w:style>
  <w:style w:type="paragraph" w:styleId="4">
    <w:name w:val="Plain Text"/>
    <w:basedOn w:val="1"/>
    <w:qFormat/>
    <w:uiPriority w:val="0"/>
    <w:rPr>
      <w:rFonts w:ascii="宋体" w:hAnsi="Courier New"/>
    </w:rPr>
  </w:style>
  <w:style w:type="paragraph" w:styleId="5">
    <w:name w:val="footer"/>
    <w:basedOn w:val="1"/>
    <w:unhideWhenUsed/>
    <w:qFormat/>
    <w:uiPriority w:val="99"/>
    <w:pPr>
      <w:tabs>
        <w:tab w:val="center" w:pos="4153"/>
        <w:tab w:val="right" w:pos="8306"/>
      </w:tabs>
      <w:snapToGrid w:val="0"/>
      <w:jc w:val="left"/>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2026-08-21T07:04:00Z</dcterms:created>
  <dc:creator>国创招标</dc:creator>
  <cp:lastModifiedBy>国创招标</cp:lastModifiedBy>
  <dcterms:modified xsi:type="dcterms:W3CDTF">2026-08-21T07:05:00Z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7F281A3B9CFF4569B4A61CA9C3484086_11</vt:lpwstr>
  </property>
  <property fmtid="{D5CDD505-2E9C-101B-9397-08002B2CF9AE}" pid="4" name="KSOTemplateDocerSaveRecord">
    <vt:lpwstr>eyJoZGlkIjoiYWMzOGEyM2JhNDIyMWNjZTJhZTY0M2ZhNjhhYjc0MWYiLCJ1c2VySWQiOiIxMTQ2NDU0OTA0In0=</vt:lpwstr>
  </property>
</Properties>
</file>