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4403F">
      <w:pPr>
        <w:pStyle w:val="13"/>
        <w:jc w:val="center"/>
        <w:outlineLvl w:val="1"/>
        <w:rPr>
          <w:color w:val="auto"/>
          <w:highlight w:val="none"/>
        </w:rPr>
      </w:pPr>
      <w:bookmarkStart w:id="8" w:name="_GoBack"/>
      <w:r>
        <w:rPr>
          <w:rFonts w:ascii="仿宋_GB2312" w:hAnsi="仿宋_GB2312" w:eastAsia="仿宋_GB2312" w:cs="仿宋_GB2312"/>
          <w:b/>
          <w:color w:val="auto"/>
          <w:sz w:val="36"/>
          <w:highlight w:val="none"/>
        </w:rPr>
        <w:t>拟签订采购合同文本</w:t>
      </w:r>
    </w:p>
    <w:p w14:paraId="7A0AC0F7">
      <w:pPr>
        <w:jc w:val="center"/>
        <w:rPr>
          <w:rFonts w:hint="eastAsia" w:ascii="方正公文小标宋" w:hAnsi="方正公文小标宋" w:eastAsia="方正公文小标宋" w:cs="方正公文小标宋"/>
          <w:color w:val="auto"/>
          <w:sz w:val="32"/>
          <w:szCs w:val="32"/>
          <w:highlight w:val="none"/>
          <w:lang w:eastAsia="zh-CN"/>
        </w:rPr>
      </w:pPr>
      <w:r>
        <w:rPr>
          <w:rFonts w:hint="eastAsia" w:ascii="方正公文小标宋" w:hAnsi="方正公文小标宋" w:eastAsia="方正公文小标宋" w:cs="方正公文小标宋"/>
          <w:color w:val="auto"/>
          <w:sz w:val="32"/>
          <w:szCs w:val="32"/>
          <w:highlight w:val="none"/>
          <w:lang w:eastAsia="zh-CN"/>
        </w:rPr>
        <w:t>购</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置</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合</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同</w:t>
      </w:r>
    </w:p>
    <w:p w14:paraId="2693362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陕西职业技术学院（甲方）与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乙方）就甲方购置的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在甲方组织的关于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 设备购置清单（币种：人民币）</w:t>
      </w:r>
    </w:p>
    <w:tbl>
      <w:tblPr>
        <w:tblStyle w:val="17"/>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kern w:val="0"/>
                <w:sz w:val="22"/>
                <w:szCs w:val="22"/>
                <w:highlight w:val="none"/>
              </w:rPr>
            </w:pPr>
            <w:r>
              <w:rPr>
                <w:rFonts w:hint="eastAsia" w:asciiTheme="minorEastAsia" w:hAnsiTheme="minorEastAsia" w:eastAsiaTheme="minorEastAsia" w:cstheme="minorEastAsia"/>
                <w:b/>
                <w:bCs/>
                <w:color w:val="auto"/>
                <w:kern w:val="0"/>
                <w:sz w:val="22"/>
                <w:szCs w:val="22"/>
                <w:highlight w:val="none"/>
              </w:rPr>
              <w:t>序号</w:t>
            </w:r>
          </w:p>
        </w:tc>
        <w:tc>
          <w:tcPr>
            <w:tcW w:w="1458" w:type="dxa"/>
            <w:vAlign w:val="center"/>
          </w:tcPr>
          <w:p w14:paraId="49B036E0">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数量</w:t>
            </w:r>
          </w:p>
          <w:p w14:paraId="0752FDA2">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(台、套)</w:t>
            </w:r>
          </w:p>
        </w:tc>
        <w:tc>
          <w:tcPr>
            <w:tcW w:w="1130" w:type="dxa"/>
            <w:vAlign w:val="center"/>
          </w:tcPr>
          <w:p w14:paraId="5AE179CB">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单价</w:t>
            </w:r>
          </w:p>
          <w:p w14:paraId="313385B6">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(万元)</w:t>
            </w:r>
          </w:p>
        </w:tc>
        <w:tc>
          <w:tcPr>
            <w:tcW w:w="1090" w:type="dxa"/>
            <w:vAlign w:val="center"/>
          </w:tcPr>
          <w:p w14:paraId="2488134C">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合计</w:t>
            </w:r>
          </w:p>
          <w:p w14:paraId="446C6D23">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(万元)</w:t>
            </w:r>
          </w:p>
        </w:tc>
        <w:tc>
          <w:tcPr>
            <w:tcW w:w="1420" w:type="dxa"/>
            <w:vAlign w:val="center"/>
          </w:tcPr>
          <w:p w14:paraId="52F467D5">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kern w:val="0"/>
                <w:sz w:val="22"/>
                <w:szCs w:val="22"/>
                <w:highlight w:val="none"/>
              </w:rPr>
            </w:pPr>
            <w:r>
              <w:rPr>
                <w:rFonts w:hint="eastAsia" w:asciiTheme="minorEastAsia" w:hAnsiTheme="minorEastAsia" w:eastAsiaTheme="minorEastAsia" w:cstheme="minorEastAsia"/>
                <w:b/>
                <w:bCs/>
                <w:color w:val="auto"/>
                <w:spacing w:val="-20"/>
                <w:kern w:val="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color w:val="auto"/>
                <w:kern w:val="0"/>
                <w:sz w:val="22"/>
                <w:szCs w:val="22"/>
                <w:highlight w:val="none"/>
              </w:rPr>
              <w:t>1</w:t>
            </w:r>
          </w:p>
        </w:tc>
        <w:tc>
          <w:tcPr>
            <w:tcW w:w="1458" w:type="dxa"/>
            <w:vAlign w:val="center"/>
          </w:tcPr>
          <w:p w14:paraId="6C6A5745">
            <w:pPr>
              <w:jc w:val="center"/>
              <w:rPr>
                <w:rFonts w:asciiTheme="minorEastAsia" w:hAnsiTheme="minorEastAsia" w:eastAsiaTheme="minorEastAsia" w:cstheme="minorEastAsia"/>
                <w:color w:val="auto"/>
                <w:kern w:val="0"/>
                <w:sz w:val="22"/>
                <w:szCs w:val="22"/>
                <w:highlight w:val="none"/>
              </w:rPr>
            </w:pPr>
          </w:p>
        </w:tc>
        <w:tc>
          <w:tcPr>
            <w:tcW w:w="1776" w:type="dxa"/>
            <w:vAlign w:val="center"/>
          </w:tcPr>
          <w:p w14:paraId="31FF3235">
            <w:pPr>
              <w:jc w:val="center"/>
              <w:rPr>
                <w:rFonts w:asciiTheme="minorEastAsia" w:hAnsiTheme="minorEastAsia" w:eastAsiaTheme="minorEastAsia" w:cstheme="minorEastAsia"/>
                <w:color w:val="auto"/>
                <w:kern w:val="0"/>
                <w:sz w:val="22"/>
                <w:szCs w:val="22"/>
                <w:highlight w:val="none"/>
              </w:rPr>
            </w:pPr>
          </w:p>
        </w:tc>
        <w:tc>
          <w:tcPr>
            <w:tcW w:w="925" w:type="dxa"/>
            <w:vAlign w:val="center"/>
          </w:tcPr>
          <w:p w14:paraId="69BF5A6D">
            <w:pPr>
              <w:jc w:val="center"/>
              <w:rPr>
                <w:rFonts w:asciiTheme="minorEastAsia" w:hAnsiTheme="minorEastAsia" w:eastAsiaTheme="minorEastAsia" w:cstheme="minorEastAsia"/>
                <w:color w:val="auto"/>
                <w:kern w:val="0"/>
                <w:sz w:val="22"/>
                <w:szCs w:val="22"/>
                <w:highlight w:val="none"/>
              </w:rPr>
            </w:pPr>
          </w:p>
        </w:tc>
        <w:tc>
          <w:tcPr>
            <w:tcW w:w="1130" w:type="dxa"/>
            <w:vAlign w:val="center"/>
          </w:tcPr>
          <w:p w14:paraId="64572D3D">
            <w:pPr>
              <w:jc w:val="center"/>
              <w:rPr>
                <w:rFonts w:asciiTheme="minorEastAsia" w:hAnsiTheme="minorEastAsia" w:eastAsiaTheme="minorEastAsia" w:cstheme="minorEastAsia"/>
                <w:color w:val="auto"/>
                <w:kern w:val="0"/>
                <w:sz w:val="22"/>
                <w:szCs w:val="22"/>
                <w:highlight w:val="none"/>
              </w:rPr>
            </w:pPr>
          </w:p>
        </w:tc>
        <w:tc>
          <w:tcPr>
            <w:tcW w:w="1090" w:type="dxa"/>
            <w:vAlign w:val="center"/>
          </w:tcPr>
          <w:p w14:paraId="616F4F5C">
            <w:pPr>
              <w:jc w:val="center"/>
              <w:rPr>
                <w:rFonts w:asciiTheme="minorEastAsia" w:hAnsiTheme="minorEastAsia" w:eastAsiaTheme="minorEastAsia" w:cstheme="minorEastAsia"/>
                <w:color w:val="auto"/>
                <w:kern w:val="0"/>
                <w:sz w:val="22"/>
                <w:szCs w:val="22"/>
                <w:highlight w:val="none"/>
              </w:rPr>
            </w:pPr>
          </w:p>
        </w:tc>
        <w:tc>
          <w:tcPr>
            <w:tcW w:w="1420" w:type="dxa"/>
            <w:vAlign w:val="center"/>
          </w:tcPr>
          <w:p w14:paraId="29461040">
            <w:pPr>
              <w:jc w:val="center"/>
              <w:rPr>
                <w:rFonts w:asciiTheme="minorEastAsia" w:hAnsiTheme="minorEastAsia" w:eastAsiaTheme="minorEastAsia" w:cstheme="minorEastAsia"/>
                <w:color w:val="auto"/>
                <w:kern w:val="0"/>
                <w:sz w:val="22"/>
                <w:szCs w:val="22"/>
                <w:highlight w:val="none"/>
              </w:rPr>
            </w:pPr>
          </w:p>
        </w:tc>
        <w:tc>
          <w:tcPr>
            <w:tcW w:w="617" w:type="dxa"/>
            <w:vAlign w:val="center"/>
          </w:tcPr>
          <w:p w14:paraId="7000CE8A">
            <w:pPr>
              <w:jc w:val="center"/>
              <w:rPr>
                <w:rFonts w:asciiTheme="minorEastAsia" w:hAnsiTheme="minorEastAsia" w:eastAsiaTheme="minorEastAsia" w:cstheme="minorEastAsia"/>
                <w:color w:val="auto"/>
                <w:kern w:val="0"/>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kern w:val="0"/>
                <w:sz w:val="22"/>
                <w:szCs w:val="22"/>
                <w:highlight w:val="none"/>
                <w:lang w:eastAsia="zh-CN"/>
              </w:rPr>
            </w:pPr>
            <w:r>
              <w:rPr>
                <w:rFonts w:hint="eastAsia" w:asciiTheme="minorEastAsia" w:hAnsiTheme="minorEastAsia" w:eastAsiaTheme="minorEastAsia" w:cstheme="minorEastAsia"/>
                <w:color w:val="auto"/>
                <w:kern w:val="0"/>
                <w:sz w:val="22"/>
                <w:szCs w:val="22"/>
                <w:highlight w:val="none"/>
                <w:lang w:eastAsia="zh-CN"/>
              </w:rPr>
              <w:t>2</w:t>
            </w:r>
          </w:p>
        </w:tc>
        <w:tc>
          <w:tcPr>
            <w:tcW w:w="1458" w:type="dxa"/>
            <w:vAlign w:val="center"/>
          </w:tcPr>
          <w:p w14:paraId="15C2E6C3">
            <w:pPr>
              <w:jc w:val="center"/>
              <w:rPr>
                <w:rFonts w:asciiTheme="minorEastAsia" w:hAnsiTheme="minorEastAsia" w:eastAsiaTheme="minorEastAsia" w:cstheme="minorEastAsia"/>
                <w:color w:val="auto"/>
                <w:kern w:val="0"/>
                <w:sz w:val="22"/>
                <w:szCs w:val="22"/>
                <w:highlight w:val="none"/>
              </w:rPr>
            </w:pPr>
          </w:p>
        </w:tc>
        <w:tc>
          <w:tcPr>
            <w:tcW w:w="1776" w:type="dxa"/>
            <w:vAlign w:val="center"/>
          </w:tcPr>
          <w:p w14:paraId="6F2C4196">
            <w:pPr>
              <w:jc w:val="center"/>
              <w:rPr>
                <w:rFonts w:asciiTheme="minorEastAsia" w:hAnsiTheme="minorEastAsia" w:eastAsiaTheme="minorEastAsia" w:cstheme="minorEastAsia"/>
                <w:color w:val="auto"/>
                <w:kern w:val="0"/>
                <w:sz w:val="22"/>
                <w:szCs w:val="22"/>
                <w:highlight w:val="none"/>
              </w:rPr>
            </w:pPr>
          </w:p>
        </w:tc>
        <w:tc>
          <w:tcPr>
            <w:tcW w:w="925" w:type="dxa"/>
            <w:vAlign w:val="center"/>
          </w:tcPr>
          <w:p w14:paraId="5A0BCB89">
            <w:pPr>
              <w:jc w:val="center"/>
              <w:rPr>
                <w:rFonts w:asciiTheme="minorEastAsia" w:hAnsiTheme="minorEastAsia" w:eastAsiaTheme="minorEastAsia" w:cstheme="minorEastAsia"/>
                <w:color w:val="auto"/>
                <w:kern w:val="0"/>
                <w:sz w:val="22"/>
                <w:szCs w:val="22"/>
                <w:highlight w:val="none"/>
              </w:rPr>
            </w:pPr>
          </w:p>
        </w:tc>
        <w:tc>
          <w:tcPr>
            <w:tcW w:w="1130" w:type="dxa"/>
            <w:vAlign w:val="center"/>
          </w:tcPr>
          <w:p w14:paraId="2BB72B99">
            <w:pPr>
              <w:jc w:val="center"/>
              <w:rPr>
                <w:rFonts w:asciiTheme="minorEastAsia" w:hAnsiTheme="minorEastAsia" w:eastAsiaTheme="minorEastAsia" w:cstheme="minorEastAsia"/>
                <w:color w:val="auto"/>
                <w:kern w:val="0"/>
                <w:sz w:val="22"/>
                <w:szCs w:val="22"/>
                <w:highlight w:val="none"/>
              </w:rPr>
            </w:pPr>
          </w:p>
        </w:tc>
        <w:tc>
          <w:tcPr>
            <w:tcW w:w="1090" w:type="dxa"/>
            <w:vAlign w:val="center"/>
          </w:tcPr>
          <w:p w14:paraId="73FF240B">
            <w:pPr>
              <w:jc w:val="center"/>
              <w:rPr>
                <w:rFonts w:asciiTheme="minorEastAsia" w:hAnsiTheme="minorEastAsia" w:eastAsiaTheme="minorEastAsia" w:cstheme="minorEastAsia"/>
                <w:color w:val="auto"/>
                <w:kern w:val="0"/>
                <w:sz w:val="22"/>
                <w:szCs w:val="22"/>
                <w:highlight w:val="none"/>
              </w:rPr>
            </w:pPr>
          </w:p>
        </w:tc>
        <w:tc>
          <w:tcPr>
            <w:tcW w:w="1420" w:type="dxa"/>
            <w:vAlign w:val="center"/>
          </w:tcPr>
          <w:p w14:paraId="73F8E07B">
            <w:pPr>
              <w:jc w:val="center"/>
              <w:rPr>
                <w:rFonts w:asciiTheme="minorEastAsia" w:hAnsiTheme="minorEastAsia" w:eastAsiaTheme="minorEastAsia" w:cstheme="minorEastAsia"/>
                <w:color w:val="auto"/>
                <w:kern w:val="0"/>
                <w:sz w:val="22"/>
                <w:szCs w:val="22"/>
                <w:highlight w:val="none"/>
              </w:rPr>
            </w:pPr>
          </w:p>
        </w:tc>
        <w:tc>
          <w:tcPr>
            <w:tcW w:w="617" w:type="dxa"/>
            <w:vAlign w:val="center"/>
          </w:tcPr>
          <w:p w14:paraId="5A6E64D7">
            <w:pPr>
              <w:jc w:val="center"/>
              <w:rPr>
                <w:rFonts w:asciiTheme="minorEastAsia" w:hAnsiTheme="minorEastAsia" w:eastAsiaTheme="minorEastAsia" w:cstheme="minorEastAsia"/>
                <w:color w:val="auto"/>
                <w:kern w:val="0"/>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kern w:val="0"/>
                <w:sz w:val="22"/>
                <w:szCs w:val="22"/>
                <w:highlight w:val="none"/>
                <w:lang w:eastAsia="zh-CN"/>
              </w:rPr>
            </w:pPr>
            <w:r>
              <w:rPr>
                <w:rFonts w:hint="eastAsia" w:asciiTheme="minorEastAsia" w:hAnsiTheme="minorEastAsia" w:eastAsiaTheme="minorEastAsia" w:cstheme="minorEastAsia"/>
                <w:color w:val="auto"/>
                <w:kern w:val="0"/>
                <w:sz w:val="22"/>
                <w:szCs w:val="22"/>
                <w:highlight w:val="none"/>
                <w:lang w:eastAsia="zh-CN"/>
              </w:rPr>
              <w:t>...</w:t>
            </w:r>
          </w:p>
        </w:tc>
        <w:tc>
          <w:tcPr>
            <w:tcW w:w="1458" w:type="dxa"/>
            <w:vAlign w:val="center"/>
          </w:tcPr>
          <w:p w14:paraId="3F905766">
            <w:pPr>
              <w:jc w:val="center"/>
              <w:rPr>
                <w:rFonts w:asciiTheme="minorEastAsia" w:hAnsiTheme="minorEastAsia" w:eastAsiaTheme="minorEastAsia" w:cstheme="minorEastAsia"/>
                <w:color w:val="auto"/>
                <w:kern w:val="0"/>
                <w:sz w:val="22"/>
                <w:szCs w:val="22"/>
                <w:highlight w:val="none"/>
              </w:rPr>
            </w:pPr>
          </w:p>
        </w:tc>
        <w:tc>
          <w:tcPr>
            <w:tcW w:w="1776" w:type="dxa"/>
            <w:vAlign w:val="center"/>
          </w:tcPr>
          <w:p w14:paraId="447E9961">
            <w:pPr>
              <w:jc w:val="center"/>
              <w:rPr>
                <w:rFonts w:asciiTheme="minorEastAsia" w:hAnsiTheme="minorEastAsia" w:eastAsiaTheme="minorEastAsia" w:cstheme="minorEastAsia"/>
                <w:color w:val="auto"/>
                <w:kern w:val="0"/>
                <w:sz w:val="22"/>
                <w:szCs w:val="22"/>
                <w:highlight w:val="none"/>
              </w:rPr>
            </w:pPr>
          </w:p>
        </w:tc>
        <w:tc>
          <w:tcPr>
            <w:tcW w:w="925" w:type="dxa"/>
            <w:vAlign w:val="center"/>
          </w:tcPr>
          <w:p w14:paraId="596A99E3">
            <w:pPr>
              <w:jc w:val="center"/>
              <w:rPr>
                <w:rFonts w:asciiTheme="minorEastAsia" w:hAnsiTheme="minorEastAsia" w:eastAsiaTheme="minorEastAsia" w:cstheme="minorEastAsia"/>
                <w:color w:val="auto"/>
                <w:kern w:val="0"/>
                <w:sz w:val="22"/>
                <w:szCs w:val="22"/>
                <w:highlight w:val="none"/>
              </w:rPr>
            </w:pPr>
          </w:p>
        </w:tc>
        <w:tc>
          <w:tcPr>
            <w:tcW w:w="1130" w:type="dxa"/>
            <w:vAlign w:val="center"/>
          </w:tcPr>
          <w:p w14:paraId="0A89900E">
            <w:pPr>
              <w:jc w:val="center"/>
              <w:rPr>
                <w:rFonts w:asciiTheme="minorEastAsia" w:hAnsiTheme="minorEastAsia" w:eastAsiaTheme="minorEastAsia" w:cstheme="minorEastAsia"/>
                <w:color w:val="auto"/>
                <w:kern w:val="0"/>
                <w:sz w:val="22"/>
                <w:szCs w:val="22"/>
                <w:highlight w:val="none"/>
              </w:rPr>
            </w:pPr>
          </w:p>
        </w:tc>
        <w:tc>
          <w:tcPr>
            <w:tcW w:w="1090" w:type="dxa"/>
            <w:vAlign w:val="center"/>
          </w:tcPr>
          <w:p w14:paraId="7CE88457">
            <w:pPr>
              <w:jc w:val="center"/>
              <w:rPr>
                <w:rFonts w:asciiTheme="minorEastAsia" w:hAnsiTheme="minorEastAsia" w:eastAsiaTheme="minorEastAsia" w:cstheme="minorEastAsia"/>
                <w:color w:val="auto"/>
                <w:kern w:val="0"/>
                <w:sz w:val="22"/>
                <w:szCs w:val="22"/>
                <w:highlight w:val="none"/>
              </w:rPr>
            </w:pPr>
          </w:p>
        </w:tc>
        <w:tc>
          <w:tcPr>
            <w:tcW w:w="1420" w:type="dxa"/>
            <w:vAlign w:val="center"/>
          </w:tcPr>
          <w:p w14:paraId="073E6C96">
            <w:pPr>
              <w:jc w:val="center"/>
              <w:rPr>
                <w:rFonts w:asciiTheme="minorEastAsia" w:hAnsiTheme="minorEastAsia" w:eastAsiaTheme="minorEastAsia" w:cstheme="minorEastAsia"/>
                <w:color w:val="auto"/>
                <w:kern w:val="0"/>
                <w:sz w:val="22"/>
                <w:szCs w:val="22"/>
                <w:highlight w:val="none"/>
              </w:rPr>
            </w:pPr>
          </w:p>
        </w:tc>
        <w:tc>
          <w:tcPr>
            <w:tcW w:w="617" w:type="dxa"/>
            <w:vAlign w:val="center"/>
          </w:tcPr>
          <w:p w14:paraId="3C5FB26D">
            <w:pPr>
              <w:jc w:val="center"/>
              <w:rPr>
                <w:rFonts w:asciiTheme="minorEastAsia" w:hAnsiTheme="minorEastAsia" w:eastAsiaTheme="minorEastAsia" w:cstheme="minorEastAsia"/>
                <w:color w:val="auto"/>
                <w:kern w:val="0"/>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kern w:val="0"/>
                <w:sz w:val="22"/>
                <w:szCs w:val="22"/>
                <w:highlight w:val="none"/>
              </w:rPr>
            </w:pPr>
          </w:p>
          <w:p w14:paraId="03776583">
            <w:pPr>
              <w:rPr>
                <w:rFonts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color w:val="auto"/>
                <w:kern w:val="0"/>
                <w:sz w:val="22"/>
                <w:szCs w:val="22"/>
                <w:highlight w:val="none"/>
              </w:rPr>
              <w:t>合计(元)</w:t>
            </w:r>
          </w:p>
        </w:tc>
        <w:tc>
          <w:tcPr>
            <w:tcW w:w="5182" w:type="dxa"/>
            <w:gridSpan w:val="5"/>
            <w:vAlign w:val="center"/>
          </w:tcPr>
          <w:p w14:paraId="70476E38">
            <w:pPr>
              <w:jc w:val="both"/>
              <w:rPr>
                <w:rFonts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color w:val="auto"/>
                <w:kern w:val="0"/>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kern w:val="0"/>
                <w:sz w:val="22"/>
                <w:szCs w:val="22"/>
                <w:highlight w:val="none"/>
              </w:rPr>
            </w:pPr>
          </w:p>
        </w:tc>
        <w:tc>
          <w:tcPr>
            <w:tcW w:w="5182" w:type="dxa"/>
            <w:gridSpan w:val="5"/>
            <w:vAlign w:val="center"/>
          </w:tcPr>
          <w:p w14:paraId="577C060A">
            <w:pPr>
              <w:jc w:val="both"/>
              <w:rPr>
                <w:rFonts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color w:val="auto"/>
                <w:kern w:val="0"/>
                <w:sz w:val="22"/>
                <w:szCs w:val="22"/>
                <w:highlight w:val="none"/>
              </w:rPr>
              <w:t>小写：</w:t>
            </w:r>
            <w:r>
              <w:rPr>
                <w:rFonts w:hint="eastAsia" w:asciiTheme="minorEastAsia" w:hAnsiTheme="minorEastAsia" w:eastAsiaTheme="minorEastAsia" w:cstheme="minorEastAsia"/>
                <w:color w:val="auto"/>
                <w:kern w:val="0"/>
                <w:sz w:val="22"/>
                <w:szCs w:val="22"/>
                <w:highlight w:val="none"/>
                <w:u w:val="single"/>
                <w:lang w:eastAsia="zh-CN"/>
              </w:rPr>
              <w:t xml:space="preserve">           </w:t>
            </w:r>
            <w:r>
              <w:rPr>
                <w:rFonts w:hint="eastAsia" w:asciiTheme="minorEastAsia" w:hAnsiTheme="minorEastAsia" w:eastAsiaTheme="minorEastAsia" w:cstheme="minorEastAsia"/>
                <w:color w:val="auto"/>
                <w:kern w:val="0"/>
                <w:sz w:val="22"/>
                <w:szCs w:val="22"/>
                <w:highlight w:val="none"/>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 xml:space="preserve">1.4.2 </w:t>
      </w:r>
      <w:r>
        <w:rPr>
          <w:rFonts w:hint="eastAsia" w:asciiTheme="minorEastAsia" w:hAnsiTheme="minorEastAsia" w:eastAsiaTheme="minorEastAsia" w:cstheme="minorEastAsia"/>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3.2 合同签订后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30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6B692CC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eastAsia" w:asciiTheme="minorEastAsia" w:hAnsiTheme="minorEastAsia" w:eastAsiaTheme="minorEastAsia" w:cstheme="minorEastAsia"/>
          <w:color w:val="auto"/>
          <w:sz w:val="24"/>
          <w:szCs w:val="24"/>
          <w:highlight w:val="none"/>
          <w:u w:val="single"/>
          <w:lang w:val="en-US" w:eastAsia="zh-CN"/>
        </w:rPr>
        <w:t>3</w:t>
      </w:r>
      <w:r>
        <w:rPr>
          <w:rFonts w:hint="default" w:asciiTheme="minorEastAsia" w:hAnsiTheme="minorEastAsia" w:eastAsiaTheme="minorEastAsia" w:cstheme="minorEastAsia"/>
          <w:color w:val="auto"/>
          <w:sz w:val="24"/>
          <w:szCs w:val="24"/>
          <w:highlight w:val="none"/>
          <w:lang w:eastAsia="zh-CN"/>
        </w:rPr>
        <w:t>年；软件系统质保期为</w:t>
      </w:r>
      <w:r>
        <w:rPr>
          <w:rFonts w:hint="eastAsia" w:asciiTheme="minorEastAsia" w:hAnsiTheme="minorEastAsia" w:eastAsiaTheme="minorEastAsia" w:cstheme="minorEastAsia"/>
          <w:color w:val="auto"/>
          <w:sz w:val="24"/>
          <w:szCs w:val="24"/>
          <w:highlight w:val="none"/>
          <w:u w:val="single"/>
          <w:lang w:val="en-US" w:eastAsia="zh-CN"/>
        </w:rPr>
        <w:t>5</w:t>
      </w:r>
      <w:r>
        <w:rPr>
          <w:rFonts w:hint="default" w:asciiTheme="minorEastAsia" w:hAnsiTheme="minorEastAsia" w:eastAsiaTheme="minorEastAsia" w:cstheme="minorEastAsia"/>
          <w:color w:val="auto"/>
          <w:sz w:val="24"/>
          <w:szCs w:val="24"/>
          <w:highlight w:val="none"/>
          <w:lang w:eastAsia="zh-CN"/>
        </w:rPr>
        <w:t>年。</w:t>
      </w:r>
    </w:p>
    <w:p w14:paraId="6E9B4EE6">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177F10D8">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8  </w:t>
      </w:r>
      <w:r>
        <w:rPr>
          <w:rFonts w:hint="eastAsia" w:asciiTheme="minorEastAsia" w:hAnsiTheme="minorEastAsia" w:eastAsiaTheme="minorEastAsia" w:cstheme="minorEastAsia"/>
          <w:color w:val="auto"/>
          <w:sz w:val="24"/>
          <w:szCs w:val="24"/>
          <w:highlight w:val="none"/>
          <w:lang w:eastAsia="zh-CN"/>
        </w:rPr>
        <w:t>小时，并在</w:t>
      </w:r>
      <w:r>
        <w:rPr>
          <w:rFonts w:hint="eastAsia" w:asciiTheme="minorEastAsia" w:hAnsiTheme="minorEastAsia" w:eastAsiaTheme="minorEastAsia" w:cstheme="minorEastAsia"/>
          <w:color w:val="auto"/>
          <w:sz w:val="24"/>
          <w:szCs w:val="24"/>
          <w:highlight w:val="none"/>
          <w:u w:val="single"/>
          <w:lang w:val="en-US" w:eastAsia="zh-CN"/>
        </w:rPr>
        <w:t xml:space="preserve"> 24 </w:t>
      </w:r>
      <w:r>
        <w:rPr>
          <w:rFonts w:hint="eastAsia" w:asciiTheme="minorEastAsia" w:hAnsiTheme="minorEastAsia" w:eastAsiaTheme="minorEastAsia" w:cstheme="minorEastAsia"/>
          <w:color w:val="auto"/>
          <w:sz w:val="24"/>
          <w:szCs w:val="24"/>
          <w:highlight w:val="none"/>
          <w:u w:val="none"/>
          <w:lang w:val="en-US" w:eastAsia="zh-CN"/>
        </w:rPr>
        <w:t>小时内</w:t>
      </w:r>
      <w:r>
        <w:rPr>
          <w:rFonts w:hint="eastAsia" w:asciiTheme="minorEastAsia" w:hAnsiTheme="minorEastAsia" w:eastAsiaTheme="minorEastAsia" w:cstheme="minorEastAsia"/>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。质保期内乙方应每季度上门巡检不少于</w:t>
      </w:r>
      <w:r>
        <w:rPr>
          <w:rFonts w:hint="eastAsia" w:asciiTheme="minorEastAsia" w:hAnsiTheme="minorEastAsia" w:eastAsiaTheme="minorEastAsia" w:cstheme="minorEastAsia"/>
          <w:color w:val="auto"/>
          <w:sz w:val="24"/>
          <w:szCs w:val="24"/>
          <w:highlight w:val="none"/>
          <w:u w:val="single"/>
          <w:lang w:val="en-US" w:eastAsia="zh-CN"/>
        </w:rPr>
        <w:t xml:space="preserve"> 1 </w:t>
      </w:r>
      <w:r>
        <w:rPr>
          <w:rFonts w:hint="eastAsia" w:asciiTheme="minorEastAsia" w:hAnsiTheme="minorEastAsia" w:eastAsiaTheme="minorEastAsia" w:cstheme="minorEastAsia"/>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a.重新测试直至合格为止；</w:t>
      </w:r>
    </w:p>
    <w:p w14:paraId="5FB3893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7.1.1 乙方应在收到中标(成交)通知书后、合同签订前</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个工作日内，向甲方提交合同总价</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eastAsia="zh-CN"/>
        </w:rPr>
        <w:t>签订合同后，设备到达指定地点、安装调试完成并验收合格后，</w:t>
      </w:r>
      <w:r>
        <w:rPr>
          <w:rFonts w:hint="eastAsia" w:ascii="仿宋_GB2312" w:hAnsi="仿宋_GB2312" w:eastAsia="仿宋_GB2312" w:cs="仿宋_GB2312"/>
          <w:color w:val="auto"/>
          <w:sz w:val="24"/>
          <w:szCs w:val="24"/>
          <w:highlight w:val="none"/>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highlight w:val="none"/>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auto"/>
          <w:sz w:val="24"/>
          <w:szCs w:val="24"/>
          <w:highlight w:val="none"/>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9.3 乙方收到甲方发出的索赔通知之日起</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10.7 乙方</w:t>
      </w:r>
      <w:r>
        <w:rPr>
          <w:rFonts w:hint="eastAsia" w:asciiTheme="minorEastAsia" w:hAnsiTheme="minorEastAsia" w:eastAsiaTheme="minorEastAsia" w:cstheme="minorEastAsia"/>
          <w:color w:val="auto"/>
          <w:sz w:val="24"/>
          <w:szCs w:val="24"/>
          <w:highlight w:val="none"/>
          <w:lang w:eastAsia="zh-CN"/>
        </w:rPr>
        <w:t>对所供产品出现的问题推诿、拖延，</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0.5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bookmarkStart w:id="0" w:name="_Toc23280"/>
      <w:bookmarkStart w:id="1" w:name="_Toc26328"/>
      <w:bookmarkStart w:id="2" w:name="_Toc495505745"/>
      <w:bookmarkStart w:id="3" w:name="_Toc14186"/>
      <w:r>
        <w:rPr>
          <w:rFonts w:hint="eastAsia" w:asciiTheme="minorEastAsia" w:hAnsiTheme="minorEastAsia" w:eastAsiaTheme="minorEastAsia" w:cstheme="minorEastAsia"/>
          <w:b w:val="0"/>
          <w:bCs w:val="0"/>
          <w:color w:val="auto"/>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13.1</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13.2</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13.3</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r>
        <w:rPr>
          <w:rFonts w:hint="eastAsia" w:asciiTheme="minorEastAsia" w:hAnsiTheme="minorEastAsia" w:eastAsiaTheme="minorEastAsia" w:cstheme="minorEastAsia"/>
          <w:color w:val="auto"/>
          <w:kern w:val="0"/>
          <w:sz w:val="24"/>
          <w:szCs w:val="24"/>
          <w:highlight w:val="none"/>
          <w:lang w:eastAsia="zh-CN"/>
        </w:rPr>
        <w:t>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a.合同附件（设备和软件的具体配置及技术参数，</w:t>
      </w:r>
      <w:r>
        <w:rPr>
          <w:rFonts w:hint="eastAsia" w:asciiTheme="minorEastAsia" w:hAnsiTheme="minorEastAsia" w:eastAsiaTheme="minorEastAsia" w:cstheme="minorEastAsia"/>
          <w:color w:val="auto"/>
          <w:sz w:val="24"/>
          <w:szCs w:val="24"/>
          <w:highlight w:val="none"/>
          <w:lang w:eastAsia="zh-CN"/>
        </w:rPr>
        <w:t>培训内容、标准和安排</w:t>
      </w:r>
      <w:r>
        <w:rPr>
          <w:rFonts w:hint="eastAsia" w:asciiTheme="minorEastAsia" w:hAnsiTheme="minorEastAsia" w:eastAsiaTheme="minorEastAsia" w:cstheme="minorEastAsia"/>
          <w:color w:val="auto"/>
          <w:sz w:val="24"/>
          <w:szCs w:val="24"/>
          <w:highlight w:val="none"/>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bookmarkStart w:id="4" w:name="_Toc18101"/>
      <w:bookmarkStart w:id="5" w:name="_Toc1081"/>
      <w:bookmarkStart w:id="6" w:name="_Toc495505746"/>
      <w:bookmarkStart w:id="7" w:name="_Toc11939"/>
      <w:r>
        <w:rPr>
          <w:rFonts w:hint="eastAsia" w:asciiTheme="minorEastAsia" w:hAnsiTheme="minorEastAsia" w:eastAsiaTheme="minorEastAsia" w:cstheme="minorEastAsia"/>
          <w:b w:val="0"/>
          <w:bCs w:val="0"/>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b w:val="0"/>
          <w:bCs w:val="0"/>
          <w:color w:val="auto"/>
          <w:sz w:val="24"/>
          <w:szCs w:val="24"/>
          <w:highlight w:val="none"/>
          <w:lang w:eastAsia="zh-CN"/>
        </w:rPr>
        <w:t>.4</w:t>
      </w:r>
      <w:bookmarkEnd w:id="4"/>
      <w:bookmarkEnd w:id="5"/>
      <w:bookmarkEnd w:id="6"/>
      <w:bookmarkEnd w:id="7"/>
      <w:r>
        <w:rPr>
          <w:rFonts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p>
    <w:p w14:paraId="23B64909">
      <w:pPr>
        <w:spacing w:beforeLines="50" w:afterLines="5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合同签订地点：陕西职业技术学院</w:t>
      </w:r>
    </w:p>
    <w:p w14:paraId="29BBFC5F">
      <w:pPr>
        <w:spacing w:beforeLines="50" w:afterLines="5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合同签订时间：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日</w:t>
      </w:r>
    </w:p>
    <w:tbl>
      <w:tblPr>
        <w:tblStyle w:val="17"/>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甲方(盖章):陕西职业技术学院</w:t>
            </w:r>
          </w:p>
        </w:tc>
        <w:tc>
          <w:tcPr>
            <w:tcW w:w="4485" w:type="dxa"/>
            <w:vAlign w:val="center"/>
          </w:tcPr>
          <w:p w14:paraId="28012D89">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法定代表人(签字):</w:t>
            </w:r>
          </w:p>
        </w:tc>
        <w:tc>
          <w:tcPr>
            <w:tcW w:w="4485" w:type="dxa"/>
            <w:vAlign w:val="center"/>
          </w:tcPr>
          <w:p w14:paraId="62C678F8">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委托代理人(签字):</w:t>
            </w:r>
          </w:p>
        </w:tc>
        <w:tc>
          <w:tcPr>
            <w:tcW w:w="4485" w:type="dxa"/>
            <w:vAlign w:val="center"/>
          </w:tcPr>
          <w:p w14:paraId="0DDD38C5">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联系人：</w:t>
            </w:r>
          </w:p>
        </w:tc>
        <w:tc>
          <w:tcPr>
            <w:tcW w:w="4485" w:type="dxa"/>
            <w:vAlign w:val="center"/>
          </w:tcPr>
          <w:p w14:paraId="52866862">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联系电话：</w:t>
            </w:r>
          </w:p>
        </w:tc>
        <w:tc>
          <w:tcPr>
            <w:tcW w:w="4485" w:type="dxa"/>
            <w:vAlign w:val="center"/>
          </w:tcPr>
          <w:p w14:paraId="7C0BF572">
            <w:pPr>
              <w:jc w:val="both"/>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电子邮箱：</w:t>
            </w:r>
          </w:p>
        </w:tc>
        <w:tc>
          <w:tcPr>
            <w:tcW w:w="4485" w:type="dxa"/>
            <w:vAlign w:val="center"/>
          </w:tcPr>
          <w:p w14:paraId="4525FD96">
            <w:pPr>
              <w:jc w:val="both"/>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电子邮箱：</w:t>
            </w:r>
          </w:p>
        </w:tc>
      </w:tr>
    </w:tbl>
    <w:p w14:paraId="0F5CC6AF">
      <w:pPr>
        <w:rPr>
          <w:rFonts w:hint="eastAsia" w:asciiTheme="minorEastAsia" w:hAnsiTheme="minorEastAsia" w:eastAsiaTheme="minorEastAsia" w:cstheme="minorEastAsia"/>
          <w:color w:val="auto"/>
          <w:highlight w:val="none"/>
          <w:lang w:eastAsia="zh-CN"/>
        </w:rPr>
      </w:pPr>
    </w:p>
    <w:p w14:paraId="7F54FB3F">
      <w:pPr>
        <w:pStyle w:val="13"/>
        <w:rPr>
          <w:color w:val="auto"/>
          <w:highlight w:val="none"/>
        </w:rPr>
      </w:pPr>
    </w:p>
    <w:p w14:paraId="4BE1E05F">
      <w:pPr>
        <w:pStyle w:val="13"/>
        <w:rPr>
          <w:rFonts w:hint="eastAsia"/>
          <w:color w:val="auto"/>
          <w:highlight w:val="none"/>
          <w:lang w:val="en-US" w:eastAsia="zh-Hans"/>
        </w:rPr>
      </w:pPr>
    </w:p>
    <w:p w14:paraId="3531DB62">
      <w:pPr>
        <w:rPr>
          <w:color w:val="auto"/>
          <w:highlight w:val="none"/>
        </w:rPr>
      </w:pPr>
    </w:p>
    <w:bookmarkEnd w:id="8"/>
    <w:sectPr>
      <w:headerReference r:id="rId3" w:type="default"/>
      <w:footerReference r:id="rId4"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Garamond">
    <w:altName w:val="PMingLiU-ExtB"/>
    <w:panose1 w:val="02020502050306020203"/>
    <w:charset w:val="00"/>
    <w:family w:val="roman"/>
    <w:pitch w:val="default"/>
    <w:sig w:usb0="00000000" w:usb1="00000000" w:usb2="00000000" w:usb3="00000000" w:csb0="00000093" w:csb1="00000000"/>
  </w:font>
  <w:font w:name="PMingLiU-ExtB">
    <w:panose1 w:val="02020500000000000000"/>
    <w:charset w:val="88"/>
    <w:family w:val="auto"/>
    <w:pitch w:val="default"/>
    <w:sig w:usb0="8000002F" w:usb1="02000008" w:usb2="00000000" w:usb3="00000000" w:csb0="0010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7"/>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B044A14"/>
    <w:rsid w:val="1EC56EFA"/>
    <w:rsid w:val="46A32A9E"/>
    <w:rsid w:val="47C2344D"/>
    <w:rsid w:val="519B5A52"/>
    <w:rsid w:val="636869CC"/>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99"/>
    <w:pPr>
      <w:jc w:val="left"/>
    </w:pPr>
    <w:rPr>
      <w:rFonts w:ascii="Arial" w:hAnsi="Arial" w:eastAsia="黑体"/>
      <w:b/>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4"/>
    <w:next w:val="1"/>
    <w:qFormat/>
    <w:uiPriority w:val="99"/>
    <w:pPr>
      <w:spacing w:beforeLines="50" w:afterLines="50" w:line="360" w:lineRule="auto"/>
      <w:ind w:firstLine="200" w:firstLineChars="200"/>
    </w:pPr>
    <w:rPr>
      <w:color w:val="auto"/>
      <w:kern w:val="0"/>
      <w:sz w:val="30"/>
      <w:szCs w:val="20"/>
    </w:rPr>
  </w:style>
  <w:style w:type="table" w:styleId="11">
    <w:name w:val="Table Grid"/>
    <w:basedOn w:val="1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5">
    <w:name w:val="列出段落2"/>
    <w:basedOn w:val="1"/>
    <w:qFormat/>
    <w:uiPriority w:val="0"/>
    <w:pPr>
      <w:spacing w:line="240" w:lineRule="auto"/>
      <w:ind w:firstLine="420" w:firstLineChars="200"/>
    </w:pPr>
  </w:style>
  <w:style w:type="paragraph" w:styleId="16">
    <w:name w:val="List Paragraph"/>
    <w:basedOn w:val="1"/>
    <w:qFormat/>
    <w:uiPriority w:val="34"/>
    <w:pPr>
      <w:ind w:firstLine="420" w:firstLineChars="200"/>
    </w:pPr>
  </w:style>
  <w:style w:type="table" w:customStyle="1" w:styleId="17">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3616</Words>
  <Characters>3686</Characters>
  <Lines>0</Lines>
  <Paragraphs>0</Paragraphs>
  <TotalTime>0</TotalTime>
  <ScaleCrop>false</ScaleCrop>
  <LinksUpToDate>false</LinksUpToDate>
  <CharactersWithSpaces>3823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国创招标</cp:lastModifiedBy>
  <dcterms:modified xsi:type="dcterms:W3CDTF">2026-07-30T08:58:50Z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