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hAnsi="黑体" w:eastAsia="黑体" w:cs="黑体"/>
          <w:sz w:val="44"/>
          <w:szCs w:val="44"/>
        </w:rPr>
      </w:pPr>
    </w:p>
    <w:p>
      <w:pPr>
        <w:jc w:val="center"/>
        <w:rPr>
          <w:rFonts w:hint="eastAsia" w:ascii="黑体" w:hAnsi="黑体" w:eastAsia="黑体" w:cs="黑体"/>
          <w:sz w:val="44"/>
          <w:szCs w:val="44"/>
        </w:rPr>
      </w:pPr>
    </w:p>
    <w:p>
      <w:pPr>
        <w:jc w:val="center"/>
        <w:rPr>
          <w:rFonts w:hint="eastAsia" w:ascii="黑体" w:hAnsi="黑体" w:eastAsia="黑体" w:cs="黑体"/>
          <w:sz w:val="44"/>
          <w:szCs w:val="44"/>
        </w:rPr>
      </w:pPr>
    </w:p>
    <w:p>
      <w:pPr>
        <w:keepNext w:val="0"/>
        <w:keepLines w:val="0"/>
        <w:pageBreakBefore w:val="0"/>
        <w:widowControl w:val="0"/>
        <w:kinsoku/>
        <w:wordWrap/>
        <w:overflowPunct/>
        <w:topLinePunct w:val="0"/>
        <w:autoSpaceDE/>
        <w:autoSpaceDN/>
        <w:bidi w:val="0"/>
        <w:adjustRightInd/>
        <w:snapToGrid/>
        <w:spacing w:line="570" w:lineRule="exact"/>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lang w:val="en-US" w:eastAsia="zh-CN"/>
        </w:rPr>
        <w:t>咸阳市秦都区</w:t>
      </w:r>
      <w:r>
        <w:rPr>
          <w:rFonts w:hint="eastAsia" w:ascii="方正小标宋简体" w:hAnsi="方正小标宋简体" w:eastAsia="方正小标宋简体" w:cs="方正小标宋简体"/>
          <w:sz w:val="44"/>
          <w:szCs w:val="44"/>
        </w:rPr>
        <w:t>政府采购中心</w:t>
      </w:r>
    </w:p>
    <w:p>
      <w:pPr>
        <w:keepNext w:val="0"/>
        <w:keepLines w:val="0"/>
        <w:pageBreakBefore w:val="0"/>
        <w:widowControl w:val="0"/>
        <w:kinsoku/>
        <w:wordWrap/>
        <w:overflowPunct/>
        <w:topLinePunct w:val="0"/>
        <w:autoSpaceDE/>
        <w:autoSpaceDN/>
        <w:bidi w:val="0"/>
        <w:adjustRightInd/>
        <w:snapToGrid/>
        <w:spacing w:line="570" w:lineRule="exact"/>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竞争性磋商文件</w:t>
      </w:r>
    </w:p>
    <w:p>
      <w:pPr>
        <w:keepNext w:val="0"/>
        <w:keepLines w:val="0"/>
        <w:pageBreakBefore w:val="0"/>
        <w:widowControl w:val="0"/>
        <w:kinsoku/>
        <w:wordWrap/>
        <w:overflowPunct/>
        <w:topLinePunct w:val="0"/>
        <w:autoSpaceDE/>
        <w:autoSpaceDN/>
        <w:bidi w:val="0"/>
        <w:adjustRightInd/>
        <w:snapToGrid/>
        <w:spacing w:line="570" w:lineRule="exact"/>
        <w:jc w:val="center"/>
        <w:textAlignment w:val="auto"/>
        <w:rPr>
          <w:rFonts w:hint="eastAsia" w:ascii="黑体" w:hAnsi="黑体" w:eastAsia="黑体" w:cs="黑体"/>
          <w:sz w:val="36"/>
          <w:szCs w:val="36"/>
        </w:rPr>
      </w:pPr>
      <w:r>
        <w:rPr>
          <w:rFonts w:hint="eastAsia" w:ascii="黑体" w:hAnsi="黑体" w:eastAsia="黑体" w:cs="黑体"/>
          <w:sz w:val="36"/>
          <w:szCs w:val="36"/>
        </w:rPr>
        <w:t>（专门面向中小企业项目）</w:t>
      </w:r>
    </w:p>
    <w:p>
      <w:pPr>
        <w:keepNext w:val="0"/>
        <w:keepLines w:val="0"/>
        <w:pageBreakBefore w:val="0"/>
        <w:widowControl w:val="0"/>
        <w:kinsoku/>
        <w:wordWrap/>
        <w:overflowPunct/>
        <w:topLinePunct w:val="0"/>
        <w:autoSpaceDE/>
        <w:autoSpaceDN/>
        <w:bidi w:val="0"/>
        <w:adjustRightInd/>
        <w:snapToGrid/>
        <w:spacing w:line="570" w:lineRule="exact"/>
        <w:jc w:val="center"/>
        <w:textAlignment w:val="auto"/>
        <w:rPr>
          <w:rFonts w:hint="eastAsia" w:ascii="黑体" w:hAnsi="黑体" w:eastAsia="黑体" w:cs="黑体"/>
          <w:sz w:val="44"/>
          <w:szCs w:val="44"/>
        </w:rPr>
      </w:pPr>
    </w:p>
    <w:p>
      <w:pPr>
        <w:jc w:val="center"/>
        <w:rPr>
          <w:rFonts w:hint="eastAsia" w:ascii="黑体" w:hAnsi="黑体" w:eastAsia="黑体" w:cs="黑体"/>
          <w:sz w:val="44"/>
          <w:szCs w:val="44"/>
        </w:rPr>
      </w:pPr>
    </w:p>
    <w:p>
      <w:pPr>
        <w:jc w:val="center"/>
        <w:rPr>
          <w:rFonts w:hint="eastAsia" w:ascii="黑体" w:hAnsi="黑体" w:eastAsia="黑体" w:cs="黑体"/>
          <w:sz w:val="44"/>
          <w:szCs w:val="44"/>
        </w:rPr>
      </w:pPr>
    </w:p>
    <w:p>
      <w:pPr>
        <w:jc w:val="center"/>
        <w:rPr>
          <w:rFonts w:hint="eastAsia" w:ascii="黑体" w:hAnsi="黑体" w:eastAsia="黑体" w:cs="黑体"/>
          <w:sz w:val="44"/>
          <w:szCs w:val="44"/>
        </w:rPr>
      </w:pPr>
    </w:p>
    <w:p>
      <w:pPr>
        <w:jc w:val="center"/>
        <w:rPr>
          <w:rFonts w:hint="eastAsia" w:ascii="黑体" w:hAnsi="黑体" w:eastAsia="黑体" w:cs="黑体"/>
          <w:sz w:val="44"/>
          <w:szCs w:val="44"/>
        </w:rPr>
      </w:pPr>
    </w:p>
    <w:p>
      <w:pPr>
        <w:jc w:val="center"/>
        <w:rPr>
          <w:rFonts w:hint="eastAsia" w:ascii="黑体" w:hAnsi="黑体" w:eastAsia="黑体" w:cs="黑体"/>
          <w:sz w:val="44"/>
          <w:szCs w:val="44"/>
        </w:rPr>
      </w:pPr>
    </w:p>
    <w:p>
      <w:pPr>
        <w:jc w:val="center"/>
        <w:rPr>
          <w:rFonts w:hint="eastAsia" w:ascii="黑体" w:hAnsi="黑体" w:eastAsia="黑体" w:cs="黑体"/>
          <w:sz w:val="44"/>
          <w:szCs w:val="44"/>
        </w:rPr>
      </w:pPr>
    </w:p>
    <w:p>
      <w:pPr>
        <w:jc w:val="center"/>
        <w:rPr>
          <w:rFonts w:hint="eastAsia" w:ascii="黑体" w:hAnsi="黑体" w:eastAsia="黑体" w:cs="黑体"/>
          <w:sz w:val="44"/>
          <w:szCs w:val="44"/>
        </w:rPr>
      </w:pPr>
    </w:p>
    <w:p>
      <w:pPr>
        <w:jc w:val="left"/>
        <w:rPr>
          <w:rFonts w:hint="default"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rPr>
        <w:t>项目名称：</w:t>
      </w:r>
      <w:r>
        <w:rPr>
          <w:rFonts w:hint="eastAsia" w:ascii="仿宋_GB2312" w:hAnsi="仿宋_GB2312" w:eastAsia="仿宋_GB2312" w:cs="仿宋_GB2312"/>
          <w:b/>
          <w:bCs/>
          <w:sz w:val="32"/>
          <w:szCs w:val="32"/>
          <w:lang w:val="en-US" w:eastAsia="zh-CN"/>
        </w:rPr>
        <w:t>秦都区文华学校购买服务政府采购项目</w:t>
      </w:r>
    </w:p>
    <w:p>
      <w:pPr>
        <w:jc w:val="left"/>
        <w:rPr>
          <w:rFonts w:hint="default" w:ascii="仿宋_GB2312" w:hAnsi="仿宋_GB2312" w:eastAsia="仿宋_GB2312" w:cs="仿宋_GB2312"/>
          <w:b/>
          <w:bCs/>
          <w:sz w:val="32"/>
          <w:szCs w:val="32"/>
          <w:highlight w:val="yellow"/>
          <w:lang w:val="en-US"/>
        </w:rPr>
      </w:pPr>
      <w:r>
        <w:rPr>
          <w:rFonts w:hint="eastAsia" w:ascii="仿宋_GB2312" w:hAnsi="仿宋_GB2312" w:eastAsia="仿宋_GB2312" w:cs="仿宋_GB2312"/>
          <w:b/>
          <w:bCs/>
          <w:sz w:val="32"/>
          <w:szCs w:val="32"/>
        </w:rPr>
        <w:t>项目编号：</w:t>
      </w:r>
      <w:r>
        <w:rPr>
          <w:rFonts w:hint="eastAsia" w:ascii="宋体" w:hAnsi="宋体"/>
          <w:b/>
          <w:sz w:val="32"/>
          <w:szCs w:val="32"/>
          <w:highlight w:val="none"/>
          <w:lang w:eastAsia="zh-CN"/>
        </w:rPr>
        <w:t>XQCG(2026)00</w:t>
      </w:r>
      <w:r>
        <w:rPr>
          <w:rFonts w:hint="eastAsia" w:ascii="宋体" w:hAnsi="宋体"/>
          <w:b/>
          <w:sz w:val="32"/>
          <w:szCs w:val="32"/>
          <w:highlight w:val="none"/>
          <w:lang w:val="en-US" w:eastAsia="zh-CN"/>
        </w:rPr>
        <w:t>4</w:t>
      </w:r>
      <w:r>
        <w:rPr>
          <w:rFonts w:hint="eastAsia" w:ascii="宋体" w:hAnsi="宋体"/>
          <w:b/>
          <w:sz w:val="32"/>
          <w:szCs w:val="32"/>
          <w:highlight w:val="none"/>
          <w:lang w:eastAsia="zh-CN"/>
        </w:rPr>
        <w:t>号</w:t>
      </w:r>
    </w:p>
    <w:p>
      <w:pPr>
        <w:jc w:val="left"/>
        <w:rPr>
          <w:rFonts w:hint="default"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rPr>
        <w:t>采</w:t>
      </w:r>
      <w:r>
        <w:rPr>
          <w:rFonts w:hint="eastAsia" w:ascii="仿宋_GB2312" w:hAnsi="仿宋_GB2312" w:eastAsia="仿宋_GB2312" w:cs="仿宋_GB2312"/>
          <w:b/>
          <w:bCs/>
          <w:sz w:val="32"/>
          <w:szCs w:val="32"/>
          <w:lang w:val="en-US" w:eastAsia="zh-CN"/>
        </w:rPr>
        <w:t xml:space="preserve"> </w:t>
      </w:r>
      <w:r>
        <w:rPr>
          <w:rFonts w:hint="eastAsia" w:ascii="仿宋_GB2312" w:hAnsi="仿宋_GB2312" w:eastAsia="仿宋_GB2312" w:cs="仿宋_GB2312"/>
          <w:b/>
          <w:bCs/>
          <w:sz w:val="32"/>
          <w:szCs w:val="32"/>
        </w:rPr>
        <w:t>购</w:t>
      </w:r>
      <w:r>
        <w:rPr>
          <w:rFonts w:hint="eastAsia" w:ascii="仿宋_GB2312" w:hAnsi="仿宋_GB2312" w:eastAsia="仿宋_GB2312" w:cs="仿宋_GB2312"/>
          <w:b/>
          <w:bCs/>
          <w:sz w:val="32"/>
          <w:szCs w:val="32"/>
          <w:lang w:val="en-US" w:eastAsia="zh-CN"/>
        </w:rPr>
        <w:t xml:space="preserve"> </w:t>
      </w:r>
      <w:r>
        <w:rPr>
          <w:rFonts w:hint="eastAsia" w:ascii="仿宋_GB2312" w:hAnsi="仿宋_GB2312" w:eastAsia="仿宋_GB2312" w:cs="仿宋_GB2312"/>
          <w:b/>
          <w:bCs/>
          <w:sz w:val="32"/>
          <w:szCs w:val="32"/>
        </w:rPr>
        <w:t>人：</w:t>
      </w:r>
      <w:r>
        <w:rPr>
          <w:rFonts w:hint="eastAsia" w:ascii="仿宋_GB2312" w:hAnsi="仿宋_GB2312" w:eastAsia="仿宋_GB2312" w:cs="仿宋_GB2312"/>
          <w:b/>
          <w:bCs/>
          <w:sz w:val="32"/>
          <w:szCs w:val="32"/>
          <w:lang w:val="en-US" w:eastAsia="zh-CN"/>
        </w:rPr>
        <w:t>咸阳市秦都区文华学校</w:t>
      </w:r>
    </w:p>
    <w:p>
      <w:pPr>
        <w:jc w:val="left"/>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采购代理机构：</w:t>
      </w:r>
      <w:r>
        <w:rPr>
          <w:rFonts w:hint="eastAsia" w:ascii="仿宋_GB2312" w:hAnsi="仿宋_GB2312" w:eastAsia="仿宋_GB2312" w:cs="仿宋_GB2312"/>
          <w:b/>
          <w:bCs/>
          <w:sz w:val="32"/>
          <w:szCs w:val="32"/>
          <w:lang w:val="en-US" w:eastAsia="zh-CN"/>
        </w:rPr>
        <w:t>咸阳市秦都区</w:t>
      </w:r>
      <w:r>
        <w:rPr>
          <w:rFonts w:hint="eastAsia" w:ascii="仿宋_GB2312" w:hAnsi="仿宋_GB2312" w:eastAsia="仿宋_GB2312" w:cs="仿宋_GB2312"/>
          <w:b/>
          <w:bCs/>
          <w:sz w:val="32"/>
          <w:szCs w:val="32"/>
        </w:rPr>
        <w:t>政府采购中心</w:t>
      </w:r>
    </w:p>
    <w:p>
      <w:pPr>
        <w:rPr>
          <w:rFonts w:hint="eastAsia"/>
        </w:rPr>
      </w:pPr>
    </w:p>
    <w:p>
      <w:pPr>
        <w:rPr>
          <w:rFonts w:hint="eastAsia"/>
        </w:rPr>
      </w:pPr>
    </w:p>
    <w:p>
      <w:pPr>
        <w:jc w:val="center"/>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202</w:t>
      </w:r>
      <w:r>
        <w:rPr>
          <w:rFonts w:hint="eastAsia" w:ascii="仿宋_GB2312" w:hAnsi="仿宋_GB2312" w:eastAsia="仿宋_GB2312" w:cs="仿宋_GB2312"/>
          <w:b/>
          <w:bCs/>
          <w:sz w:val="32"/>
          <w:szCs w:val="32"/>
          <w:lang w:val="en-US" w:eastAsia="zh-CN"/>
        </w:rPr>
        <w:t>6</w:t>
      </w:r>
      <w:r>
        <w:rPr>
          <w:rFonts w:hint="eastAsia" w:ascii="仿宋_GB2312" w:hAnsi="仿宋_GB2312" w:eastAsia="仿宋_GB2312" w:cs="仿宋_GB2312"/>
          <w:b/>
          <w:bCs/>
          <w:sz w:val="32"/>
          <w:szCs w:val="32"/>
        </w:rPr>
        <w:t>年</w:t>
      </w:r>
      <w:r>
        <w:rPr>
          <w:rFonts w:hint="eastAsia" w:ascii="仿宋_GB2312" w:hAnsi="仿宋_GB2312" w:eastAsia="仿宋_GB2312" w:cs="仿宋_GB2312"/>
          <w:b/>
          <w:bCs/>
          <w:sz w:val="32"/>
          <w:szCs w:val="32"/>
          <w:lang w:val="en-US" w:eastAsia="zh-CN"/>
        </w:rPr>
        <w:t>5</w:t>
      </w:r>
      <w:r>
        <w:rPr>
          <w:rFonts w:hint="eastAsia" w:ascii="仿宋_GB2312" w:hAnsi="仿宋_GB2312" w:eastAsia="仿宋_GB2312" w:cs="仿宋_GB2312"/>
          <w:b/>
          <w:bCs/>
          <w:sz w:val="32"/>
          <w:szCs w:val="32"/>
        </w:rPr>
        <w:t>月</w:t>
      </w:r>
      <w:r>
        <w:rPr>
          <w:rFonts w:hint="eastAsia" w:ascii="仿宋_GB2312" w:hAnsi="仿宋_GB2312" w:eastAsia="仿宋_GB2312" w:cs="仿宋_GB2312"/>
          <w:b/>
          <w:bCs/>
          <w:sz w:val="32"/>
          <w:szCs w:val="32"/>
          <w:lang w:val="en-US" w:eastAsia="zh-CN"/>
        </w:rPr>
        <w:t>11</w:t>
      </w:r>
      <w:r>
        <w:rPr>
          <w:rFonts w:hint="eastAsia" w:ascii="仿宋_GB2312" w:hAnsi="仿宋_GB2312" w:eastAsia="仿宋_GB2312" w:cs="仿宋_GB2312"/>
          <w:b/>
          <w:bCs/>
          <w:sz w:val="32"/>
          <w:szCs w:val="32"/>
        </w:rPr>
        <w:t>日</w:t>
      </w:r>
    </w:p>
    <w:p>
      <w:pPr>
        <w:rPr>
          <w:rFonts w:hint="eastAsia"/>
        </w:rPr>
      </w:pPr>
    </w:p>
    <w:p>
      <w:pPr>
        <w:rPr>
          <w:rFonts w:hint="eastAsia"/>
        </w:rPr>
      </w:pPr>
    </w:p>
    <w:p>
      <w:pPr>
        <w:rPr>
          <w:rFonts w:hint="eastAsia"/>
        </w:rPr>
      </w:pPr>
    </w:p>
    <w:p>
      <w:pPr>
        <w:rPr>
          <w:rFonts w:hint="eastAsia"/>
        </w:rPr>
      </w:pPr>
    </w:p>
    <w:p>
      <w:pPr>
        <w:rPr>
          <w:rFonts w:hint="eastAsia"/>
        </w:rPr>
      </w:pPr>
    </w:p>
    <w:sdt>
      <w:sdtPr>
        <w:rPr>
          <w:rFonts w:ascii="宋体" w:hAnsi="宋体" w:eastAsia="宋体" w:cstheme="minorBidi"/>
          <w:kern w:val="2"/>
          <w:sz w:val="21"/>
          <w:szCs w:val="24"/>
          <w:lang w:val="en-US" w:eastAsia="zh-CN" w:bidi="ar-SA"/>
        </w:rPr>
        <w:id w:val="147451763"/>
        <w15:color w:val="DBDBDB"/>
        <w:docPartObj>
          <w:docPartGallery w:val="Table of Contents"/>
          <w:docPartUnique/>
        </w:docPartObj>
      </w:sdtPr>
      <w:sdtEndPr>
        <w:rPr>
          <w:rFonts w:hint="eastAsia" w:asciiTheme="minorHAnsi" w:hAnsiTheme="minorHAnsi" w:eastAsiaTheme="minorEastAsia" w:cstheme="minorBidi"/>
          <w:kern w:val="2"/>
          <w:sz w:val="21"/>
          <w:szCs w:val="24"/>
          <w:lang w:val="en-US" w:eastAsia="zh-CN" w:bidi="ar-SA"/>
        </w:rPr>
      </w:sdtEndPr>
      <w:sdtContent>
        <w:p>
          <w:pPr>
            <w:spacing w:before="0" w:beforeLines="0" w:after="0" w:afterLines="0" w:line="240" w:lineRule="auto"/>
            <w:ind w:left="0" w:leftChars="0" w:right="0" w:rightChars="0" w:firstLine="0" w:firstLineChars="0"/>
            <w:jc w:val="center"/>
            <w:rPr>
              <w:b/>
              <w:bCs/>
              <w:sz w:val="28"/>
              <w:szCs w:val="28"/>
            </w:rPr>
          </w:pPr>
          <w:r>
            <w:rPr>
              <w:rFonts w:ascii="宋体" w:hAnsi="宋体" w:eastAsia="宋体"/>
              <w:b/>
              <w:bCs/>
              <w:sz w:val="28"/>
              <w:szCs w:val="28"/>
            </w:rPr>
            <w:t>目录</w:t>
          </w:r>
        </w:p>
        <w:p>
          <w:pPr>
            <w:pStyle w:val="7"/>
            <w:tabs>
              <w:tab w:val="right" w:leader="dot" w:pos="8306"/>
            </w:tabs>
            <w:rPr>
              <w:rFonts w:hint="eastAsia" w:ascii="仿宋_GB2312" w:hAnsi="仿宋_GB2312" w:eastAsia="仿宋_GB2312" w:cs="仿宋_GB2312"/>
              <w:sz w:val="30"/>
              <w:szCs w:val="30"/>
            </w:rPr>
          </w:pPr>
          <w:r>
            <w:rPr>
              <w:rFonts w:hint="eastAsia"/>
            </w:rPr>
            <w:fldChar w:fldCharType="begin"/>
          </w:r>
          <w:r>
            <w:rPr>
              <w:rFonts w:hint="eastAsia"/>
            </w:rPr>
            <w:instrText xml:space="preserve">TOC \o "1-1" \h \u </w:instrText>
          </w:r>
          <w:r>
            <w:rPr>
              <w:rFonts w:hint="eastAsia"/>
            </w:rPr>
            <w:fldChar w:fldCharType="separate"/>
          </w:r>
          <w:r>
            <w:rPr>
              <w:rFonts w:hint="eastAsia" w:ascii="仿宋_GB2312" w:hAnsi="仿宋_GB2312" w:eastAsia="仿宋_GB2312" w:cs="仿宋_GB2312"/>
              <w:sz w:val="30"/>
              <w:szCs w:val="30"/>
            </w:rPr>
            <w:fldChar w:fldCharType="begin"/>
          </w:r>
          <w:r>
            <w:rPr>
              <w:rFonts w:hint="eastAsia" w:ascii="仿宋_GB2312" w:hAnsi="仿宋_GB2312" w:eastAsia="仿宋_GB2312" w:cs="仿宋_GB2312"/>
              <w:sz w:val="30"/>
              <w:szCs w:val="30"/>
            </w:rPr>
            <w:instrText xml:space="preserve"> HYPERLINK \l _Toc27511 </w:instrText>
          </w:r>
          <w:r>
            <w:rPr>
              <w:rFonts w:hint="eastAsia" w:ascii="仿宋_GB2312" w:hAnsi="仿宋_GB2312" w:eastAsia="仿宋_GB2312" w:cs="仿宋_GB2312"/>
              <w:sz w:val="30"/>
              <w:szCs w:val="30"/>
            </w:rPr>
            <w:fldChar w:fldCharType="separate"/>
          </w:r>
          <w:r>
            <w:rPr>
              <w:rFonts w:hint="eastAsia" w:ascii="仿宋_GB2312" w:hAnsi="仿宋_GB2312" w:eastAsia="仿宋_GB2312" w:cs="仿宋_GB2312"/>
              <w:sz w:val="30"/>
              <w:szCs w:val="30"/>
            </w:rPr>
            <w:t>第一章</w:t>
          </w:r>
          <w:r>
            <w:rPr>
              <w:rFonts w:hint="eastAsia" w:ascii="仿宋_GB2312" w:hAnsi="仿宋_GB2312" w:eastAsia="仿宋_GB2312" w:cs="仿宋_GB2312"/>
              <w:sz w:val="30"/>
              <w:szCs w:val="30"/>
              <w:lang w:val="en-US" w:eastAsia="zh-CN"/>
            </w:rPr>
            <w:t xml:space="preserve"> </w:t>
          </w:r>
          <w:r>
            <w:rPr>
              <w:rFonts w:hint="eastAsia" w:ascii="仿宋_GB2312" w:hAnsi="仿宋_GB2312" w:eastAsia="仿宋_GB2312" w:cs="仿宋_GB2312"/>
              <w:sz w:val="30"/>
              <w:szCs w:val="30"/>
            </w:rPr>
            <w:t>磋商邀请函</w:t>
          </w:r>
          <w:r>
            <w:rPr>
              <w:rFonts w:hint="eastAsia" w:ascii="仿宋_GB2312" w:hAnsi="仿宋_GB2312" w:eastAsia="仿宋_GB2312" w:cs="仿宋_GB2312"/>
              <w:sz w:val="30"/>
              <w:szCs w:val="30"/>
            </w:rPr>
            <w:tab/>
          </w:r>
          <w:r>
            <w:rPr>
              <w:rFonts w:hint="eastAsia" w:ascii="仿宋_GB2312" w:hAnsi="仿宋_GB2312" w:eastAsia="仿宋_GB2312" w:cs="仿宋_GB2312"/>
              <w:sz w:val="30"/>
              <w:szCs w:val="30"/>
            </w:rPr>
            <w:fldChar w:fldCharType="begin"/>
          </w:r>
          <w:r>
            <w:rPr>
              <w:rFonts w:hint="eastAsia" w:ascii="仿宋_GB2312" w:hAnsi="仿宋_GB2312" w:eastAsia="仿宋_GB2312" w:cs="仿宋_GB2312"/>
              <w:sz w:val="30"/>
              <w:szCs w:val="30"/>
            </w:rPr>
            <w:instrText xml:space="preserve"> PAGEREF _Toc27511 \h </w:instrText>
          </w:r>
          <w:r>
            <w:rPr>
              <w:rFonts w:hint="eastAsia" w:ascii="仿宋_GB2312" w:hAnsi="仿宋_GB2312" w:eastAsia="仿宋_GB2312" w:cs="仿宋_GB2312"/>
              <w:sz w:val="30"/>
              <w:szCs w:val="30"/>
            </w:rPr>
            <w:fldChar w:fldCharType="separate"/>
          </w:r>
          <w:r>
            <w:rPr>
              <w:rFonts w:hint="eastAsia" w:ascii="仿宋_GB2312" w:hAnsi="仿宋_GB2312" w:eastAsia="仿宋_GB2312" w:cs="仿宋_GB2312"/>
              <w:sz w:val="30"/>
              <w:szCs w:val="30"/>
            </w:rPr>
            <w:t>- 1 -</w:t>
          </w:r>
          <w:r>
            <w:rPr>
              <w:rFonts w:hint="eastAsia" w:ascii="仿宋_GB2312" w:hAnsi="仿宋_GB2312" w:eastAsia="仿宋_GB2312" w:cs="仿宋_GB2312"/>
              <w:sz w:val="30"/>
              <w:szCs w:val="30"/>
            </w:rPr>
            <w:fldChar w:fldCharType="end"/>
          </w:r>
          <w:r>
            <w:rPr>
              <w:rFonts w:hint="eastAsia" w:ascii="仿宋_GB2312" w:hAnsi="仿宋_GB2312" w:eastAsia="仿宋_GB2312" w:cs="仿宋_GB2312"/>
              <w:sz w:val="30"/>
              <w:szCs w:val="30"/>
            </w:rPr>
            <w:fldChar w:fldCharType="end"/>
          </w:r>
        </w:p>
        <w:p>
          <w:pPr>
            <w:pStyle w:val="7"/>
            <w:tabs>
              <w:tab w:val="right" w:leader="dot" w:pos="8306"/>
            </w:tabs>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fldChar w:fldCharType="begin"/>
          </w:r>
          <w:r>
            <w:rPr>
              <w:rFonts w:hint="eastAsia" w:ascii="仿宋_GB2312" w:hAnsi="仿宋_GB2312" w:eastAsia="仿宋_GB2312" w:cs="仿宋_GB2312"/>
              <w:sz w:val="30"/>
              <w:szCs w:val="30"/>
            </w:rPr>
            <w:instrText xml:space="preserve"> HYPERLINK \l _Toc15743 </w:instrText>
          </w:r>
          <w:r>
            <w:rPr>
              <w:rFonts w:hint="eastAsia" w:ascii="仿宋_GB2312" w:hAnsi="仿宋_GB2312" w:eastAsia="仿宋_GB2312" w:cs="仿宋_GB2312"/>
              <w:sz w:val="30"/>
              <w:szCs w:val="30"/>
            </w:rPr>
            <w:fldChar w:fldCharType="separate"/>
          </w:r>
          <w:r>
            <w:rPr>
              <w:rFonts w:hint="eastAsia" w:ascii="仿宋_GB2312" w:hAnsi="仿宋_GB2312" w:eastAsia="仿宋_GB2312" w:cs="仿宋_GB2312"/>
              <w:sz w:val="30"/>
              <w:szCs w:val="30"/>
            </w:rPr>
            <w:t>第二章</w:t>
          </w:r>
          <w:r>
            <w:rPr>
              <w:rFonts w:hint="eastAsia" w:ascii="仿宋_GB2312" w:hAnsi="仿宋_GB2312" w:eastAsia="仿宋_GB2312" w:cs="仿宋_GB2312"/>
              <w:sz w:val="30"/>
              <w:szCs w:val="30"/>
              <w:lang w:val="en-US" w:eastAsia="zh-CN"/>
            </w:rPr>
            <w:t xml:space="preserve"> </w:t>
          </w:r>
          <w:r>
            <w:rPr>
              <w:rFonts w:hint="eastAsia" w:ascii="仿宋_GB2312" w:hAnsi="仿宋_GB2312" w:eastAsia="仿宋_GB2312" w:cs="仿宋_GB2312"/>
              <w:sz w:val="30"/>
              <w:szCs w:val="30"/>
            </w:rPr>
            <w:t>供应商须知</w:t>
          </w:r>
          <w:r>
            <w:rPr>
              <w:rFonts w:hint="eastAsia" w:ascii="仿宋_GB2312" w:hAnsi="仿宋_GB2312" w:eastAsia="仿宋_GB2312" w:cs="仿宋_GB2312"/>
              <w:sz w:val="30"/>
              <w:szCs w:val="30"/>
            </w:rPr>
            <w:tab/>
          </w:r>
          <w:r>
            <w:rPr>
              <w:rFonts w:hint="eastAsia" w:ascii="仿宋_GB2312" w:hAnsi="仿宋_GB2312" w:eastAsia="仿宋_GB2312" w:cs="仿宋_GB2312"/>
              <w:sz w:val="30"/>
              <w:szCs w:val="30"/>
            </w:rPr>
            <w:fldChar w:fldCharType="begin"/>
          </w:r>
          <w:r>
            <w:rPr>
              <w:rFonts w:hint="eastAsia" w:ascii="仿宋_GB2312" w:hAnsi="仿宋_GB2312" w:eastAsia="仿宋_GB2312" w:cs="仿宋_GB2312"/>
              <w:sz w:val="30"/>
              <w:szCs w:val="30"/>
            </w:rPr>
            <w:instrText xml:space="preserve"> PAGEREF _Toc15743 \h </w:instrText>
          </w:r>
          <w:r>
            <w:rPr>
              <w:rFonts w:hint="eastAsia" w:ascii="仿宋_GB2312" w:hAnsi="仿宋_GB2312" w:eastAsia="仿宋_GB2312" w:cs="仿宋_GB2312"/>
              <w:sz w:val="30"/>
              <w:szCs w:val="30"/>
            </w:rPr>
            <w:fldChar w:fldCharType="separate"/>
          </w:r>
          <w:r>
            <w:rPr>
              <w:rFonts w:hint="eastAsia" w:ascii="仿宋_GB2312" w:hAnsi="仿宋_GB2312" w:eastAsia="仿宋_GB2312" w:cs="仿宋_GB2312"/>
              <w:sz w:val="30"/>
              <w:szCs w:val="30"/>
            </w:rPr>
            <w:t>- 7 -</w:t>
          </w:r>
          <w:r>
            <w:rPr>
              <w:rFonts w:hint="eastAsia" w:ascii="仿宋_GB2312" w:hAnsi="仿宋_GB2312" w:eastAsia="仿宋_GB2312" w:cs="仿宋_GB2312"/>
              <w:sz w:val="30"/>
              <w:szCs w:val="30"/>
            </w:rPr>
            <w:fldChar w:fldCharType="end"/>
          </w:r>
          <w:r>
            <w:rPr>
              <w:rFonts w:hint="eastAsia" w:ascii="仿宋_GB2312" w:hAnsi="仿宋_GB2312" w:eastAsia="仿宋_GB2312" w:cs="仿宋_GB2312"/>
              <w:sz w:val="30"/>
              <w:szCs w:val="30"/>
            </w:rPr>
            <w:fldChar w:fldCharType="end"/>
          </w:r>
        </w:p>
        <w:p>
          <w:pPr>
            <w:pStyle w:val="7"/>
            <w:tabs>
              <w:tab w:val="right" w:leader="dot" w:pos="8306"/>
            </w:tabs>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fldChar w:fldCharType="begin"/>
          </w:r>
          <w:r>
            <w:rPr>
              <w:rFonts w:hint="eastAsia" w:ascii="仿宋_GB2312" w:hAnsi="仿宋_GB2312" w:eastAsia="仿宋_GB2312" w:cs="仿宋_GB2312"/>
              <w:sz w:val="30"/>
              <w:szCs w:val="30"/>
            </w:rPr>
            <w:instrText xml:space="preserve"> HYPERLINK \l _Toc13641 </w:instrText>
          </w:r>
          <w:r>
            <w:rPr>
              <w:rFonts w:hint="eastAsia" w:ascii="仿宋_GB2312" w:hAnsi="仿宋_GB2312" w:eastAsia="仿宋_GB2312" w:cs="仿宋_GB2312"/>
              <w:sz w:val="30"/>
              <w:szCs w:val="30"/>
            </w:rPr>
            <w:fldChar w:fldCharType="separate"/>
          </w:r>
          <w:r>
            <w:rPr>
              <w:rFonts w:hint="eastAsia" w:ascii="仿宋_GB2312" w:hAnsi="仿宋_GB2312" w:eastAsia="仿宋_GB2312" w:cs="仿宋_GB2312"/>
              <w:sz w:val="30"/>
              <w:szCs w:val="30"/>
            </w:rPr>
            <w:t>第三章</w:t>
          </w:r>
          <w:r>
            <w:rPr>
              <w:rFonts w:hint="eastAsia" w:ascii="仿宋_GB2312" w:hAnsi="仿宋_GB2312" w:eastAsia="仿宋_GB2312" w:cs="仿宋_GB2312"/>
              <w:sz w:val="30"/>
              <w:szCs w:val="30"/>
              <w:lang w:val="en-US" w:eastAsia="zh-CN"/>
            </w:rPr>
            <w:t xml:space="preserve"> </w:t>
          </w:r>
          <w:r>
            <w:rPr>
              <w:rFonts w:hint="eastAsia" w:ascii="仿宋_GB2312" w:hAnsi="仿宋_GB2312" w:eastAsia="仿宋_GB2312" w:cs="仿宋_GB2312"/>
              <w:sz w:val="30"/>
              <w:szCs w:val="30"/>
            </w:rPr>
            <w:t>磋商内容及采购要求</w:t>
          </w:r>
          <w:r>
            <w:rPr>
              <w:rFonts w:hint="eastAsia" w:ascii="仿宋_GB2312" w:hAnsi="仿宋_GB2312" w:eastAsia="仿宋_GB2312" w:cs="仿宋_GB2312"/>
              <w:sz w:val="30"/>
              <w:szCs w:val="30"/>
            </w:rPr>
            <w:tab/>
          </w:r>
          <w:r>
            <w:rPr>
              <w:rFonts w:hint="eastAsia" w:ascii="仿宋_GB2312" w:hAnsi="仿宋_GB2312" w:eastAsia="仿宋_GB2312" w:cs="仿宋_GB2312"/>
              <w:sz w:val="30"/>
              <w:szCs w:val="30"/>
            </w:rPr>
            <w:fldChar w:fldCharType="begin"/>
          </w:r>
          <w:r>
            <w:rPr>
              <w:rFonts w:hint="eastAsia" w:ascii="仿宋_GB2312" w:hAnsi="仿宋_GB2312" w:eastAsia="仿宋_GB2312" w:cs="仿宋_GB2312"/>
              <w:sz w:val="30"/>
              <w:szCs w:val="30"/>
            </w:rPr>
            <w:instrText xml:space="preserve"> PAGEREF _Toc13641 \h </w:instrText>
          </w:r>
          <w:r>
            <w:rPr>
              <w:rFonts w:hint="eastAsia" w:ascii="仿宋_GB2312" w:hAnsi="仿宋_GB2312" w:eastAsia="仿宋_GB2312" w:cs="仿宋_GB2312"/>
              <w:sz w:val="30"/>
              <w:szCs w:val="30"/>
            </w:rPr>
            <w:fldChar w:fldCharType="separate"/>
          </w:r>
          <w:r>
            <w:rPr>
              <w:rFonts w:hint="eastAsia" w:ascii="仿宋_GB2312" w:hAnsi="仿宋_GB2312" w:eastAsia="仿宋_GB2312" w:cs="仿宋_GB2312"/>
              <w:sz w:val="30"/>
              <w:szCs w:val="30"/>
            </w:rPr>
            <w:t>- 40 -</w:t>
          </w:r>
          <w:r>
            <w:rPr>
              <w:rFonts w:hint="eastAsia" w:ascii="仿宋_GB2312" w:hAnsi="仿宋_GB2312" w:eastAsia="仿宋_GB2312" w:cs="仿宋_GB2312"/>
              <w:sz w:val="30"/>
              <w:szCs w:val="30"/>
            </w:rPr>
            <w:fldChar w:fldCharType="end"/>
          </w:r>
          <w:r>
            <w:rPr>
              <w:rFonts w:hint="eastAsia" w:ascii="仿宋_GB2312" w:hAnsi="仿宋_GB2312" w:eastAsia="仿宋_GB2312" w:cs="仿宋_GB2312"/>
              <w:sz w:val="30"/>
              <w:szCs w:val="30"/>
            </w:rPr>
            <w:fldChar w:fldCharType="end"/>
          </w:r>
        </w:p>
        <w:p>
          <w:pPr>
            <w:pStyle w:val="7"/>
            <w:tabs>
              <w:tab w:val="right" w:leader="dot" w:pos="8306"/>
            </w:tabs>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fldChar w:fldCharType="begin"/>
          </w:r>
          <w:r>
            <w:rPr>
              <w:rFonts w:hint="eastAsia" w:ascii="仿宋_GB2312" w:hAnsi="仿宋_GB2312" w:eastAsia="仿宋_GB2312" w:cs="仿宋_GB2312"/>
              <w:sz w:val="30"/>
              <w:szCs w:val="30"/>
            </w:rPr>
            <w:instrText xml:space="preserve"> HYPERLINK \l _Toc29880 </w:instrText>
          </w:r>
          <w:r>
            <w:rPr>
              <w:rFonts w:hint="eastAsia" w:ascii="仿宋_GB2312" w:hAnsi="仿宋_GB2312" w:eastAsia="仿宋_GB2312" w:cs="仿宋_GB2312"/>
              <w:sz w:val="30"/>
              <w:szCs w:val="30"/>
            </w:rPr>
            <w:fldChar w:fldCharType="separate"/>
          </w:r>
          <w:r>
            <w:rPr>
              <w:rFonts w:hint="eastAsia" w:ascii="仿宋_GB2312" w:hAnsi="仿宋_GB2312" w:eastAsia="仿宋_GB2312" w:cs="仿宋_GB2312"/>
              <w:sz w:val="30"/>
              <w:szCs w:val="30"/>
            </w:rPr>
            <w:t>第四章</w:t>
          </w:r>
          <w:r>
            <w:rPr>
              <w:rFonts w:hint="eastAsia" w:ascii="仿宋_GB2312" w:hAnsi="仿宋_GB2312" w:eastAsia="仿宋_GB2312" w:cs="仿宋_GB2312"/>
              <w:sz w:val="30"/>
              <w:szCs w:val="30"/>
              <w:lang w:val="en-US" w:eastAsia="zh-CN"/>
            </w:rPr>
            <w:t xml:space="preserve"> </w:t>
          </w:r>
          <w:r>
            <w:rPr>
              <w:rFonts w:hint="eastAsia" w:ascii="仿宋_GB2312" w:hAnsi="仿宋_GB2312" w:eastAsia="仿宋_GB2312" w:cs="仿宋_GB2312"/>
              <w:sz w:val="30"/>
              <w:szCs w:val="30"/>
            </w:rPr>
            <w:t>合同基本条款</w:t>
          </w:r>
          <w:r>
            <w:rPr>
              <w:rFonts w:hint="eastAsia" w:ascii="仿宋_GB2312" w:hAnsi="仿宋_GB2312" w:eastAsia="仿宋_GB2312" w:cs="仿宋_GB2312"/>
              <w:sz w:val="30"/>
              <w:szCs w:val="30"/>
            </w:rPr>
            <w:tab/>
          </w:r>
          <w:r>
            <w:rPr>
              <w:rFonts w:hint="eastAsia" w:ascii="仿宋_GB2312" w:hAnsi="仿宋_GB2312" w:eastAsia="仿宋_GB2312" w:cs="仿宋_GB2312"/>
              <w:sz w:val="30"/>
              <w:szCs w:val="30"/>
            </w:rPr>
            <w:fldChar w:fldCharType="begin"/>
          </w:r>
          <w:r>
            <w:rPr>
              <w:rFonts w:hint="eastAsia" w:ascii="仿宋_GB2312" w:hAnsi="仿宋_GB2312" w:eastAsia="仿宋_GB2312" w:cs="仿宋_GB2312"/>
              <w:sz w:val="30"/>
              <w:szCs w:val="30"/>
            </w:rPr>
            <w:instrText xml:space="preserve"> PAGEREF _Toc29880 \h </w:instrText>
          </w:r>
          <w:r>
            <w:rPr>
              <w:rFonts w:hint="eastAsia" w:ascii="仿宋_GB2312" w:hAnsi="仿宋_GB2312" w:eastAsia="仿宋_GB2312" w:cs="仿宋_GB2312"/>
              <w:sz w:val="30"/>
              <w:szCs w:val="30"/>
            </w:rPr>
            <w:fldChar w:fldCharType="separate"/>
          </w:r>
          <w:r>
            <w:rPr>
              <w:rFonts w:hint="eastAsia" w:ascii="仿宋_GB2312" w:hAnsi="仿宋_GB2312" w:eastAsia="仿宋_GB2312" w:cs="仿宋_GB2312"/>
              <w:sz w:val="30"/>
              <w:szCs w:val="30"/>
            </w:rPr>
            <w:t>- 56 -</w:t>
          </w:r>
          <w:r>
            <w:rPr>
              <w:rFonts w:hint="eastAsia" w:ascii="仿宋_GB2312" w:hAnsi="仿宋_GB2312" w:eastAsia="仿宋_GB2312" w:cs="仿宋_GB2312"/>
              <w:sz w:val="30"/>
              <w:szCs w:val="30"/>
            </w:rPr>
            <w:fldChar w:fldCharType="end"/>
          </w:r>
          <w:r>
            <w:rPr>
              <w:rFonts w:hint="eastAsia" w:ascii="仿宋_GB2312" w:hAnsi="仿宋_GB2312" w:eastAsia="仿宋_GB2312" w:cs="仿宋_GB2312"/>
              <w:sz w:val="30"/>
              <w:szCs w:val="30"/>
            </w:rPr>
            <w:fldChar w:fldCharType="end"/>
          </w:r>
        </w:p>
        <w:p>
          <w:pPr>
            <w:pStyle w:val="7"/>
            <w:tabs>
              <w:tab w:val="right" w:leader="dot" w:pos="8306"/>
            </w:tabs>
          </w:pPr>
          <w:r>
            <w:rPr>
              <w:rFonts w:hint="eastAsia" w:ascii="仿宋_GB2312" w:hAnsi="仿宋_GB2312" w:eastAsia="仿宋_GB2312" w:cs="仿宋_GB2312"/>
              <w:sz w:val="30"/>
              <w:szCs w:val="30"/>
            </w:rPr>
            <w:fldChar w:fldCharType="begin"/>
          </w:r>
          <w:r>
            <w:rPr>
              <w:rFonts w:hint="eastAsia" w:ascii="仿宋_GB2312" w:hAnsi="仿宋_GB2312" w:eastAsia="仿宋_GB2312" w:cs="仿宋_GB2312"/>
              <w:sz w:val="30"/>
              <w:szCs w:val="30"/>
            </w:rPr>
            <w:instrText xml:space="preserve"> HYPERLINK \l _Toc12470 </w:instrText>
          </w:r>
          <w:r>
            <w:rPr>
              <w:rFonts w:hint="eastAsia" w:ascii="仿宋_GB2312" w:hAnsi="仿宋_GB2312" w:eastAsia="仿宋_GB2312" w:cs="仿宋_GB2312"/>
              <w:sz w:val="30"/>
              <w:szCs w:val="30"/>
            </w:rPr>
            <w:fldChar w:fldCharType="separate"/>
          </w:r>
          <w:r>
            <w:rPr>
              <w:rFonts w:hint="eastAsia" w:ascii="仿宋_GB2312" w:hAnsi="仿宋_GB2312" w:eastAsia="仿宋_GB2312" w:cs="仿宋_GB2312"/>
              <w:sz w:val="30"/>
              <w:szCs w:val="30"/>
            </w:rPr>
            <w:t>第五章</w:t>
          </w:r>
          <w:r>
            <w:rPr>
              <w:rFonts w:hint="eastAsia" w:ascii="仿宋_GB2312" w:hAnsi="仿宋_GB2312" w:eastAsia="仿宋_GB2312" w:cs="仿宋_GB2312"/>
              <w:sz w:val="30"/>
              <w:szCs w:val="30"/>
              <w:lang w:val="en-US" w:eastAsia="zh-CN"/>
            </w:rPr>
            <w:t xml:space="preserve"> </w:t>
          </w:r>
          <w:r>
            <w:rPr>
              <w:rFonts w:hint="eastAsia" w:ascii="仿宋_GB2312" w:hAnsi="仿宋_GB2312" w:eastAsia="仿宋_GB2312" w:cs="仿宋_GB2312"/>
              <w:sz w:val="30"/>
              <w:szCs w:val="30"/>
            </w:rPr>
            <w:t>响应文件构成及格式</w:t>
          </w:r>
          <w:r>
            <w:rPr>
              <w:rFonts w:hint="eastAsia" w:ascii="仿宋_GB2312" w:hAnsi="仿宋_GB2312" w:eastAsia="仿宋_GB2312" w:cs="仿宋_GB2312"/>
              <w:sz w:val="30"/>
              <w:szCs w:val="30"/>
            </w:rPr>
            <w:tab/>
          </w:r>
          <w:r>
            <w:rPr>
              <w:rFonts w:hint="eastAsia" w:ascii="仿宋_GB2312" w:hAnsi="仿宋_GB2312" w:eastAsia="仿宋_GB2312" w:cs="仿宋_GB2312"/>
              <w:sz w:val="30"/>
              <w:szCs w:val="30"/>
            </w:rPr>
            <w:fldChar w:fldCharType="begin"/>
          </w:r>
          <w:r>
            <w:rPr>
              <w:rFonts w:hint="eastAsia" w:ascii="仿宋_GB2312" w:hAnsi="仿宋_GB2312" w:eastAsia="仿宋_GB2312" w:cs="仿宋_GB2312"/>
              <w:sz w:val="30"/>
              <w:szCs w:val="30"/>
            </w:rPr>
            <w:instrText xml:space="preserve"> PAGEREF _Toc12470 \h </w:instrText>
          </w:r>
          <w:r>
            <w:rPr>
              <w:rFonts w:hint="eastAsia" w:ascii="仿宋_GB2312" w:hAnsi="仿宋_GB2312" w:eastAsia="仿宋_GB2312" w:cs="仿宋_GB2312"/>
              <w:sz w:val="30"/>
              <w:szCs w:val="30"/>
            </w:rPr>
            <w:fldChar w:fldCharType="separate"/>
          </w:r>
          <w:r>
            <w:rPr>
              <w:rFonts w:hint="eastAsia" w:ascii="仿宋_GB2312" w:hAnsi="仿宋_GB2312" w:eastAsia="仿宋_GB2312" w:cs="仿宋_GB2312"/>
              <w:sz w:val="30"/>
              <w:szCs w:val="30"/>
            </w:rPr>
            <w:t>- 64 -</w:t>
          </w:r>
          <w:r>
            <w:rPr>
              <w:rFonts w:hint="eastAsia" w:ascii="仿宋_GB2312" w:hAnsi="仿宋_GB2312" w:eastAsia="仿宋_GB2312" w:cs="仿宋_GB2312"/>
              <w:sz w:val="30"/>
              <w:szCs w:val="30"/>
            </w:rPr>
            <w:fldChar w:fldCharType="end"/>
          </w:r>
          <w:r>
            <w:rPr>
              <w:rFonts w:hint="eastAsia" w:ascii="仿宋_GB2312" w:hAnsi="仿宋_GB2312" w:eastAsia="仿宋_GB2312" w:cs="仿宋_GB2312"/>
              <w:sz w:val="30"/>
              <w:szCs w:val="30"/>
            </w:rPr>
            <w:fldChar w:fldCharType="end"/>
          </w:r>
        </w:p>
        <w:p>
          <w:pPr>
            <w:rPr>
              <w:rFonts w:hint="eastAsia"/>
            </w:rPr>
          </w:pPr>
          <w:r>
            <w:rPr>
              <w:rFonts w:hint="eastAsia"/>
            </w:rPr>
            <w:fldChar w:fldCharType="end"/>
          </w:r>
        </w:p>
      </w:sdtContent>
    </w:sdt>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keepNext w:val="0"/>
        <w:keepLines w:val="0"/>
        <w:pageBreakBefore w:val="0"/>
        <w:widowControl w:val="0"/>
        <w:kinsoku/>
        <w:wordWrap/>
        <w:overflowPunct/>
        <w:topLinePunct w:val="0"/>
        <w:autoSpaceDE/>
        <w:autoSpaceDN/>
        <w:bidi w:val="0"/>
        <w:adjustRightInd/>
        <w:snapToGrid/>
        <w:spacing w:line="400" w:lineRule="atLeast"/>
        <w:jc w:val="center"/>
        <w:textAlignment w:val="auto"/>
        <w:outlineLvl w:val="0"/>
        <w:rPr>
          <w:rFonts w:hint="eastAsia" w:ascii="方正小标宋简体" w:hAnsi="方正小标宋简体" w:eastAsia="方正小标宋简体" w:cs="方正小标宋简体"/>
          <w:sz w:val="32"/>
          <w:szCs w:val="32"/>
        </w:rPr>
        <w:sectPr>
          <w:footerReference r:id="rId3" w:type="default"/>
          <w:pgSz w:w="11906" w:h="16838"/>
          <w:pgMar w:top="1440" w:right="1800" w:bottom="1440" w:left="1800" w:header="851" w:footer="992" w:gutter="0"/>
          <w:cols w:space="425" w:num="1"/>
          <w:docGrid w:type="lines" w:linePitch="312" w:charSpace="0"/>
        </w:sectPr>
      </w:pPr>
    </w:p>
    <w:p>
      <w:pPr>
        <w:keepNext w:val="0"/>
        <w:keepLines w:val="0"/>
        <w:pageBreakBefore w:val="0"/>
        <w:widowControl w:val="0"/>
        <w:kinsoku/>
        <w:wordWrap/>
        <w:overflowPunct/>
        <w:topLinePunct w:val="0"/>
        <w:autoSpaceDE/>
        <w:autoSpaceDN/>
        <w:bidi w:val="0"/>
        <w:adjustRightInd/>
        <w:snapToGrid/>
        <w:spacing w:line="400" w:lineRule="atLeast"/>
        <w:jc w:val="center"/>
        <w:textAlignment w:val="auto"/>
        <w:outlineLvl w:val="0"/>
        <w:rPr>
          <w:rFonts w:hint="eastAsia" w:ascii="方正小标宋简体" w:hAnsi="方正小标宋简体" w:eastAsia="方正小标宋简体" w:cs="方正小标宋简体"/>
          <w:sz w:val="32"/>
          <w:szCs w:val="32"/>
        </w:rPr>
      </w:pPr>
      <w:bookmarkStart w:id="0" w:name="_Toc27511"/>
      <w:r>
        <w:rPr>
          <w:rFonts w:hint="eastAsia" w:ascii="方正小标宋简体" w:hAnsi="方正小标宋简体" w:eastAsia="方正小标宋简体" w:cs="方正小标宋简体"/>
          <w:sz w:val="32"/>
          <w:szCs w:val="32"/>
        </w:rPr>
        <w:t>第一章</w:t>
      </w:r>
      <w:r>
        <w:rPr>
          <w:rFonts w:hint="eastAsia" w:ascii="方正小标宋简体" w:hAnsi="方正小标宋简体" w:eastAsia="方正小标宋简体" w:cs="方正小标宋简体"/>
          <w:sz w:val="32"/>
          <w:szCs w:val="32"/>
          <w:lang w:val="en-US" w:eastAsia="zh-CN"/>
        </w:rPr>
        <w:t xml:space="preserve"> </w:t>
      </w:r>
      <w:r>
        <w:rPr>
          <w:rFonts w:hint="eastAsia" w:ascii="方正小标宋简体" w:hAnsi="方正小标宋简体" w:eastAsia="方正小标宋简体" w:cs="方正小标宋简体"/>
          <w:sz w:val="32"/>
          <w:szCs w:val="32"/>
        </w:rPr>
        <w:t>磋商邀请函</w:t>
      </w:r>
      <w:bookmarkEnd w:id="0"/>
    </w:p>
    <w:p>
      <w:pPr>
        <w:keepNext w:val="0"/>
        <w:keepLines w:val="0"/>
        <w:pageBreakBefore w:val="0"/>
        <w:widowControl w:val="0"/>
        <w:kinsoku/>
        <w:wordWrap/>
        <w:overflowPunct/>
        <w:topLinePunct w:val="0"/>
        <w:autoSpaceDE/>
        <w:autoSpaceDN/>
        <w:bidi w:val="0"/>
        <w:adjustRightInd/>
        <w:snapToGrid/>
        <w:spacing w:line="570" w:lineRule="atLeas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lang w:eastAsia="zh-CN"/>
        </w:rPr>
        <w:t>咸阳市秦都区文华学校购买服务政府采购项目</w:t>
      </w:r>
      <w:r>
        <w:rPr>
          <w:rFonts w:hint="eastAsia" w:asciiTheme="minorEastAsia" w:hAnsiTheme="minorEastAsia" w:eastAsiaTheme="minorEastAsia" w:cstheme="minorEastAsia"/>
          <w:sz w:val="24"/>
          <w:szCs w:val="24"/>
        </w:rPr>
        <w:t>潜在的供应商可在</w:t>
      </w:r>
      <w:r>
        <w:rPr>
          <w:rFonts w:hint="eastAsia" w:asciiTheme="minorEastAsia" w:hAnsiTheme="minorEastAsia" w:eastAsiaTheme="minorEastAsia" w:cstheme="minorEastAsia"/>
          <w:sz w:val="24"/>
          <w:szCs w:val="24"/>
          <w:highlight w:val="none"/>
        </w:rPr>
        <w:t>全国公共资源交易平台（陕西省</w:t>
      </w:r>
      <w:r>
        <w:rPr>
          <w:rFonts w:hint="eastAsia" w:asciiTheme="minorEastAsia" w:hAnsiTheme="minorEastAsia" w:cstheme="minorEastAsia"/>
          <w:sz w:val="24"/>
          <w:szCs w:val="24"/>
          <w:highlight w:val="none"/>
          <w:lang w:val="en-US" w:eastAsia="zh-CN"/>
        </w:rPr>
        <w:t>咸阳市</w:t>
      </w:r>
      <w:r>
        <w:rPr>
          <w:rFonts w:hint="eastAsia" w:asciiTheme="minorEastAsia" w:hAnsiTheme="minorEastAsia" w:eastAsiaTheme="minorEastAsia" w:cstheme="minorEastAsia"/>
          <w:sz w:val="24"/>
          <w:szCs w:val="24"/>
          <w:highlight w:val="none"/>
        </w:rPr>
        <w:t>）</w:t>
      </w:r>
      <w:r>
        <w:rPr>
          <w:rFonts w:hint="eastAsia" w:asciiTheme="minorEastAsia" w:hAnsiTheme="minorEastAsia" w:eastAsiaTheme="minorEastAsia" w:cstheme="minorEastAsia"/>
          <w:sz w:val="24"/>
          <w:szCs w:val="24"/>
        </w:rPr>
        <w:t>获取磋商文件，并于202</w:t>
      </w:r>
      <w:r>
        <w:rPr>
          <w:rFonts w:hint="eastAsia" w:asciiTheme="minorEastAsia" w:hAnsiTheme="minorEastAsia" w:eastAsiaTheme="minorEastAsia" w:cstheme="minorEastAsia"/>
          <w:sz w:val="24"/>
          <w:szCs w:val="24"/>
          <w:lang w:val="en-US" w:eastAsia="zh-CN"/>
        </w:rPr>
        <w:t>6</w:t>
      </w:r>
      <w:r>
        <w:rPr>
          <w:rFonts w:hint="eastAsia" w:asciiTheme="minorEastAsia" w:hAnsiTheme="minorEastAsia" w:cstheme="minorEastAsia"/>
          <w:sz w:val="24"/>
          <w:szCs w:val="24"/>
          <w:lang w:val="en-US" w:eastAsia="zh-CN"/>
        </w:rPr>
        <w:t>年</w:t>
      </w:r>
      <w:r>
        <w:rPr>
          <w:rFonts w:hint="eastAsia" w:asciiTheme="minorEastAsia" w:hAnsiTheme="minorEastAsia" w:cstheme="minorEastAsia"/>
          <w:sz w:val="24"/>
          <w:szCs w:val="24"/>
          <w:u w:val="none"/>
          <w:lang w:val="en-US" w:eastAsia="zh-CN"/>
        </w:rPr>
        <w:t>5</w:t>
      </w:r>
      <w:r>
        <w:rPr>
          <w:rFonts w:hint="eastAsia" w:asciiTheme="minorEastAsia" w:hAnsiTheme="minorEastAsia" w:cstheme="minorEastAsia"/>
          <w:sz w:val="24"/>
          <w:szCs w:val="24"/>
          <w:highlight w:val="none"/>
          <w:lang w:val="en-US" w:eastAsia="zh-CN"/>
        </w:rPr>
        <w:t>月</w:t>
      </w:r>
      <w:r>
        <w:rPr>
          <w:rFonts w:hint="eastAsia" w:asciiTheme="minorEastAsia" w:hAnsiTheme="minorEastAsia" w:cstheme="minorEastAsia"/>
          <w:sz w:val="24"/>
          <w:szCs w:val="24"/>
          <w:highlight w:val="none"/>
          <w:u w:val="none"/>
          <w:lang w:val="en-US" w:eastAsia="zh-CN"/>
        </w:rPr>
        <w:t>26</w:t>
      </w:r>
      <w:r>
        <w:rPr>
          <w:rFonts w:hint="eastAsia" w:asciiTheme="minorEastAsia" w:hAnsiTheme="minorEastAsia" w:cstheme="minorEastAsia"/>
          <w:sz w:val="24"/>
          <w:szCs w:val="24"/>
          <w:highlight w:val="none"/>
          <w:lang w:val="en-US" w:eastAsia="zh-CN"/>
        </w:rPr>
        <w:t>日</w:t>
      </w:r>
      <w:r>
        <w:rPr>
          <w:rFonts w:hint="eastAsia" w:asciiTheme="minorEastAsia" w:hAnsiTheme="minorEastAsia" w:eastAsiaTheme="minorEastAsia" w:cstheme="minorEastAsia"/>
          <w:sz w:val="24"/>
          <w:szCs w:val="24"/>
          <w:highlight w:val="none"/>
        </w:rPr>
        <w:t>09</w:t>
      </w:r>
      <w:r>
        <w:rPr>
          <w:rFonts w:hint="eastAsia" w:asciiTheme="minorEastAsia" w:hAnsiTheme="minorEastAsia" w:cstheme="minorEastAsia"/>
          <w:sz w:val="24"/>
          <w:szCs w:val="24"/>
          <w:highlight w:val="none"/>
          <w:lang w:val="en-US" w:eastAsia="zh-CN"/>
        </w:rPr>
        <w:t>时</w:t>
      </w:r>
      <w:r>
        <w:rPr>
          <w:rFonts w:hint="eastAsia" w:asciiTheme="minorEastAsia" w:hAnsiTheme="minorEastAsia" w:eastAsiaTheme="minorEastAsia" w:cstheme="minorEastAsia"/>
          <w:sz w:val="24"/>
          <w:szCs w:val="24"/>
          <w:highlight w:val="none"/>
        </w:rPr>
        <w:t>30</w:t>
      </w:r>
      <w:r>
        <w:rPr>
          <w:rFonts w:hint="eastAsia" w:asciiTheme="minorEastAsia" w:hAnsiTheme="minorEastAsia" w:cstheme="minorEastAsia"/>
          <w:sz w:val="24"/>
          <w:szCs w:val="24"/>
          <w:highlight w:val="none"/>
          <w:lang w:val="en-US" w:eastAsia="zh-CN"/>
        </w:rPr>
        <w:t>分(北京时间）</w:t>
      </w:r>
      <w:r>
        <w:rPr>
          <w:rFonts w:hint="eastAsia" w:asciiTheme="minorEastAsia" w:hAnsiTheme="minorEastAsia" w:eastAsiaTheme="minorEastAsia" w:cstheme="minorEastAsia"/>
          <w:sz w:val="24"/>
          <w:szCs w:val="24"/>
          <w:highlight w:val="none"/>
        </w:rPr>
        <w:t>前递交响应文件。</w:t>
      </w:r>
    </w:p>
    <w:p>
      <w:pPr>
        <w:keepNext w:val="0"/>
        <w:keepLines w:val="0"/>
        <w:pageBreakBefore w:val="0"/>
        <w:widowControl w:val="0"/>
        <w:kinsoku/>
        <w:wordWrap/>
        <w:overflowPunct/>
        <w:topLinePunct w:val="0"/>
        <w:autoSpaceDE/>
        <w:autoSpaceDN/>
        <w:bidi w:val="0"/>
        <w:adjustRightInd/>
        <w:snapToGrid/>
        <w:spacing w:line="570" w:lineRule="atLeast"/>
        <w:ind w:left="0" w:leftChars="0" w:firstLine="420" w:firstLineChars="175"/>
        <w:textAlignment w:val="auto"/>
        <w:rPr>
          <w:rFonts w:hint="eastAsia" w:asciiTheme="minorEastAsia" w:hAnsiTheme="minorEastAsia" w:cstheme="minorEastAsia"/>
          <w:sz w:val="24"/>
          <w:szCs w:val="24"/>
          <w:highlight w:val="none"/>
          <w:lang w:val="en-US" w:eastAsia="zh-CN"/>
        </w:rPr>
      </w:pPr>
      <w:r>
        <w:rPr>
          <w:rFonts w:hint="eastAsia" w:asciiTheme="minorEastAsia" w:hAnsiTheme="minorEastAsia" w:eastAsiaTheme="minorEastAsia" w:cstheme="minorEastAsia"/>
          <w:sz w:val="24"/>
          <w:szCs w:val="24"/>
        </w:rPr>
        <w:t>一</w:t>
      </w:r>
      <w:r>
        <w:rPr>
          <w:rFonts w:hint="eastAsia" w:asciiTheme="minorEastAsia" w:hAnsiTheme="minorEastAsia" w:cstheme="minorEastAsia"/>
          <w:sz w:val="24"/>
          <w:szCs w:val="24"/>
          <w:highlight w:val="none"/>
          <w:lang w:val="en-US" w:eastAsia="zh-CN"/>
        </w:rPr>
        <w:t>、项目名称：咸阳市秦都区文华学校购买服务政府采购项目</w:t>
      </w:r>
    </w:p>
    <w:p>
      <w:pPr>
        <w:keepNext w:val="0"/>
        <w:keepLines w:val="0"/>
        <w:pageBreakBefore w:val="0"/>
        <w:widowControl w:val="0"/>
        <w:kinsoku/>
        <w:wordWrap/>
        <w:overflowPunct/>
        <w:topLinePunct w:val="0"/>
        <w:autoSpaceDE/>
        <w:autoSpaceDN/>
        <w:bidi w:val="0"/>
        <w:adjustRightInd/>
        <w:snapToGrid/>
        <w:spacing w:line="570" w:lineRule="atLeast"/>
        <w:ind w:left="0" w:leftChars="0" w:firstLine="420" w:firstLineChars="175"/>
        <w:textAlignment w:val="auto"/>
        <w:rPr>
          <w:rFonts w:hint="eastAsia" w:asciiTheme="minorEastAsia" w:hAnsi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二、项目编号：XQCG(2026)004号</w:t>
      </w:r>
    </w:p>
    <w:p>
      <w:pPr>
        <w:keepNext w:val="0"/>
        <w:keepLines w:val="0"/>
        <w:pageBreakBefore w:val="0"/>
        <w:widowControl w:val="0"/>
        <w:kinsoku/>
        <w:wordWrap/>
        <w:overflowPunct/>
        <w:topLinePunct w:val="0"/>
        <w:autoSpaceDE/>
        <w:autoSpaceDN/>
        <w:bidi w:val="0"/>
        <w:adjustRightInd/>
        <w:snapToGrid/>
        <w:spacing w:line="570" w:lineRule="atLeast"/>
        <w:ind w:left="0" w:leftChars="0" w:firstLine="420" w:firstLineChars="175"/>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三、采购人：</w:t>
      </w:r>
      <w:r>
        <w:rPr>
          <w:rFonts w:hint="eastAsia" w:asciiTheme="minorEastAsia" w:hAnsiTheme="minorEastAsia" w:eastAsiaTheme="minorEastAsia" w:cstheme="minorEastAsia"/>
          <w:sz w:val="24"/>
          <w:szCs w:val="24"/>
          <w:lang w:eastAsia="zh-CN"/>
        </w:rPr>
        <w:t>咸阳市秦都区文华学校</w:t>
      </w:r>
    </w:p>
    <w:p>
      <w:pPr>
        <w:keepNext w:val="0"/>
        <w:keepLines w:val="0"/>
        <w:pageBreakBefore w:val="0"/>
        <w:widowControl w:val="0"/>
        <w:kinsoku/>
        <w:wordWrap/>
        <w:overflowPunct/>
        <w:topLinePunct w:val="0"/>
        <w:autoSpaceDE/>
        <w:autoSpaceDN/>
        <w:bidi w:val="0"/>
        <w:adjustRightInd/>
        <w:snapToGrid/>
        <w:spacing w:line="570" w:lineRule="atLeast"/>
        <w:ind w:left="0" w:leftChars="0" w:firstLine="420" w:firstLineChars="175"/>
        <w:textAlignment w:val="auto"/>
        <w:rPr>
          <w:rFonts w:hint="eastAsia" w:asciiTheme="minorEastAsia" w:hAnsi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地址：咸阳市秦都区珠泉路与汉仓路交汇东北侧</w:t>
      </w:r>
    </w:p>
    <w:p>
      <w:pPr>
        <w:keepNext w:val="0"/>
        <w:keepLines w:val="0"/>
        <w:pageBreakBefore w:val="0"/>
        <w:widowControl w:val="0"/>
        <w:kinsoku/>
        <w:wordWrap/>
        <w:overflowPunct/>
        <w:topLinePunct w:val="0"/>
        <w:autoSpaceDE/>
        <w:autoSpaceDN/>
        <w:bidi w:val="0"/>
        <w:adjustRightInd/>
        <w:snapToGrid/>
        <w:spacing w:line="570" w:lineRule="atLeas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联系人：</w:t>
      </w:r>
      <w:r>
        <w:rPr>
          <w:rFonts w:hint="eastAsia" w:asciiTheme="minorEastAsia" w:hAnsiTheme="minorEastAsia" w:eastAsiaTheme="minorEastAsia" w:cstheme="minorEastAsia"/>
          <w:sz w:val="24"/>
          <w:szCs w:val="24"/>
          <w:lang w:val="en-US" w:eastAsia="zh-CN"/>
        </w:rPr>
        <w:t>荣</w:t>
      </w:r>
      <w:r>
        <w:rPr>
          <w:rFonts w:hint="eastAsia" w:asciiTheme="minorEastAsia" w:hAnsiTheme="minorEastAsia" w:eastAsiaTheme="minorEastAsia" w:cstheme="minorEastAsia"/>
          <w:sz w:val="24"/>
          <w:szCs w:val="24"/>
        </w:rPr>
        <w:t>老师</w:t>
      </w:r>
    </w:p>
    <w:p>
      <w:pPr>
        <w:keepNext w:val="0"/>
        <w:keepLines w:val="0"/>
        <w:pageBreakBefore w:val="0"/>
        <w:widowControl w:val="0"/>
        <w:kinsoku/>
        <w:wordWrap/>
        <w:overflowPunct/>
        <w:topLinePunct w:val="0"/>
        <w:autoSpaceDE/>
        <w:autoSpaceDN/>
        <w:bidi w:val="0"/>
        <w:adjustRightInd/>
        <w:snapToGrid/>
        <w:spacing w:line="570" w:lineRule="atLeast"/>
        <w:ind w:left="0" w:leftChars="0" w:firstLine="420" w:firstLineChars="175"/>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联系方式：029-</w:t>
      </w:r>
      <w:r>
        <w:rPr>
          <w:rFonts w:hint="eastAsia" w:asciiTheme="minorEastAsia" w:hAnsiTheme="minorEastAsia" w:eastAsiaTheme="minorEastAsia" w:cstheme="minorEastAsia"/>
          <w:sz w:val="24"/>
          <w:szCs w:val="24"/>
          <w:lang w:val="en-US" w:eastAsia="zh-CN"/>
        </w:rPr>
        <w:t>33318865</w:t>
      </w:r>
    </w:p>
    <w:p>
      <w:pPr>
        <w:keepNext w:val="0"/>
        <w:keepLines w:val="0"/>
        <w:pageBreakBefore w:val="0"/>
        <w:widowControl w:val="0"/>
        <w:numPr>
          <w:ilvl w:val="0"/>
          <w:numId w:val="1"/>
        </w:numPr>
        <w:kinsoku/>
        <w:wordWrap/>
        <w:overflowPunct/>
        <w:topLinePunct w:val="0"/>
        <w:autoSpaceDE/>
        <w:autoSpaceDN/>
        <w:bidi w:val="0"/>
        <w:adjustRightInd/>
        <w:snapToGrid/>
        <w:spacing w:line="570" w:lineRule="atLeast"/>
        <w:ind w:left="0" w:leftChars="0" w:firstLine="420" w:firstLineChars="175"/>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采购代理机构：</w:t>
      </w:r>
      <w:r>
        <w:rPr>
          <w:rFonts w:hint="eastAsia" w:asciiTheme="minorEastAsia" w:hAnsiTheme="minorEastAsia" w:eastAsiaTheme="minorEastAsia" w:cstheme="minorEastAsia"/>
          <w:sz w:val="24"/>
          <w:szCs w:val="24"/>
          <w:lang w:eastAsia="zh-CN"/>
        </w:rPr>
        <w:t>咸阳市秦都区政府采购中心</w:t>
      </w:r>
    </w:p>
    <w:p>
      <w:pPr>
        <w:keepNext w:val="0"/>
        <w:keepLines w:val="0"/>
        <w:pageBreakBefore w:val="0"/>
        <w:widowControl w:val="0"/>
        <w:numPr>
          <w:ilvl w:val="0"/>
          <w:numId w:val="1"/>
        </w:numPr>
        <w:kinsoku/>
        <w:wordWrap/>
        <w:overflowPunct/>
        <w:topLinePunct w:val="0"/>
        <w:autoSpaceDE/>
        <w:autoSpaceDN/>
        <w:bidi w:val="0"/>
        <w:adjustRightInd/>
        <w:snapToGrid/>
        <w:spacing w:line="570" w:lineRule="atLeas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地址：</w:t>
      </w:r>
      <w:r>
        <w:rPr>
          <w:rFonts w:hint="eastAsia" w:asciiTheme="minorEastAsia" w:hAnsiTheme="minorEastAsia" w:eastAsiaTheme="minorEastAsia" w:cstheme="minorEastAsia"/>
          <w:sz w:val="24"/>
          <w:szCs w:val="24"/>
          <w:lang w:val="en-US" w:eastAsia="zh-CN"/>
        </w:rPr>
        <w:t>咸阳市秦都区政府院内南楼821</w:t>
      </w:r>
    </w:p>
    <w:p>
      <w:pPr>
        <w:keepNext w:val="0"/>
        <w:keepLines w:val="0"/>
        <w:pageBreakBefore w:val="0"/>
        <w:widowControl w:val="0"/>
        <w:kinsoku/>
        <w:wordWrap/>
        <w:overflowPunct/>
        <w:topLinePunct w:val="0"/>
        <w:autoSpaceDE/>
        <w:autoSpaceDN/>
        <w:bidi w:val="0"/>
        <w:adjustRightInd/>
        <w:snapToGrid/>
        <w:spacing w:line="570" w:lineRule="atLeas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联系人：</w:t>
      </w:r>
      <w:r>
        <w:rPr>
          <w:rFonts w:hint="eastAsia" w:asciiTheme="minorEastAsia" w:hAnsiTheme="minorEastAsia" w:eastAsiaTheme="minorEastAsia" w:cstheme="minorEastAsia"/>
          <w:sz w:val="24"/>
          <w:szCs w:val="24"/>
          <w:lang w:val="en-US" w:eastAsia="zh-CN"/>
        </w:rPr>
        <w:t>杨</w:t>
      </w:r>
      <w:r>
        <w:rPr>
          <w:rFonts w:hint="eastAsia" w:asciiTheme="minorEastAsia" w:hAnsiTheme="minorEastAsia" w:eastAsiaTheme="minorEastAsia" w:cstheme="minorEastAsia"/>
          <w:sz w:val="24"/>
          <w:szCs w:val="24"/>
        </w:rPr>
        <w:t>老师</w:t>
      </w:r>
    </w:p>
    <w:p>
      <w:pPr>
        <w:keepNext w:val="0"/>
        <w:keepLines w:val="0"/>
        <w:pageBreakBefore w:val="0"/>
        <w:widowControl w:val="0"/>
        <w:kinsoku/>
        <w:wordWrap/>
        <w:overflowPunct/>
        <w:topLinePunct w:val="0"/>
        <w:autoSpaceDE/>
        <w:autoSpaceDN/>
        <w:bidi w:val="0"/>
        <w:adjustRightInd/>
        <w:snapToGrid/>
        <w:spacing w:line="570" w:lineRule="atLeast"/>
        <w:ind w:left="0" w:leftChars="0" w:firstLine="420" w:firstLineChars="175"/>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联系方式：029-</w:t>
      </w:r>
      <w:r>
        <w:rPr>
          <w:rFonts w:hint="eastAsia" w:asciiTheme="minorEastAsia" w:hAnsiTheme="minorEastAsia" w:eastAsiaTheme="minorEastAsia" w:cstheme="minorEastAsia"/>
          <w:sz w:val="24"/>
          <w:szCs w:val="24"/>
          <w:lang w:val="en-US" w:eastAsia="zh-CN"/>
        </w:rPr>
        <w:t>33213950</w:t>
      </w:r>
    </w:p>
    <w:p>
      <w:pPr>
        <w:keepNext w:val="0"/>
        <w:keepLines w:val="0"/>
        <w:pageBreakBefore w:val="0"/>
        <w:widowControl w:val="0"/>
        <w:kinsoku/>
        <w:wordWrap/>
        <w:overflowPunct/>
        <w:topLinePunct w:val="0"/>
        <w:autoSpaceDE/>
        <w:autoSpaceDN/>
        <w:bidi w:val="0"/>
        <w:adjustRightInd/>
        <w:snapToGrid/>
        <w:spacing w:line="570" w:lineRule="atLeas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五、磋商内容和要求</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本项目为</w:t>
      </w:r>
      <w:r>
        <w:rPr>
          <w:rFonts w:hint="eastAsia" w:asciiTheme="minorEastAsia" w:hAnsiTheme="minorEastAsia" w:eastAsiaTheme="minorEastAsia" w:cstheme="minorEastAsia"/>
          <w:sz w:val="24"/>
          <w:szCs w:val="24"/>
          <w:lang w:eastAsia="zh-CN"/>
        </w:rPr>
        <w:t>咸阳市秦都区文华学校购买服务政府采购项目</w:t>
      </w:r>
      <w:r>
        <w:rPr>
          <w:rFonts w:hint="eastAsia" w:asciiTheme="minorEastAsia" w:hAnsiTheme="minorEastAsia" w:eastAsiaTheme="minorEastAsia" w:cstheme="minorEastAsia"/>
          <w:sz w:val="24"/>
          <w:szCs w:val="24"/>
        </w:rPr>
        <w:t>（详见磋商文件第三章磋商内容及采购要求）。</w:t>
      </w:r>
    </w:p>
    <w:p>
      <w:pPr>
        <w:keepNext w:val="0"/>
        <w:keepLines w:val="0"/>
        <w:pageBreakBefore w:val="0"/>
        <w:widowControl w:val="0"/>
        <w:kinsoku/>
        <w:wordWrap/>
        <w:overflowPunct/>
        <w:topLinePunct w:val="0"/>
        <w:autoSpaceDE/>
        <w:autoSpaceDN/>
        <w:bidi w:val="0"/>
        <w:adjustRightInd/>
        <w:snapToGrid/>
        <w:spacing w:line="570" w:lineRule="exact"/>
        <w:ind w:firstLine="480" w:firstLineChars="200"/>
        <w:textAlignment w:val="auto"/>
        <w:rPr>
          <w:rFonts w:hint="default"/>
          <w:sz w:val="24"/>
          <w:szCs w:val="24"/>
          <w:u w:val="none"/>
          <w:lang w:val="en-US"/>
        </w:rPr>
      </w:pPr>
      <w:r>
        <w:rPr>
          <w:rFonts w:hint="eastAsia" w:asciiTheme="minorEastAsia" w:hAnsiTheme="minorEastAsia" w:eastAsiaTheme="minorEastAsia" w:cstheme="minorEastAsia"/>
          <w:sz w:val="24"/>
          <w:szCs w:val="24"/>
          <w:lang w:val="en-US" w:eastAsia="zh-CN"/>
        </w:rPr>
        <w:t>服务期限：</w:t>
      </w:r>
      <w:r>
        <w:rPr>
          <w:rFonts w:hint="eastAsia" w:ascii="宋体" w:hAnsi="宋体"/>
          <w:sz w:val="24"/>
          <w:szCs w:val="24"/>
          <w:u w:val="none"/>
          <w:lang w:val="en-US" w:eastAsia="zh-CN"/>
        </w:rPr>
        <w:t>服务期3年（合同1年一签，合同到期后，采购人可根据成交供应商的服务情况进行考核，考核通过的成交供应商，采购人可与其续签合同）。</w:t>
      </w:r>
    </w:p>
    <w:p>
      <w:pPr>
        <w:keepNext w:val="0"/>
        <w:keepLines w:val="0"/>
        <w:pageBreakBefore w:val="0"/>
        <w:widowControl w:val="0"/>
        <w:numPr>
          <w:ilvl w:val="0"/>
          <w:numId w:val="1"/>
        </w:numPr>
        <w:kinsoku/>
        <w:wordWrap/>
        <w:overflowPunct/>
        <w:topLinePunct w:val="0"/>
        <w:autoSpaceDE/>
        <w:autoSpaceDN/>
        <w:bidi w:val="0"/>
        <w:adjustRightInd/>
        <w:snapToGrid/>
        <w:spacing w:line="570" w:lineRule="atLeast"/>
        <w:ind w:left="0" w:leftChars="0" w:firstLine="420" w:firstLineChars="175"/>
        <w:textAlignment w:val="auto"/>
        <w:rPr>
          <w:rFonts w:hint="eastAsia" w:asciiTheme="minorEastAsia" w:hAnsiTheme="minorEastAsia" w:cstheme="minorEastAsia"/>
          <w:sz w:val="24"/>
          <w:szCs w:val="24"/>
          <w:lang w:val="en-US" w:eastAsia="zh-CN"/>
        </w:rPr>
      </w:pPr>
      <w:r>
        <w:rPr>
          <w:rFonts w:hint="eastAsia" w:asciiTheme="minorEastAsia" w:hAnsiTheme="minorEastAsia" w:eastAsiaTheme="minorEastAsia" w:cstheme="minorEastAsia"/>
          <w:sz w:val="24"/>
          <w:szCs w:val="24"/>
        </w:rPr>
        <w:t>资金来源：</w:t>
      </w:r>
      <w:r>
        <w:rPr>
          <w:rFonts w:hint="eastAsia" w:asciiTheme="minorEastAsia" w:hAnsiTheme="minorEastAsia" w:cstheme="minorEastAsia"/>
          <w:sz w:val="24"/>
          <w:szCs w:val="24"/>
          <w:lang w:val="en-US" w:eastAsia="zh-CN"/>
        </w:rPr>
        <w:t>财政资金</w:t>
      </w:r>
    </w:p>
    <w:p>
      <w:pPr>
        <w:keepNext w:val="0"/>
        <w:keepLines w:val="0"/>
        <w:pageBreakBefore w:val="0"/>
        <w:widowControl w:val="0"/>
        <w:numPr>
          <w:ilvl w:val="0"/>
          <w:numId w:val="1"/>
        </w:numPr>
        <w:kinsoku/>
        <w:wordWrap/>
        <w:overflowPunct/>
        <w:topLinePunct w:val="0"/>
        <w:autoSpaceDE/>
        <w:autoSpaceDN/>
        <w:bidi w:val="0"/>
        <w:adjustRightInd/>
        <w:snapToGrid/>
        <w:spacing w:line="570" w:lineRule="atLeas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采购预算：</w:t>
      </w:r>
      <w:r>
        <w:rPr>
          <w:rFonts w:hint="eastAsia" w:asciiTheme="minorEastAsia" w:hAnsiTheme="minorEastAsia" w:eastAsiaTheme="minorEastAsia" w:cstheme="minorEastAsia"/>
          <w:sz w:val="24"/>
          <w:szCs w:val="24"/>
          <w:lang w:val="en-US" w:eastAsia="zh-CN"/>
        </w:rPr>
        <w:t>93.68</w:t>
      </w:r>
      <w:r>
        <w:rPr>
          <w:rFonts w:hint="eastAsia" w:asciiTheme="minorEastAsia" w:hAnsiTheme="minorEastAsia" w:eastAsiaTheme="minorEastAsia" w:cstheme="minorEastAsia"/>
          <w:sz w:val="24"/>
          <w:szCs w:val="24"/>
        </w:rPr>
        <w:t>万元</w:t>
      </w:r>
    </w:p>
    <w:p>
      <w:pPr>
        <w:keepNext w:val="0"/>
        <w:keepLines w:val="0"/>
        <w:pageBreakBefore w:val="0"/>
        <w:widowControl w:val="0"/>
        <w:kinsoku/>
        <w:wordWrap/>
        <w:overflowPunct/>
        <w:topLinePunct w:val="0"/>
        <w:autoSpaceDE/>
        <w:autoSpaceDN/>
        <w:bidi w:val="0"/>
        <w:adjustRightInd/>
        <w:snapToGrid/>
        <w:spacing w:line="570" w:lineRule="atLeas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八、所属行业：物业管理</w:t>
      </w:r>
    </w:p>
    <w:p>
      <w:pPr>
        <w:keepNext w:val="0"/>
        <w:keepLines w:val="0"/>
        <w:pageBreakBefore w:val="0"/>
        <w:widowControl w:val="0"/>
        <w:kinsoku/>
        <w:wordWrap/>
        <w:overflowPunct/>
        <w:topLinePunct w:val="0"/>
        <w:autoSpaceDE/>
        <w:autoSpaceDN/>
        <w:bidi w:val="0"/>
        <w:adjustRightInd/>
        <w:snapToGrid/>
        <w:spacing w:line="570" w:lineRule="atLeas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九、项目属性：服务类</w:t>
      </w:r>
    </w:p>
    <w:p>
      <w:pPr>
        <w:keepNext w:val="0"/>
        <w:keepLines w:val="0"/>
        <w:pageBreakBefore w:val="0"/>
        <w:widowControl w:val="0"/>
        <w:kinsoku/>
        <w:wordWrap/>
        <w:overflowPunct/>
        <w:topLinePunct w:val="0"/>
        <w:autoSpaceDE/>
        <w:autoSpaceDN/>
        <w:bidi w:val="0"/>
        <w:adjustRightInd/>
        <w:snapToGrid/>
        <w:spacing w:line="570" w:lineRule="atLeas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十、供应商资格要求</w:t>
      </w:r>
    </w:p>
    <w:p>
      <w:pPr>
        <w:keepNext w:val="0"/>
        <w:keepLines w:val="0"/>
        <w:pageBreakBefore w:val="0"/>
        <w:widowControl w:val="0"/>
        <w:kinsoku/>
        <w:wordWrap/>
        <w:overflowPunct/>
        <w:topLinePunct w:val="0"/>
        <w:autoSpaceDE/>
        <w:autoSpaceDN/>
        <w:bidi w:val="0"/>
        <w:adjustRightInd/>
        <w:snapToGrid/>
        <w:spacing w:line="570" w:lineRule="atLeas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符合《中华人民共和国政府采购法》第二十二条的规定，并提供下列材料：</w:t>
      </w:r>
    </w:p>
    <w:p>
      <w:pPr>
        <w:keepNext w:val="0"/>
        <w:keepLines w:val="0"/>
        <w:pageBreakBefore w:val="0"/>
        <w:widowControl w:val="0"/>
        <w:kinsoku/>
        <w:wordWrap/>
        <w:overflowPunct/>
        <w:topLinePunct w:val="0"/>
        <w:autoSpaceDE/>
        <w:autoSpaceDN/>
        <w:bidi w:val="0"/>
        <w:adjustRightInd/>
        <w:snapToGrid/>
        <w:spacing w:line="570" w:lineRule="atLeas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1、营业执照等主体资格证明文件：提供有效存续的企业营业执照（副本）/事业单位法人证书/专业服务机构执业许可证/民办非企业单位登记证书。</w:t>
      </w:r>
    </w:p>
    <w:p>
      <w:pPr>
        <w:keepNext w:val="0"/>
        <w:keepLines w:val="0"/>
        <w:pageBreakBefore w:val="0"/>
        <w:widowControl w:val="0"/>
        <w:kinsoku/>
        <w:wordWrap/>
        <w:overflowPunct/>
        <w:topLinePunct w:val="0"/>
        <w:autoSpaceDE/>
        <w:autoSpaceDN/>
        <w:bidi w:val="0"/>
        <w:adjustRightInd/>
        <w:snapToGrid/>
        <w:spacing w:line="570" w:lineRule="atLeas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2、财务状况报告（以下两种资料提供任意一种即可）：</w:t>
      </w:r>
    </w:p>
    <w:p>
      <w:pPr>
        <w:keepNext w:val="0"/>
        <w:keepLines w:val="0"/>
        <w:pageBreakBefore w:val="0"/>
        <w:widowControl w:val="0"/>
        <w:kinsoku/>
        <w:wordWrap/>
        <w:overflowPunct/>
        <w:topLinePunct w:val="0"/>
        <w:autoSpaceDE/>
        <w:autoSpaceDN/>
        <w:bidi w:val="0"/>
        <w:adjustRightInd/>
        <w:snapToGrid/>
        <w:spacing w:line="570" w:lineRule="atLeas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提供递交磋商文件截止之日前两年内任意一个年度经审计的财务报告（包括“四表一注”，即资产负债表、利润表、现金流量表、所有者权益变动表及其附注，符合《中小企业划型标准规定》的小型企业按照《小企业会计准则》执行。成立时间至提交磋商文件截止时间不足一年的可提供成立后任意时段的资产负债表），审计报告须具有注册会计师行业统一监管平台赋予的验证码；</w:t>
      </w:r>
    </w:p>
    <w:p>
      <w:pPr>
        <w:keepNext w:val="0"/>
        <w:keepLines w:val="0"/>
        <w:pageBreakBefore w:val="0"/>
        <w:widowControl w:val="0"/>
        <w:kinsoku/>
        <w:wordWrap/>
        <w:overflowPunct/>
        <w:topLinePunct w:val="0"/>
        <w:autoSpaceDE/>
        <w:autoSpaceDN/>
        <w:bidi w:val="0"/>
        <w:adjustRightInd/>
        <w:snapToGrid/>
        <w:spacing w:line="570" w:lineRule="atLeas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（2）其开标前三个月内基本开户银行出具的资信证明。</w:t>
      </w:r>
    </w:p>
    <w:p>
      <w:pPr>
        <w:keepNext w:val="0"/>
        <w:keepLines w:val="0"/>
        <w:pageBreakBefore w:val="0"/>
        <w:widowControl w:val="0"/>
        <w:kinsoku/>
        <w:wordWrap/>
        <w:overflowPunct/>
        <w:topLinePunct w:val="0"/>
        <w:autoSpaceDE/>
        <w:autoSpaceDN/>
        <w:bidi w:val="0"/>
        <w:adjustRightInd/>
        <w:snapToGrid/>
        <w:spacing w:line="570" w:lineRule="atLeast"/>
        <w:ind w:left="0" w:leftChars="0" w:firstLine="420" w:firstLineChars="175"/>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3、社保缴纳证明：提供递交响应文件截止之日前</w:t>
      </w:r>
      <w:r>
        <w:rPr>
          <w:rFonts w:hint="eastAsia" w:asciiTheme="minorEastAsia" w:hAnsiTheme="minorEastAsia" w:cstheme="minorEastAsia"/>
          <w:color w:val="auto"/>
          <w:sz w:val="24"/>
          <w:szCs w:val="24"/>
          <w:highlight w:val="none"/>
          <w:lang w:val="en-US" w:eastAsia="zh-CN"/>
        </w:rPr>
        <w:t>六个月</w:t>
      </w:r>
      <w:r>
        <w:rPr>
          <w:rFonts w:hint="eastAsia" w:asciiTheme="minorEastAsia" w:hAnsiTheme="minorEastAsia" w:eastAsiaTheme="minorEastAsia" w:cstheme="minorEastAsia"/>
          <w:color w:val="auto"/>
          <w:sz w:val="24"/>
          <w:szCs w:val="24"/>
          <w:highlight w:val="none"/>
        </w:rPr>
        <w:t>内任意一个月的社会保障资金缴存单据或社保机构开具的社会保险参保缴费情况证明。依法不需要缴纳社会保障资金的供应商应提供相关文件证明。</w:t>
      </w:r>
    </w:p>
    <w:p>
      <w:pPr>
        <w:keepNext w:val="0"/>
        <w:keepLines w:val="0"/>
        <w:pageBreakBefore w:val="0"/>
        <w:widowControl w:val="0"/>
        <w:kinsoku/>
        <w:wordWrap/>
        <w:overflowPunct/>
        <w:topLinePunct w:val="0"/>
        <w:autoSpaceDE/>
        <w:autoSpaceDN/>
        <w:bidi w:val="0"/>
        <w:adjustRightInd/>
        <w:snapToGrid/>
        <w:spacing w:line="570" w:lineRule="atLeast"/>
        <w:ind w:left="0" w:leftChars="0" w:firstLine="420" w:firstLineChars="175"/>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4、税收缴纳证明：提供递交响应文件截止之日前</w:t>
      </w:r>
      <w:r>
        <w:rPr>
          <w:rFonts w:hint="eastAsia" w:asciiTheme="minorEastAsia" w:hAnsiTheme="minorEastAsia" w:cstheme="minorEastAsia"/>
          <w:color w:val="auto"/>
          <w:sz w:val="24"/>
          <w:szCs w:val="24"/>
          <w:highlight w:val="none"/>
          <w:lang w:val="en-US" w:eastAsia="zh-CN"/>
        </w:rPr>
        <w:t>六个月</w:t>
      </w:r>
      <w:r>
        <w:rPr>
          <w:rFonts w:hint="eastAsia" w:asciiTheme="minorEastAsia" w:hAnsiTheme="minorEastAsia" w:eastAsiaTheme="minorEastAsia" w:cstheme="minorEastAsia"/>
          <w:color w:val="auto"/>
          <w:sz w:val="24"/>
          <w:szCs w:val="24"/>
          <w:highlight w:val="none"/>
        </w:rPr>
        <w:t>内任意一个月的依法缴纳税收的完税证明，完税证明应有税务机关或代收机关的公章或业务专用章。依法免税或无须缴纳税收的供应商，应提供相应证明文件。</w:t>
      </w:r>
    </w:p>
    <w:p>
      <w:pPr>
        <w:keepNext w:val="0"/>
        <w:keepLines w:val="0"/>
        <w:pageBreakBefore w:val="0"/>
        <w:widowControl w:val="0"/>
        <w:kinsoku/>
        <w:wordWrap/>
        <w:overflowPunct/>
        <w:topLinePunct w:val="0"/>
        <w:autoSpaceDE/>
        <w:autoSpaceDN/>
        <w:bidi w:val="0"/>
        <w:adjustRightInd/>
        <w:snapToGrid/>
        <w:spacing w:line="570" w:lineRule="atLeas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信用记录：提供《供应商信用记录书面声明函》。经查，供应商未被列入“信用中国”网站记录的“失信被执行人”或“重大税收违法案件当事人”名单；不处于“中国政府采购网”记录的“政府采购严重违法失信行为记录名单”中的禁止参加政府采购活动期间。</w:t>
      </w:r>
    </w:p>
    <w:p>
      <w:pPr>
        <w:keepNext w:val="0"/>
        <w:keepLines w:val="0"/>
        <w:pageBreakBefore w:val="0"/>
        <w:widowControl w:val="0"/>
        <w:kinsoku/>
        <w:wordWrap/>
        <w:overflowPunct/>
        <w:topLinePunct w:val="0"/>
        <w:autoSpaceDE/>
        <w:autoSpaceDN/>
        <w:bidi w:val="0"/>
        <w:adjustRightInd/>
        <w:snapToGrid/>
        <w:spacing w:line="570" w:lineRule="atLeas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6、控股管理关系：提供直接控股和管理关系清单。若与其他供应商存在单位负责人为同一人或者存在直接控股、管理关系的，则磋商无效。</w:t>
      </w:r>
    </w:p>
    <w:p>
      <w:pPr>
        <w:keepNext w:val="0"/>
        <w:keepLines w:val="0"/>
        <w:pageBreakBefore w:val="0"/>
        <w:widowControl w:val="0"/>
        <w:kinsoku/>
        <w:wordWrap/>
        <w:overflowPunct/>
        <w:topLinePunct w:val="0"/>
        <w:autoSpaceDE/>
        <w:autoSpaceDN/>
        <w:bidi w:val="0"/>
        <w:adjustRightInd/>
        <w:snapToGrid/>
        <w:spacing w:line="570" w:lineRule="atLeas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rPr>
        <w:t>7、书面声明：提供书面声明，包括声明具有履行合同所必需的设备和专业技术能力；</w:t>
      </w:r>
      <w:r>
        <w:rPr>
          <w:rFonts w:hint="eastAsia" w:asciiTheme="minorEastAsia" w:hAnsiTheme="minorEastAsia" w:eastAsiaTheme="minorEastAsia" w:cstheme="minorEastAsia"/>
          <w:sz w:val="24"/>
          <w:szCs w:val="24"/>
          <w:highlight w:val="none"/>
        </w:rPr>
        <w:t>未为本项目提供</w:t>
      </w:r>
      <w:r>
        <w:rPr>
          <w:rFonts w:hint="eastAsia" w:asciiTheme="minorEastAsia" w:hAnsiTheme="minorEastAsia" w:cstheme="minorEastAsia"/>
          <w:sz w:val="24"/>
          <w:szCs w:val="24"/>
          <w:highlight w:val="none"/>
          <w:lang w:val="en-US" w:eastAsia="zh-CN"/>
        </w:rPr>
        <w:t>过</w:t>
      </w:r>
      <w:r>
        <w:rPr>
          <w:rFonts w:hint="eastAsia" w:asciiTheme="minorEastAsia" w:hAnsiTheme="minorEastAsia" w:eastAsiaTheme="minorEastAsia" w:cstheme="minorEastAsia"/>
          <w:sz w:val="24"/>
          <w:szCs w:val="24"/>
          <w:highlight w:val="none"/>
        </w:rPr>
        <w:t>整体设计、规范编制或者项目管理、监理、检测等服务。</w:t>
      </w:r>
    </w:p>
    <w:p>
      <w:pPr>
        <w:keepNext w:val="0"/>
        <w:keepLines w:val="0"/>
        <w:pageBreakBefore w:val="0"/>
        <w:widowControl w:val="0"/>
        <w:kinsoku/>
        <w:wordWrap/>
        <w:overflowPunct/>
        <w:topLinePunct w:val="0"/>
        <w:autoSpaceDE/>
        <w:autoSpaceDN/>
        <w:bidi w:val="0"/>
        <w:adjustRightInd/>
        <w:snapToGrid/>
        <w:spacing w:line="570" w:lineRule="atLeas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法定代表人授权委托书：法定代表人参加磋商的，须提供本人身份证复印件（附在资格证明文件中）；法定代表人授权他人参加磋商的，须提供法定代表人授权委托书。磋商文件中凡是需要法定代表人盖章之处，非法人单位的负责人均参照执行。法人的分支机构参与磋商时，除提供《法定代表人授权委托书》外，还须同时提供法人给分支机构出具的授权书。</w:t>
      </w:r>
    </w:p>
    <w:p>
      <w:pPr>
        <w:keepNext w:val="0"/>
        <w:keepLines w:val="0"/>
        <w:pageBreakBefore w:val="0"/>
        <w:widowControl w:val="0"/>
        <w:kinsoku/>
        <w:wordWrap/>
        <w:overflowPunct/>
        <w:topLinePunct w:val="0"/>
        <w:autoSpaceDE/>
        <w:autoSpaceDN/>
        <w:bidi w:val="0"/>
        <w:adjustRightInd/>
        <w:snapToGrid/>
        <w:spacing w:line="570" w:lineRule="atLeas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9、特定资格要求</w:t>
      </w:r>
    </w:p>
    <w:p>
      <w:pPr>
        <w:keepNext w:val="0"/>
        <w:keepLines w:val="0"/>
        <w:pageBreakBefore w:val="0"/>
        <w:widowControl w:val="0"/>
        <w:kinsoku/>
        <w:wordWrap/>
        <w:overflowPunct/>
        <w:topLinePunct w:val="0"/>
        <w:autoSpaceDE/>
        <w:autoSpaceDN/>
        <w:bidi w:val="0"/>
        <w:adjustRightInd/>
        <w:snapToGrid/>
        <w:spacing w:line="570" w:lineRule="atLeas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本项目采购内容以物业服务为主，其中涉及保安服务的，须以承诺书形式提供以下资料（承诺书格式不限），以下两种形式提供其中任意一种均可：</w:t>
      </w:r>
    </w:p>
    <w:p>
      <w:pPr>
        <w:keepNext w:val="0"/>
        <w:keepLines w:val="0"/>
        <w:pageBreakBefore w:val="0"/>
        <w:widowControl w:val="0"/>
        <w:kinsoku/>
        <w:wordWrap/>
        <w:overflowPunct/>
        <w:topLinePunct w:val="0"/>
        <w:autoSpaceDE/>
        <w:autoSpaceDN/>
        <w:bidi w:val="0"/>
        <w:adjustRightInd/>
        <w:snapToGrid/>
        <w:spacing w:line="570" w:lineRule="atLeas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（1）自行招用保安员的供应商须承诺：自承接本项目之日起30日内，向采购人所在地设区的市级人民政府公安机关备案。</w:t>
      </w:r>
    </w:p>
    <w:p>
      <w:pPr>
        <w:keepNext w:val="0"/>
        <w:keepLines w:val="0"/>
        <w:pageBreakBefore w:val="0"/>
        <w:widowControl w:val="0"/>
        <w:kinsoku/>
        <w:wordWrap/>
        <w:overflowPunct/>
        <w:topLinePunct w:val="0"/>
        <w:autoSpaceDE/>
        <w:autoSpaceDN/>
        <w:bidi w:val="0"/>
        <w:adjustRightInd/>
        <w:snapToGrid/>
        <w:spacing w:line="570" w:lineRule="atLeas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（2）从保安服务公司购买保安服务的供应商须承诺：成交后7日内，与保安服务公司签订保安服务合同，明确规定服务的项目、内容以及双方的权利义务，以满足本项目采购人的保安服务需求。</w:t>
      </w:r>
    </w:p>
    <w:p>
      <w:pPr>
        <w:keepNext w:val="0"/>
        <w:keepLines w:val="0"/>
        <w:pageBreakBefore w:val="0"/>
        <w:widowControl w:val="0"/>
        <w:kinsoku/>
        <w:wordWrap/>
        <w:overflowPunct/>
        <w:topLinePunct w:val="0"/>
        <w:autoSpaceDE/>
        <w:autoSpaceDN/>
        <w:bidi w:val="0"/>
        <w:adjustRightInd/>
        <w:snapToGrid/>
        <w:spacing w:line="570" w:lineRule="atLeas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10、本项目不接受联合体响应，不允许分包。供应商应提供《非联合体不分包投标声明》，视为独立响应，不分包。</w:t>
      </w:r>
    </w:p>
    <w:p>
      <w:pPr>
        <w:keepNext w:val="0"/>
        <w:keepLines w:val="0"/>
        <w:pageBreakBefore w:val="0"/>
        <w:widowControl w:val="0"/>
        <w:kinsoku/>
        <w:wordWrap/>
        <w:overflowPunct/>
        <w:topLinePunct w:val="0"/>
        <w:autoSpaceDE/>
        <w:autoSpaceDN/>
        <w:bidi w:val="0"/>
        <w:adjustRightInd/>
        <w:snapToGrid/>
        <w:spacing w:line="570" w:lineRule="atLeas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备注：</w:t>
      </w:r>
    </w:p>
    <w:p>
      <w:pPr>
        <w:keepNext w:val="0"/>
        <w:keepLines w:val="0"/>
        <w:pageBreakBefore w:val="0"/>
        <w:widowControl w:val="0"/>
        <w:kinsoku/>
        <w:wordWrap/>
        <w:overflowPunct/>
        <w:topLinePunct w:val="0"/>
        <w:autoSpaceDE/>
        <w:autoSpaceDN/>
        <w:bidi w:val="0"/>
        <w:adjustRightInd/>
        <w:snapToGrid/>
        <w:spacing w:line="570" w:lineRule="atLeas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1、以上资格要求均为必备资格，需提供相关证明文件并加盖供应商公章（如相关证明材料由第三方出具，应有第三方公章），缺少其中任何一项，其响应文件视为无效文件。</w:t>
      </w:r>
    </w:p>
    <w:p>
      <w:pPr>
        <w:keepNext w:val="0"/>
        <w:keepLines w:val="0"/>
        <w:pageBreakBefore w:val="0"/>
        <w:widowControl w:val="0"/>
        <w:kinsoku/>
        <w:wordWrap/>
        <w:overflowPunct/>
        <w:topLinePunct w:val="0"/>
        <w:autoSpaceDE/>
        <w:autoSpaceDN/>
        <w:bidi w:val="0"/>
        <w:adjustRightInd/>
        <w:snapToGrid/>
        <w:spacing w:line="570" w:lineRule="atLeas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2、《供应商信用记录书面声明函》《控股管理关系》《书面声明》《法定代表人授权委托书》《残疾人福利性单位声明函》《非联合体不分包投标声明》应按磋商文件第五章第一部分给定的格式填写。</w:t>
      </w:r>
    </w:p>
    <w:p>
      <w:pPr>
        <w:keepNext w:val="0"/>
        <w:keepLines w:val="0"/>
        <w:pageBreakBefore w:val="0"/>
        <w:widowControl w:val="0"/>
        <w:kinsoku/>
        <w:wordWrap/>
        <w:overflowPunct/>
        <w:topLinePunct w:val="0"/>
        <w:autoSpaceDE/>
        <w:autoSpaceDN/>
        <w:bidi w:val="0"/>
        <w:adjustRightInd/>
        <w:snapToGrid/>
        <w:spacing w:line="570" w:lineRule="atLeas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法人的分支机构参与磋商时，响应文件中应附法人给分支机构出具的授权书。授权书附在《法定代表人授权委托书》后，如无授权，将被视为无效文件。法人只能授权一家分支机构参与磋商，且不能与分支机构同时参与磋商。</w:t>
      </w:r>
    </w:p>
    <w:p>
      <w:pPr>
        <w:keepNext w:val="0"/>
        <w:keepLines w:val="0"/>
        <w:pageBreakBefore w:val="0"/>
        <w:widowControl w:val="0"/>
        <w:kinsoku/>
        <w:wordWrap/>
        <w:overflowPunct/>
        <w:topLinePunct w:val="0"/>
        <w:autoSpaceDE/>
        <w:autoSpaceDN/>
        <w:bidi w:val="0"/>
        <w:adjustRightInd/>
        <w:snapToGrid/>
        <w:spacing w:line="570" w:lineRule="atLeas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4、事业单位法人参与磋商可不提供财务状况报告和社会保障资金缴纳证明及税收缴纳证明。</w:t>
      </w:r>
    </w:p>
    <w:p>
      <w:pPr>
        <w:keepNext w:val="0"/>
        <w:keepLines w:val="0"/>
        <w:pageBreakBefore w:val="0"/>
        <w:widowControl w:val="0"/>
        <w:kinsoku/>
        <w:wordWrap/>
        <w:overflowPunct/>
        <w:topLinePunct w:val="0"/>
        <w:autoSpaceDE/>
        <w:autoSpaceDN/>
        <w:bidi w:val="0"/>
        <w:adjustRightInd/>
        <w:snapToGrid/>
        <w:spacing w:line="570" w:lineRule="atLeas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十一、执行的其他政府采购政策</w:t>
      </w:r>
    </w:p>
    <w:p>
      <w:pPr>
        <w:keepNext w:val="0"/>
        <w:keepLines w:val="0"/>
        <w:pageBreakBefore w:val="0"/>
        <w:widowControl w:val="0"/>
        <w:kinsoku/>
        <w:wordWrap/>
        <w:overflowPunct/>
        <w:topLinePunct w:val="0"/>
        <w:autoSpaceDE/>
        <w:autoSpaceDN/>
        <w:bidi w:val="0"/>
        <w:adjustRightInd/>
        <w:snapToGrid/>
        <w:spacing w:line="570" w:lineRule="atLeas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1、《关于在政府采购活动中查询及使用信用记录有关问题的通知》（财库〔2016〕125号）。</w:t>
      </w:r>
    </w:p>
    <w:p>
      <w:pPr>
        <w:keepNext w:val="0"/>
        <w:keepLines w:val="0"/>
        <w:pageBreakBefore w:val="0"/>
        <w:widowControl w:val="0"/>
        <w:kinsoku/>
        <w:wordWrap/>
        <w:overflowPunct/>
        <w:topLinePunct w:val="0"/>
        <w:autoSpaceDE/>
        <w:autoSpaceDN/>
        <w:bidi w:val="0"/>
        <w:adjustRightInd/>
        <w:snapToGrid/>
        <w:spacing w:line="570" w:lineRule="atLeas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政府采购促进中小企业发展管理办法》（财库〔2020〕46号）、《关于政府采购支持监狱企业发展有关问题的通知》（财库〔2014〕68号）以及《关于促进残疾人就业政府采购政策的通知》（财库〔2017〕141号）。</w:t>
      </w:r>
    </w:p>
    <w:p>
      <w:pPr>
        <w:keepNext w:val="0"/>
        <w:keepLines w:val="0"/>
        <w:pageBreakBefore w:val="0"/>
        <w:widowControl w:val="0"/>
        <w:kinsoku/>
        <w:wordWrap/>
        <w:overflowPunct/>
        <w:topLinePunct w:val="0"/>
        <w:autoSpaceDE/>
        <w:autoSpaceDN/>
        <w:bidi w:val="0"/>
        <w:adjustRightInd/>
        <w:snapToGrid/>
        <w:spacing w:line="570" w:lineRule="atLeas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国务院办公厅《关于建立政府强制采购节能产品制度的通知》（国办发〔2007〕51号）。财政部、国家发改委、生态环境部、市场监管总局联合印发《关于调整优化节能产品、环境标志产品政府采购执行机制的通知》（财库〔2019〕9号）。</w:t>
      </w:r>
    </w:p>
    <w:p>
      <w:pPr>
        <w:keepNext w:val="0"/>
        <w:keepLines w:val="0"/>
        <w:pageBreakBefore w:val="0"/>
        <w:widowControl w:val="0"/>
        <w:kinsoku/>
        <w:wordWrap/>
        <w:overflowPunct/>
        <w:topLinePunct w:val="0"/>
        <w:autoSpaceDE/>
        <w:autoSpaceDN/>
        <w:bidi w:val="0"/>
        <w:adjustRightInd/>
        <w:snapToGrid/>
        <w:spacing w:line="570" w:lineRule="atLeas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财政部农业农村部国家乡村振兴局关于运用政府采购政策支持乡村产业振兴的通知》（财库〔2021〕19号）、《财政部农业农村部国家乡村振兴局中华全国供销合作总社关于印发&lt;关于深入开展政府采购脱贫地区农副产品工作推进乡村产业振兴的实施意见&gt;的通知》（财库〔2021〕20号）。</w:t>
      </w:r>
    </w:p>
    <w:p>
      <w:pPr>
        <w:keepNext w:val="0"/>
        <w:keepLines w:val="0"/>
        <w:pageBreakBefore w:val="0"/>
        <w:widowControl w:val="0"/>
        <w:kinsoku/>
        <w:wordWrap/>
        <w:overflowPunct/>
        <w:topLinePunct w:val="0"/>
        <w:autoSpaceDE/>
        <w:autoSpaceDN/>
        <w:bidi w:val="0"/>
        <w:adjustRightInd/>
        <w:snapToGrid/>
        <w:spacing w:beforeAutospacing="0" w:afterAutospacing="0" w:line="570" w:lineRule="exac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5、《陕西省财政厅关于加快推进我省中小企业政府采购信用融资工作的通知》（陕财办采〔2020〕15号）、陕西省财政厅关于印发《陕西省中小企业政府采购信用融资办法》（陕财办采〔2018〕23号）。</w:t>
      </w:r>
    </w:p>
    <w:p>
      <w:pPr>
        <w:keepNext w:val="0"/>
        <w:keepLines w:val="0"/>
        <w:pageBreakBefore w:val="0"/>
        <w:widowControl w:val="0"/>
        <w:kinsoku/>
        <w:wordWrap/>
        <w:overflowPunct/>
        <w:topLinePunct w:val="0"/>
        <w:autoSpaceDE/>
        <w:autoSpaceDN/>
        <w:bidi w:val="0"/>
        <w:adjustRightInd/>
        <w:snapToGrid/>
        <w:spacing w:beforeAutospacing="0" w:afterAutospacing="0" w:line="570" w:lineRule="exac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6、详见《供应商须知》中“落实的政府采购政策”有关内容。</w:t>
      </w:r>
    </w:p>
    <w:p>
      <w:pPr>
        <w:keepNext w:val="0"/>
        <w:keepLines w:val="0"/>
        <w:pageBreakBefore w:val="0"/>
        <w:widowControl w:val="0"/>
        <w:kinsoku/>
        <w:wordWrap/>
        <w:overflowPunct/>
        <w:topLinePunct w:val="0"/>
        <w:autoSpaceDE/>
        <w:autoSpaceDN/>
        <w:bidi w:val="0"/>
        <w:adjustRightInd/>
        <w:snapToGrid/>
        <w:spacing w:beforeAutospacing="0" w:afterAutospacing="0" w:line="570" w:lineRule="exac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十二、磋商文件获取时间及方式</w:t>
      </w:r>
    </w:p>
    <w:p>
      <w:pPr>
        <w:keepNext w:val="0"/>
        <w:keepLines w:val="0"/>
        <w:pageBreakBefore w:val="0"/>
        <w:widowControl w:val="0"/>
        <w:kinsoku/>
        <w:wordWrap/>
        <w:overflowPunct/>
        <w:topLinePunct w:val="0"/>
        <w:autoSpaceDE/>
        <w:autoSpaceDN/>
        <w:bidi w:val="0"/>
        <w:adjustRightInd/>
        <w:snapToGrid/>
        <w:spacing w:beforeAutospacing="0" w:afterAutospacing="0" w:line="570" w:lineRule="exact"/>
        <w:ind w:left="0" w:leftChars="0" w:firstLine="420" w:firstLineChars="175"/>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１、获取方式：网上自行下载（逾期下载通道自行关闭，已投标未下载采购文件的供应商自行承担责任）。</w:t>
      </w:r>
    </w:p>
    <w:p>
      <w:pPr>
        <w:keepNext w:val="0"/>
        <w:keepLines w:val="0"/>
        <w:pageBreakBefore w:val="0"/>
        <w:widowControl w:val="0"/>
        <w:kinsoku/>
        <w:wordWrap/>
        <w:overflowPunct/>
        <w:topLinePunct w:val="0"/>
        <w:autoSpaceDE/>
        <w:autoSpaceDN/>
        <w:bidi w:val="0"/>
        <w:adjustRightInd/>
        <w:snapToGrid/>
        <w:spacing w:beforeAutospacing="0" w:afterAutospacing="0" w:line="570" w:lineRule="exact"/>
        <w:ind w:left="0" w:leftChars="0" w:firstLine="420" w:firstLineChars="175"/>
        <w:jc w:val="left"/>
        <w:textAlignment w:val="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sz w:val="24"/>
          <w:szCs w:val="24"/>
          <w:lang w:val="en-US" w:eastAsia="zh-CN"/>
        </w:rPr>
        <w:t>2、供应商可登录全国公共资源交易平台（陕西省咸阳市）</w:t>
      </w:r>
      <w:r>
        <w:rPr>
          <w:rFonts w:hint="eastAsia" w:asciiTheme="minorEastAsia" w:hAnsiTheme="minorEastAsia" w:eastAsiaTheme="minorEastAsia" w:cstheme="minorEastAsia"/>
          <w:kern w:val="2"/>
          <w:sz w:val="24"/>
          <w:szCs w:val="24"/>
          <w:lang w:val="en-US" w:eastAsia="zh-CN" w:bidi="ar-SA"/>
        </w:rPr>
        <w:t>（http://ggzy.xianyang.gov.cn/），选择“电子交易平台—陕西公共资源交易系统—企业端”进行登录，登录后选择“交易中标供应商”身份进入供应商界面后，可以对处于报名期的项目进行网上报名。报名通过后即可在〖我的项目〗中点击“项目流程&gt;交易文件下载”免费下载电子招标文件（*.SXSZF）。</w:t>
      </w:r>
    </w:p>
    <w:p>
      <w:pPr>
        <w:pStyle w:val="8"/>
        <w:keepNext w:val="0"/>
        <w:keepLines w:val="0"/>
        <w:pageBreakBefore w:val="0"/>
        <w:widowControl/>
        <w:suppressLineNumbers w:val="0"/>
        <w:kinsoku/>
        <w:wordWrap/>
        <w:overflowPunct/>
        <w:topLinePunct w:val="0"/>
        <w:autoSpaceDE/>
        <w:autoSpaceDN/>
        <w:bidi w:val="0"/>
        <w:adjustRightInd/>
        <w:snapToGrid/>
        <w:spacing w:beforeAutospacing="0" w:afterAutospacing="0" w:line="570" w:lineRule="exact"/>
        <w:ind w:left="0" w:leftChars="0" w:firstLine="420" w:firstLineChars="175"/>
        <w:textAlignment w:val="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3、供应商初次使用交易平台，须先完成诚信入库登记、CA锁认证及企业信息绑定。相关操作流程详见全国公共资源交易平台（陕西省）网站〖首页·〉服务指南·〉下载专区〗中的《陕西省公共资源交易中心政府采购项目投标指南》。CA锁办理地址及咨询电话如下：西安市长安北路14号省体育公寓B座一楼 咨询电话：029-88661241</w:t>
      </w:r>
    </w:p>
    <w:p>
      <w:pPr>
        <w:keepNext w:val="0"/>
        <w:keepLines w:val="0"/>
        <w:pageBreakBefore w:val="0"/>
        <w:widowControl w:val="0"/>
        <w:kinsoku/>
        <w:wordWrap/>
        <w:overflowPunct/>
        <w:topLinePunct w:val="0"/>
        <w:autoSpaceDE/>
        <w:autoSpaceDN/>
        <w:bidi w:val="0"/>
        <w:adjustRightInd/>
        <w:snapToGrid/>
        <w:spacing w:beforeAutospacing="0" w:afterAutospacing="0" w:line="570" w:lineRule="exact"/>
        <w:ind w:left="0" w:leftChars="0" w:firstLine="420" w:firstLineChars="175"/>
        <w:textAlignment w:val="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4、获取</w:t>
      </w:r>
      <w:r>
        <w:rPr>
          <w:rFonts w:hint="eastAsia" w:asciiTheme="minorEastAsia" w:hAnsiTheme="minorEastAsia" w:eastAsiaTheme="minorEastAsia" w:cstheme="minorEastAsia"/>
          <w:kern w:val="2"/>
          <w:sz w:val="24"/>
          <w:szCs w:val="24"/>
          <w:highlight w:val="none"/>
          <w:lang w:val="en-US" w:eastAsia="zh-CN" w:bidi="ar-SA"/>
        </w:rPr>
        <w:t>时间：202</w:t>
      </w:r>
      <w:r>
        <w:rPr>
          <w:rFonts w:hint="eastAsia" w:asciiTheme="minorEastAsia" w:hAnsiTheme="minorEastAsia" w:cstheme="minorEastAsia"/>
          <w:kern w:val="2"/>
          <w:sz w:val="24"/>
          <w:szCs w:val="24"/>
          <w:highlight w:val="none"/>
          <w:lang w:val="en-US" w:eastAsia="zh-CN" w:bidi="ar-SA"/>
        </w:rPr>
        <w:t>6</w:t>
      </w:r>
      <w:r>
        <w:rPr>
          <w:rFonts w:hint="eastAsia" w:asciiTheme="minorEastAsia" w:hAnsiTheme="minorEastAsia" w:eastAsiaTheme="minorEastAsia" w:cstheme="minorEastAsia"/>
          <w:kern w:val="2"/>
          <w:sz w:val="24"/>
          <w:szCs w:val="24"/>
          <w:highlight w:val="none"/>
          <w:lang w:val="en-US" w:eastAsia="zh-CN" w:bidi="ar-SA"/>
        </w:rPr>
        <w:t>年</w:t>
      </w:r>
      <w:r>
        <w:rPr>
          <w:rFonts w:hint="eastAsia" w:asciiTheme="minorEastAsia" w:hAnsiTheme="minorEastAsia" w:cstheme="minorEastAsia"/>
          <w:sz w:val="24"/>
          <w:szCs w:val="24"/>
          <w:highlight w:val="none"/>
          <w:u w:val="none"/>
          <w:lang w:val="en-US" w:eastAsia="zh-CN"/>
        </w:rPr>
        <w:t>5月12日</w:t>
      </w:r>
      <w:r>
        <w:rPr>
          <w:rFonts w:hint="eastAsia" w:asciiTheme="minorEastAsia" w:hAnsiTheme="minorEastAsia" w:eastAsiaTheme="minorEastAsia" w:cstheme="minorEastAsia"/>
          <w:kern w:val="2"/>
          <w:sz w:val="24"/>
          <w:szCs w:val="24"/>
          <w:highlight w:val="none"/>
          <w:u w:val="none"/>
          <w:lang w:val="en-US" w:eastAsia="zh-CN" w:bidi="ar-SA"/>
        </w:rPr>
        <w:t>至202</w:t>
      </w:r>
      <w:r>
        <w:rPr>
          <w:rFonts w:hint="eastAsia" w:asciiTheme="minorEastAsia" w:hAnsiTheme="minorEastAsia" w:cstheme="minorEastAsia"/>
          <w:kern w:val="2"/>
          <w:sz w:val="24"/>
          <w:szCs w:val="24"/>
          <w:highlight w:val="none"/>
          <w:u w:val="none"/>
          <w:lang w:val="en-US" w:eastAsia="zh-CN" w:bidi="ar-SA"/>
        </w:rPr>
        <w:t>6</w:t>
      </w:r>
      <w:r>
        <w:rPr>
          <w:rFonts w:hint="eastAsia" w:asciiTheme="minorEastAsia" w:hAnsiTheme="minorEastAsia" w:eastAsiaTheme="minorEastAsia" w:cstheme="minorEastAsia"/>
          <w:kern w:val="2"/>
          <w:sz w:val="24"/>
          <w:szCs w:val="24"/>
          <w:highlight w:val="none"/>
          <w:u w:val="none"/>
          <w:lang w:val="en-US" w:eastAsia="zh-CN" w:bidi="ar-SA"/>
        </w:rPr>
        <w:t>年</w:t>
      </w:r>
      <w:r>
        <w:rPr>
          <w:rFonts w:hint="eastAsia" w:asciiTheme="minorEastAsia" w:hAnsiTheme="minorEastAsia" w:cstheme="minorEastAsia"/>
          <w:sz w:val="24"/>
          <w:szCs w:val="24"/>
          <w:highlight w:val="none"/>
          <w:u w:val="none"/>
          <w:lang w:val="en-US" w:eastAsia="zh-CN"/>
        </w:rPr>
        <w:t>5月18日</w:t>
      </w:r>
      <w:r>
        <w:rPr>
          <w:rFonts w:hint="eastAsia" w:asciiTheme="minorEastAsia" w:hAnsiTheme="minorEastAsia" w:eastAsiaTheme="minorEastAsia" w:cstheme="minorEastAsia"/>
          <w:kern w:val="2"/>
          <w:sz w:val="24"/>
          <w:szCs w:val="24"/>
          <w:lang w:val="en-US" w:eastAsia="zh-CN" w:bidi="ar-SA"/>
        </w:rPr>
        <w:t>，每天上午08:00:00至12:00:00，下午12:00:00至18:00:00（北京时间,法定节假日除外）</w:t>
      </w:r>
    </w:p>
    <w:p>
      <w:pPr>
        <w:pStyle w:val="8"/>
        <w:keepNext w:val="0"/>
        <w:keepLines w:val="0"/>
        <w:pageBreakBefore w:val="0"/>
        <w:widowControl/>
        <w:suppressLineNumbers w:val="0"/>
        <w:kinsoku/>
        <w:wordWrap/>
        <w:overflowPunct/>
        <w:topLinePunct w:val="0"/>
        <w:autoSpaceDE/>
        <w:autoSpaceDN/>
        <w:bidi w:val="0"/>
        <w:adjustRightInd/>
        <w:snapToGrid/>
        <w:spacing w:beforeAutospacing="0" w:afterAutospacing="0" w:line="570" w:lineRule="exact"/>
        <w:ind w:left="0" w:leftChars="0" w:firstLine="422" w:firstLineChars="175"/>
        <w:textAlignment w:val="auto"/>
        <w:rPr>
          <w:rFonts w:hint="eastAsia" w:asciiTheme="minorEastAsia" w:hAnsiTheme="minorEastAsia" w:eastAsiaTheme="minorEastAsia" w:cstheme="minorEastAsia"/>
          <w:b/>
          <w:bCs/>
          <w:kern w:val="2"/>
          <w:sz w:val="24"/>
          <w:szCs w:val="24"/>
          <w:lang w:val="en-US" w:eastAsia="zh-CN" w:bidi="ar-SA"/>
        </w:rPr>
      </w:pPr>
      <w:r>
        <w:rPr>
          <w:rFonts w:hint="eastAsia" w:asciiTheme="minorEastAsia" w:hAnsiTheme="minorEastAsia" w:eastAsiaTheme="minorEastAsia" w:cstheme="minorEastAsia"/>
          <w:b/>
          <w:bCs/>
          <w:kern w:val="2"/>
          <w:sz w:val="24"/>
          <w:szCs w:val="24"/>
          <w:lang w:val="en-US" w:eastAsia="zh-CN" w:bidi="ar-SA"/>
        </w:rPr>
        <w:t>注意：供应商应随时留意可能发布的变更公告，因供应商未及时关注所造或的一切后果由供应商自行承担。</w:t>
      </w:r>
    </w:p>
    <w:p>
      <w:pPr>
        <w:pStyle w:val="8"/>
        <w:keepNext w:val="0"/>
        <w:keepLines w:val="0"/>
        <w:pageBreakBefore w:val="0"/>
        <w:widowControl/>
        <w:suppressLineNumbers w:val="0"/>
        <w:kinsoku/>
        <w:wordWrap/>
        <w:overflowPunct/>
        <w:topLinePunct w:val="0"/>
        <w:autoSpaceDE/>
        <w:autoSpaceDN/>
        <w:bidi w:val="0"/>
        <w:adjustRightInd/>
        <w:snapToGrid/>
        <w:spacing w:beforeAutospacing="0" w:afterAutospacing="0" w:line="570" w:lineRule="exact"/>
        <w:ind w:left="0" w:leftChars="0" w:firstLine="420" w:firstLineChars="175"/>
        <w:textAlignment w:val="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新点客服电话：4008503300</w:t>
      </w:r>
    </w:p>
    <w:p>
      <w:pPr>
        <w:keepNext w:val="0"/>
        <w:keepLines w:val="0"/>
        <w:pageBreakBefore w:val="0"/>
        <w:widowControl w:val="0"/>
        <w:kinsoku/>
        <w:wordWrap/>
        <w:overflowPunct/>
        <w:topLinePunct w:val="0"/>
        <w:autoSpaceDE/>
        <w:autoSpaceDN/>
        <w:bidi w:val="0"/>
        <w:adjustRightInd/>
        <w:snapToGrid/>
        <w:spacing w:beforeAutospacing="0" w:afterAutospacing="0" w:line="570" w:lineRule="exac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十三、磋商保证金</w:t>
      </w:r>
    </w:p>
    <w:p>
      <w:pPr>
        <w:keepNext w:val="0"/>
        <w:keepLines w:val="0"/>
        <w:pageBreakBefore w:val="0"/>
        <w:widowControl w:val="0"/>
        <w:kinsoku/>
        <w:wordWrap/>
        <w:overflowPunct/>
        <w:topLinePunct w:val="0"/>
        <w:autoSpaceDE/>
        <w:autoSpaceDN/>
        <w:bidi w:val="0"/>
        <w:adjustRightInd/>
        <w:snapToGrid/>
        <w:spacing w:beforeAutospacing="0" w:afterAutospacing="0" w:line="570" w:lineRule="exact"/>
        <w:ind w:left="0" w:leftChars="0" w:firstLine="420" w:firstLineChars="175"/>
        <w:textAlignment w:val="auto"/>
        <w:rPr>
          <w:rFonts w:hint="eastAsia" w:asciiTheme="minorEastAsia" w:hAnsiTheme="minorEastAsia" w:eastAsiaTheme="minorEastAsia" w:cstheme="minorEastAsia"/>
          <w:sz w:val="24"/>
          <w:szCs w:val="24"/>
        </w:rPr>
      </w:pPr>
      <w:r>
        <w:rPr>
          <w:rFonts w:hint="default" w:ascii="Times New Roman" w:hAnsi="Times New Roman" w:cs="Times New Roman"/>
          <w:color w:val="auto"/>
          <w:kern w:val="0"/>
          <w:sz w:val="24"/>
          <w:szCs w:val="24"/>
          <w:highlight w:val="none"/>
          <w:u w:val="none"/>
        </w:rPr>
        <w:t>根据咸阳市财政局《关于</w:t>
      </w:r>
      <w:r>
        <w:rPr>
          <w:rFonts w:hint="default" w:ascii="Times New Roman" w:hAnsi="Times New Roman" w:eastAsia="宋体" w:cs="Times New Roman"/>
          <w:color w:val="auto"/>
          <w:kern w:val="0"/>
          <w:sz w:val="24"/>
          <w:szCs w:val="24"/>
          <w:highlight w:val="none"/>
        </w:rPr>
        <w:t>促进政府采购公平竞争优化营商环境的通知》</w:t>
      </w:r>
      <w:r>
        <w:rPr>
          <w:rFonts w:hint="eastAsia" w:ascii="Times New Roman" w:hAnsi="Times New Roman" w:eastAsia="宋体" w:cs="Times New Roman"/>
          <w:color w:val="auto"/>
          <w:kern w:val="0"/>
          <w:sz w:val="24"/>
          <w:szCs w:val="24"/>
          <w:highlight w:val="none"/>
        </w:rPr>
        <w:t>（咸财采购</w:t>
      </w:r>
      <w:r>
        <w:rPr>
          <w:rFonts w:hint="eastAsia" w:ascii="Times New Roman" w:hAnsi="Times New Roman" w:eastAsia="宋体" w:cs="Times New Roman"/>
          <w:color w:val="auto"/>
          <w:kern w:val="0"/>
          <w:sz w:val="24"/>
          <w:szCs w:val="24"/>
          <w:highlight w:val="none"/>
          <w:lang w:val="en-US" w:eastAsia="zh-CN"/>
        </w:rPr>
        <w:t>〔2021〕</w:t>
      </w:r>
      <w:r>
        <w:rPr>
          <w:rFonts w:hint="eastAsia" w:ascii="Times New Roman" w:hAnsi="Times New Roman" w:eastAsia="宋体" w:cs="Times New Roman"/>
          <w:color w:val="auto"/>
          <w:kern w:val="0"/>
          <w:sz w:val="24"/>
          <w:szCs w:val="24"/>
          <w:highlight w:val="none"/>
        </w:rPr>
        <w:t>9号）文件规定，</w:t>
      </w:r>
      <w:r>
        <w:rPr>
          <w:rFonts w:hint="eastAsia" w:asciiTheme="minorEastAsia" w:hAnsiTheme="minorEastAsia" w:eastAsiaTheme="minorEastAsia" w:cstheme="minorEastAsia"/>
          <w:sz w:val="24"/>
          <w:szCs w:val="24"/>
        </w:rPr>
        <w:t>本项目不收取磋商保证金。</w:t>
      </w:r>
    </w:p>
    <w:p>
      <w:pPr>
        <w:keepNext w:val="0"/>
        <w:keepLines w:val="0"/>
        <w:pageBreakBefore w:val="0"/>
        <w:widowControl w:val="0"/>
        <w:kinsoku/>
        <w:wordWrap/>
        <w:overflowPunct/>
        <w:topLinePunct w:val="0"/>
        <w:autoSpaceDE/>
        <w:autoSpaceDN/>
        <w:bidi w:val="0"/>
        <w:adjustRightInd/>
        <w:snapToGrid/>
        <w:spacing w:line="570" w:lineRule="atLeas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十四、提交响应文件截止时间及开标时间和地点</w:t>
      </w:r>
    </w:p>
    <w:p>
      <w:pPr>
        <w:keepNext w:val="0"/>
        <w:keepLines w:val="0"/>
        <w:pageBreakBefore w:val="0"/>
        <w:widowControl w:val="0"/>
        <w:kinsoku/>
        <w:wordWrap/>
        <w:overflowPunct/>
        <w:topLinePunct w:val="0"/>
        <w:autoSpaceDE/>
        <w:autoSpaceDN/>
        <w:bidi w:val="0"/>
        <w:adjustRightInd/>
        <w:snapToGrid/>
        <w:spacing w:line="570" w:lineRule="atLeas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1、提交响应文件：电子响应文件一份。</w:t>
      </w:r>
    </w:p>
    <w:p>
      <w:pPr>
        <w:keepNext w:val="0"/>
        <w:keepLines w:val="0"/>
        <w:pageBreakBefore w:val="0"/>
        <w:widowControl w:val="0"/>
        <w:kinsoku/>
        <w:wordWrap/>
        <w:overflowPunct/>
        <w:topLinePunct w:val="0"/>
        <w:autoSpaceDE/>
        <w:autoSpaceDN/>
        <w:bidi w:val="0"/>
        <w:adjustRightInd/>
        <w:snapToGrid/>
        <w:spacing w:line="570" w:lineRule="atLeas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电子响应文件可于提交响应文件截止时间前任意时段登录全国公共资源交易平台（陕西省</w:t>
      </w:r>
      <w:r>
        <w:rPr>
          <w:rFonts w:hint="eastAsia" w:asciiTheme="minorEastAsia" w:hAnsiTheme="minorEastAsia" w:eastAsiaTheme="minorEastAsia" w:cstheme="minorEastAsia"/>
          <w:sz w:val="24"/>
          <w:szCs w:val="24"/>
          <w:lang w:val="en-US" w:eastAsia="zh-CN"/>
        </w:rPr>
        <w:t>咸阳市</w:t>
      </w:r>
      <w:r>
        <w:rPr>
          <w:rFonts w:hint="eastAsia" w:asciiTheme="minorEastAsia" w:hAnsiTheme="minorEastAsia" w:eastAsiaTheme="minorEastAsia" w:cstheme="minorEastAsia"/>
          <w:sz w:val="24"/>
          <w:szCs w:val="24"/>
        </w:rPr>
        <w:t>）网站进行提交，逾期系统将拒绝接收。</w:t>
      </w:r>
    </w:p>
    <w:p>
      <w:pPr>
        <w:keepNext w:val="0"/>
        <w:keepLines w:val="0"/>
        <w:pageBreakBefore w:val="0"/>
        <w:widowControl w:val="0"/>
        <w:kinsoku/>
        <w:wordWrap/>
        <w:overflowPunct/>
        <w:topLinePunct w:val="0"/>
        <w:autoSpaceDE/>
        <w:autoSpaceDN/>
        <w:bidi w:val="0"/>
        <w:adjustRightInd/>
        <w:snapToGrid/>
        <w:spacing w:line="570" w:lineRule="atLeas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2、提交响应文</w:t>
      </w:r>
      <w:r>
        <w:rPr>
          <w:rFonts w:hint="eastAsia" w:asciiTheme="minorEastAsia" w:hAnsiTheme="minorEastAsia" w:eastAsiaTheme="minorEastAsia" w:cstheme="minorEastAsia"/>
          <w:sz w:val="24"/>
          <w:szCs w:val="24"/>
          <w:highlight w:val="none"/>
        </w:rPr>
        <w:t>件截止时间：202</w:t>
      </w:r>
      <w:r>
        <w:rPr>
          <w:rFonts w:hint="eastAsia" w:asciiTheme="minorEastAsia" w:hAnsiTheme="minorEastAsia" w:eastAsiaTheme="minorEastAsia" w:cstheme="minorEastAsia"/>
          <w:sz w:val="24"/>
          <w:szCs w:val="24"/>
          <w:highlight w:val="none"/>
          <w:lang w:val="en-US" w:eastAsia="zh-CN"/>
        </w:rPr>
        <w:t>6</w:t>
      </w:r>
      <w:r>
        <w:rPr>
          <w:rFonts w:hint="eastAsia" w:asciiTheme="minorEastAsia" w:hAnsiTheme="minorEastAsia" w:eastAsiaTheme="minorEastAsia" w:cstheme="minorEastAsia"/>
          <w:sz w:val="24"/>
          <w:szCs w:val="24"/>
          <w:highlight w:val="none"/>
        </w:rPr>
        <w:t>年</w:t>
      </w:r>
      <w:r>
        <w:rPr>
          <w:rFonts w:hint="eastAsia" w:asciiTheme="minorEastAsia" w:hAnsiTheme="minorEastAsia" w:cstheme="minorEastAsia"/>
          <w:sz w:val="24"/>
          <w:szCs w:val="24"/>
          <w:highlight w:val="none"/>
          <w:u w:val="none"/>
          <w:lang w:val="en-US" w:eastAsia="zh-CN"/>
        </w:rPr>
        <w:t>5月26</w:t>
      </w:r>
      <w:r>
        <w:rPr>
          <w:rFonts w:hint="eastAsia" w:asciiTheme="minorEastAsia" w:hAnsiTheme="minorEastAsia" w:cstheme="minorEastAsia"/>
          <w:sz w:val="24"/>
          <w:szCs w:val="24"/>
          <w:highlight w:val="none"/>
          <w:lang w:val="en-US" w:eastAsia="zh-CN"/>
        </w:rPr>
        <w:t>日</w:t>
      </w:r>
      <w:r>
        <w:rPr>
          <w:rFonts w:hint="eastAsia" w:asciiTheme="minorEastAsia" w:hAnsiTheme="minorEastAsia" w:eastAsiaTheme="minorEastAsia" w:cstheme="minorEastAsia"/>
          <w:sz w:val="24"/>
          <w:szCs w:val="24"/>
          <w:highlight w:val="none"/>
        </w:rPr>
        <w:t>09:30</w:t>
      </w:r>
    </w:p>
    <w:p>
      <w:pPr>
        <w:keepNext w:val="0"/>
        <w:keepLines w:val="0"/>
        <w:pageBreakBefore w:val="0"/>
        <w:widowControl w:val="0"/>
        <w:kinsoku/>
        <w:wordWrap/>
        <w:overflowPunct/>
        <w:topLinePunct w:val="0"/>
        <w:autoSpaceDE/>
        <w:autoSpaceDN/>
        <w:bidi w:val="0"/>
        <w:adjustRightInd/>
        <w:snapToGrid/>
        <w:spacing w:line="570" w:lineRule="atLeas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3、开启时间：同提交响应文件截止时间</w:t>
      </w:r>
    </w:p>
    <w:p>
      <w:pPr>
        <w:keepNext w:val="0"/>
        <w:keepLines w:val="0"/>
        <w:pageBreakBefore w:val="0"/>
        <w:widowControl w:val="0"/>
        <w:kinsoku/>
        <w:wordWrap/>
        <w:overflowPunct/>
        <w:topLinePunct w:val="0"/>
        <w:autoSpaceDE/>
        <w:autoSpaceDN/>
        <w:bidi w:val="0"/>
        <w:adjustRightInd/>
        <w:snapToGrid/>
        <w:spacing w:line="570" w:lineRule="atLeas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本项目采用“不见面开标”形式，供应商可远程登录〖全国公共资源交易平台（陕西省.咸阳市）〉不见面开标〗在线参加开标过程。详见〖全国公共资源交易平台（陕西省.咸阳市）〉服务指南〉下载专区〗中的《咸阳市公共资源交易不见面开标大厅投标人操作手册》。</w:t>
      </w:r>
    </w:p>
    <w:p>
      <w:pPr>
        <w:keepNext w:val="0"/>
        <w:keepLines w:val="0"/>
        <w:pageBreakBefore w:val="0"/>
        <w:widowControl w:val="0"/>
        <w:kinsoku/>
        <w:wordWrap/>
        <w:overflowPunct/>
        <w:topLinePunct w:val="0"/>
        <w:autoSpaceDE/>
        <w:autoSpaceDN/>
        <w:bidi w:val="0"/>
        <w:adjustRightInd/>
        <w:snapToGrid/>
        <w:spacing w:line="570" w:lineRule="atLeas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十五、采购代理机构收费标准：免费</w:t>
      </w:r>
    </w:p>
    <w:p>
      <w:pPr>
        <w:keepNext w:val="0"/>
        <w:keepLines w:val="0"/>
        <w:pageBreakBefore w:val="0"/>
        <w:widowControl w:val="0"/>
        <w:kinsoku/>
        <w:wordWrap/>
        <w:overflowPunct/>
        <w:topLinePunct w:val="0"/>
        <w:autoSpaceDE/>
        <w:autoSpaceDN/>
        <w:bidi w:val="0"/>
        <w:adjustRightInd/>
        <w:snapToGrid/>
        <w:spacing w:line="570" w:lineRule="atLeas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十六、公告期自发布之日起</w:t>
      </w:r>
      <w:r>
        <w:rPr>
          <w:rFonts w:hint="eastAsia" w:asciiTheme="minorEastAsia" w:hAnsiTheme="minorEastAsia" w:cstheme="minorEastAsia"/>
          <w:sz w:val="24"/>
          <w:szCs w:val="24"/>
          <w:lang w:val="en-US" w:eastAsia="zh-CN"/>
        </w:rPr>
        <w:t>5</w:t>
      </w:r>
      <w:r>
        <w:rPr>
          <w:rFonts w:hint="eastAsia" w:asciiTheme="minorEastAsia" w:hAnsiTheme="minorEastAsia" w:eastAsiaTheme="minorEastAsia" w:cstheme="minorEastAsia"/>
          <w:sz w:val="24"/>
          <w:szCs w:val="24"/>
        </w:rPr>
        <w:t>个工作日。</w:t>
      </w:r>
    </w:p>
    <w:p>
      <w:pPr>
        <w:keepNext w:val="0"/>
        <w:keepLines w:val="0"/>
        <w:pageBreakBefore w:val="0"/>
        <w:widowControl w:val="0"/>
        <w:kinsoku/>
        <w:wordWrap/>
        <w:overflowPunct/>
        <w:topLinePunct w:val="0"/>
        <w:autoSpaceDE/>
        <w:autoSpaceDN/>
        <w:bidi w:val="0"/>
        <w:adjustRightInd/>
        <w:snapToGrid/>
        <w:spacing w:line="570" w:lineRule="atLeast"/>
        <w:ind w:left="0" w:leftChars="0" w:firstLine="420" w:firstLineChars="175"/>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十七、</w:t>
      </w:r>
      <w:r>
        <w:rPr>
          <w:rFonts w:hint="eastAsia" w:asciiTheme="minorEastAsia" w:hAnsiTheme="minorEastAsia" w:eastAsiaTheme="minorEastAsia" w:cstheme="minorEastAsia"/>
          <w:sz w:val="24"/>
          <w:szCs w:val="24"/>
          <w:lang w:val="en-US" w:eastAsia="zh-CN"/>
        </w:rPr>
        <w:t>咸阳市秦都区</w:t>
      </w:r>
      <w:r>
        <w:rPr>
          <w:rFonts w:hint="eastAsia" w:asciiTheme="minorEastAsia" w:hAnsiTheme="minorEastAsia" w:eastAsiaTheme="minorEastAsia" w:cstheme="minorEastAsia"/>
          <w:sz w:val="24"/>
          <w:szCs w:val="24"/>
        </w:rPr>
        <w:t>政府采购中心联系电话：029-</w:t>
      </w:r>
      <w:r>
        <w:rPr>
          <w:rFonts w:hint="eastAsia" w:asciiTheme="minorEastAsia" w:hAnsiTheme="minorEastAsia" w:eastAsiaTheme="minorEastAsia" w:cstheme="minorEastAsia"/>
          <w:sz w:val="24"/>
          <w:szCs w:val="24"/>
          <w:lang w:val="en-US" w:eastAsia="zh-CN"/>
        </w:rPr>
        <w:t>33213950</w:t>
      </w:r>
    </w:p>
    <w:p>
      <w:pPr>
        <w:keepNext w:val="0"/>
        <w:keepLines w:val="0"/>
        <w:pageBreakBefore w:val="0"/>
        <w:widowControl w:val="0"/>
        <w:kinsoku/>
        <w:wordWrap/>
        <w:overflowPunct/>
        <w:topLinePunct w:val="0"/>
        <w:autoSpaceDE/>
        <w:autoSpaceDN/>
        <w:bidi w:val="0"/>
        <w:adjustRightInd/>
        <w:snapToGrid/>
        <w:spacing w:line="570" w:lineRule="atLeast"/>
        <w:ind w:left="0" w:leftChars="0" w:firstLine="369" w:firstLineChars="175"/>
        <w:textAlignment w:val="auto"/>
        <w:rPr>
          <w:rFonts w:hint="eastAsia" w:asciiTheme="minorEastAsia" w:hAnsiTheme="minorEastAsia" w:eastAsiaTheme="minorEastAsia" w:cstheme="minorEastAsia"/>
          <w:b/>
          <w:bCs/>
          <w:sz w:val="21"/>
          <w:szCs w:val="21"/>
        </w:rPr>
      </w:pPr>
    </w:p>
    <w:p>
      <w:pPr>
        <w:keepNext w:val="0"/>
        <w:keepLines w:val="0"/>
        <w:pageBreakBefore w:val="0"/>
        <w:widowControl w:val="0"/>
        <w:kinsoku/>
        <w:wordWrap/>
        <w:overflowPunct/>
        <w:topLinePunct w:val="0"/>
        <w:autoSpaceDE/>
        <w:autoSpaceDN/>
        <w:bidi w:val="0"/>
        <w:adjustRightInd/>
        <w:snapToGrid/>
        <w:spacing w:line="570" w:lineRule="atLeast"/>
        <w:ind w:left="0" w:leftChars="0" w:firstLine="369" w:firstLineChars="175"/>
        <w:textAlignment w:val="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特别提醒：</w:t>
      </w:r>
    </w:p>
    <w:p>
      <w:pPr>
        <w:keepNext w:val="0"/>
        <w:keepLines w:val="0"/>
        <w:pageBreakBefore w:val="0"/>
        <w:widowControl w:val="0"/>
        <w:numPr>
          <w:ilvl w:val="0"/>
          <w:numId w:val="0"/>
        </w:numPr>
        <w:kinsoku/>
        <w:wordWrap/>
        <w:overflowPunct/>
        <w:topLinePunct w:val="0"/>
        <w:autoSpaceDE/>
        <w:autoSpaceDN/>
        <w:bidi w:val="0"/>
        <w:adjustRightInd/>
        <w:snapToGrid/>
        <w:spacing w:line="570" w:lineRule="atLeast"/>
        <w:ind w:left="0" w:leftChars="0" w:firstLine="369" w:firstLineChars="175"/>
        <w:textAlignment w:val="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lang w:val="en-US" w:eastAsia="zh-CN"/>
        </w:rPr>
        <w:t>1.</w:t>
      </w:r>
      <w:r>
        <w:rPr>
          <w:rFonts w:hint="eastAsia" w:asciiTheme="minorEastAsia" w:hAnsiTheme="minorEastAsia" w:eastAsiaTheme="minorEastAsia" w:cstheme="minorEastAsia"/>
          <w:b/>
          <w:bCs/>
          <w:sz w:val="21"/>
          <w:szCs w:val="21"/>
        </w:rPr>
        <w:t>本项目采用电子化投标方式。供应商须使用数字认证证书（CA锁）对电子响应文件进行签章、加密、递交及开标时解密等相关招投标事宜。如因供应商自身原因未在规定时间内解密的，视为响应无效。</w:t>
      </w:r>
    </w:p>
    <w:p>
      <w:pPr>
        <w:keepNext w:val="0"/>
        <w:keepLines w:val="0"/>
        <w:pageBreakBefore w:val="0"/>
        <w:widowControl w:val="0"/>
        <w:kinsoku/>
        <w:wordWrap/>
        <w:overflowPunct/>
        <w:topLinePunct w:val="0"/>
        <w:autoSpaceDE/>
        <w:autoSpaceDN/>
        <w:bidi w:val="0"/>
        <w:adjustRightInd/>
        <w:snapToGrid/>
        <w:spacing w:line="570" w:lineRule="atLeast"/>
        <w:ind w:left="0" w:leftChars="0" w:firstLine="369" w:firstLineChars="175"/>
        <w:textAlignment w:val="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lang w:val="en-US" w:eastAsia="zh-CN"/>
        </w:rPr>
        <w:t>2.</w:t>
      </w:r>
      <w:r>
        <w:rPr>
          <w:rFonts w:hint="eastAsia" w:asciiTheme="minorEastAsia" w:hAnsiTheme="minorEastAsia" w:eastAsiaTheme="minorEastAsia" w:cstheme="minorEastAsia"/>
          <w:b/>
          <w:bCs/>
          <w:sz w:val="21"/>
          <w:szCs w:val="21"/>
        </w:rPr>
        <w:t>评审过程中，磋商小组要求供应商提交多轮（最后）磋商报价时，供应商须登录全国公共资源交易平台（陕西省</w:t>
      </w:r>
      <w:r>
        <w:rPr>
          <w:rFonts w:hint="eastAsia" w:asciiTheme="minorEastAsia" w:hAnsiTheme="minorEastAsia" w:cstheme="minorEastAsia"/>
          <w:b/>
          <w:bCs/>
          <w:sz w:val="21"/>
          <w:szCs w:val="21"/>
          <w:lang w:val="en-US" w:eastAsia="zh-CN"/>
        </w:rPr>
        <w:t>咸阳市</w:t>
      </w:r>
      <w:r>
        <w:rPr>
          <w:rFonts w:hint="eastAsia" w:asciiTheme="minorEastAsia" w:hAnsiTheme="minorEastAsia" w:eastAsiaTheme="minorEastAsia" w:cstheme="minorEastAsia"/>
          <w:b/>
          <w:bCs/>
          <w:sz w:val="21"/>
          <w:szCs w:val="21"/>
        </w:rPr>
        <w:t>）在交易系统中提交多轮（最后）报价，并用数字认证证书（CA锁）签章。</w:t>
      </w:r>
    </w:p>
    <w:p>
      <w:pPr>
        <w:jc w:val="center"/>
        <w:rPr>
          <w:rFonts w:hint="eastAsia" w:ascii="方正小标宋简体" w:hAnsi="方正小标宋简体" w:eastAsia="方正小标宋简体" w:cs="方正小标宋简体"/>
          <w:sz w:val="32"/>
          <w:szCs w:val="32"/>
        </w:rPr>
      </w:pPr>
    </w:p>
    <w:p>
      <w:pPr>
        <w:jc w:val="center"/>
        <w:rPr>
          <w:rFonts w:hint="eastAsia" w:ascii="方正小标宋简体" w:hAnsi="方正小标宋简体" w:eastAsia="方正小标宋简体" w:cs="方正小标宋简体"/>
          <w:sz w:val="32"/>
          <w:szCs w:val="32"/>
        </w:rPr>
      </w:pPr>
    </w:p>
    <w:p>
      <w:pPr>
        <w:jc w:val="center"/>
        <w:rPr>
          <w:rFonts w:hint="eastAsia" w:ascii="方正小标宋简体" w:hAnsi="方正小标宋简体" w:eastAsia="方正小标宋简体" w:cs="方正小标宋简体"/>
          <w:sz w:val="32"/>
          <w:szCs w:val="32"/>
        </w:rPr>
      </w:pPr>
    </w:p>
    <w:p>
      <w:pPr>
        <w:jc w:val="center"/>
        <w:rPr>
          <w:rFonts w:hint="eastAsia" w:ascii="方正小标宋简体" w:hAnsi="方正小标宋简体" w:eastAsia="方正小标宋简体" w:cs="方正小标宋简体"/>
          <w:sz w:val="32"/>
          <w:szCs w:val="32"/>
        </w:rPr>
      </w:pPr>
    </w:p>
    <w:p>
      <w:pPr>
        <w:jc w:val="center"/>
        <w:rPr>
          <w:rFonts w:hint="eastAsia" w:ascii="方正小标宋简体" w:hAnsi="方正小标宋简体" w:eastAsia="方正小标宋简体" w:cs="方正小标宋简体"/>
          <w:sz w:val="32"/>
          <w:szCs w:val="32"/>
        </w:rPr>
      </w:pPr>
    </w:p>
    <w:p>
      <w:pPr>
        <w:jc w:val="center"/>
        <w:rPr>
          <w:rFonts w:hint="eastAsia" w:ascii="方正小标宋简体" w:hAnsi="方正小标宋简体" w:eastAsia="方正小标宋简体" w:cs="方正小标宋简体"/>
          <w:sz w:val="32"/>
          <w:szCs w:val="32"/>
        </w:rPr>
      </w:pPr>
    </w:p>
    <w:p>
      <w:pPr>
        <w:jc w:val="center"/>
        <w:rPr>
          <w:rFonts w:hint="eastAsia" w:ascii="方正小标宋简体" w:hAnsi="方正小标宋简体" w:eastAsia="方正小标宋简体" w:cs="方正小标宋简体"/>
          <w:sz w:val="32"/>
          <w:szCs w:val="32"/>
        </w:rPr>
      </w:pPr>
    </w:p>
    <w:p>
      <w:pPr>
        <w:jc w:val="center"/>
        <w:rPr>
          <w:rFonts w:hint="eastAsia" w:ascii="方正小标宋简体" w:hAnsi="方正小标宋简体" w:eastAsia="方正小标宋简体" w:cs="方正小标宋简体"/>
          <w:sz w:val="32"/>
          <w:szCs w:val="32"/>
        </w:rPr>
      </w:pPr>
    </w:p>
    <w:p>
      <w:pPr>
        <w:jc w:val="center"/>
        <w:rPr>
          <w:rFonts w:hint="eastAsia" w:ascii="方正小标宋简体" w:hAnsi="方正小标宋简体" w:eastAsia="方正小标宋简体" w:cs="方正小标宋简体"/>
          <w:sz w:val="32"/>
          <w:szCs w:val="32"/>
        </w:rPr>
      </w:pPr>
    </w:p>
    <w:p>
      <w:pPr>
        <w:jc w:val="center"/>
        <w:outlineLvl w:val="0"/>
        <w:rPr>
          <w:rFonts w:hint="eastAsia" w:ascii="方正小标宋简体" w:hAnsi="方正小标宋简体" w:eastAsia="方正小标宋简体" w:cs="方正小标宋简体"/>
          <w:sz w:val="32"/>
          <w:szCs w:val="32"/>
        </w:rPr>
      </w:pPr>
      <w:bookmarkStart w:id="1" w:name="_Toc15743"/>
      <w:r>
        <w:rPr>
          <w:rFonts w:hint="eastAsia" w:ascii="方正小标宋简体" w:hAnsi="方正小标宋简体" w:eastAsia="方正小标宋简体" w:cs="方正小标宋简体"/>
          <w:sz w:val="32"/>
          <w:szCs w:val="32"/>
        </w:rPr>
        <w:t>第二章</w:t>
      </w:r>
      <w:r>
        <w:rPr>
          <w:rFonts w:hint="eastAsia" w:ascii="方正小标宋简体" w:hAnsi="方正小标宋简体" w:eastAsia="方正小标宋简体" w:cs="方正小标宋简体"/>
          <w:sz w:val="32"/>
          <w:szCs w:val="32"/>
          <w:lang w:val="en-US" w:eastAsia="zh-CN"/>
        </w:rPr>
        <w:t xml:space="preserve"> </w:t>
      </w:r>
      <w:r>
        <w:rPr>
          <w:rFonts w:hint="eastAsia" w:ascii="方正小标宋简体" w:hAnsi="方正小标宋简体" w:eastAsia="方正小标宋简体" w:cs="方正小标宋简体"/>
          <w:sz w:val="32"/>
          <w:szCs w:val="32"/>
        </w:rPr>
        <w:t>供应商须知</w:t>
      </w:r>
      <w:bookmarkEnd w:id="1"/>
    </w:p>
    <w:p>
      <w:pPr>
        <w:keepNext w:val="0"/>
        <w:keepLines w:val="0"/>
        <w:pageBreakBefore w:val="0"/>
        <w:widowControl w:val="0"/>
        <w:kinsoku/>
        <w:wordWrap/>
        <w:overflowPunct/>
        <w:topLinePunct w:val="0"/>
        <w:autoSpaceDE/>
        <w:autoSpaceDN/>
        <w:bidi w:val="0"/>
        <w:adjustRightInd/>
        <w:snapToGrid/>
        <w:spacing w:line="570" w:lineRule="exact"/>
        <w:ind w:left="0" w:leftChars="0" w:firstLine="422" w:firstLineChars="175"/>
        <w:textAlignment w:val="auto"/>
        <w:outlineLvl w:val="9"/>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一、定义</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（一）采购人：</w:t>
      </w:r>
      <w:r>
        <w:rPr>
          <w:rFonts w:hint="eastAsia" w:asciiTheme="minorEastAsia" w:hAnsiTheme="minorEastAsia" w:eastAsiaTheme="minorEastAsia" w:cstheme="minorEastAsia"/>
          <w:sz w:val="24"/>
          <w:szCs w:val="24"/>
          <w:lang w:eastAsia="zh-CN"/>
        </w:rPr>
        <w:t>咸阳市秦都区文华学校</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（二）监督机构：</w:t>
      </w:r>
      <w:r>
        <w:rPr>
          <w:rFonts w:hint="eastAsia" w:asciiTheme="minorEastAsia" w:hAnsiTheme="minorEastAsia" w:eastAsiaTheme="minorEastAsia" w:cstheme="minorEastAsia"/>
          <w:sz w:val="24"/>
          <w:szCs w:val="24"/>
          <w:lang w:val="en-US" w:eastAsia="zh-CN"/>
        </w:rPr>
        <w:t>咸阳市秦都区财政局</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（三）采购代理机构：</w:t>
      </w:r>
      <w:r>
        <w:rPr>
          <w:rFonts w:hint="eastAsia" w:asciiTheme="minorEastAsia" w:hAnsiTheme="minorEastAsia" w:eastAsiaTheme="minorEastAsia" w:cstheme="minorEastAsia"/>
          <w:sz w:val="24"/>
          <w:szCs w:val="24"/>
          <w:lang w:eastAsia="zh-CN"/>
        </w:rPr>
        <w:t>咸阳市秦都区政府采购中心</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（四）供应商：拟向采购人提供货物、工程或者服务的法人、其他组织或者自然人</w:t>
      </w:r>
      <w:r>
        <w:rPr>
          <w:rFonts w:hint="eastAsia" w:asciiTheme="minorEastAsia" w:hAnsiTheme="minorEastAsia" w:cstheme="minorEastAsia"/>
          <w:sz w:val="24"/>
          <w:szCs w:val="24"/>
          <w:lang w:eastAsia="zh-CN"/>
        </w:rPr>
        <w:t>。</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2" w:firstLineChars="175"/>
        <w:textAlignment w:val="auto"/>
        <w:outlineLvl w:val="9"/>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二、供应商注意事项</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（一）询问</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供应商针对磋商文件（包括采购需求、供应商资格条件、商务条款等）依法提出书面询问的，采购人应在三个工作日内书面答复；供应商向</w:t>
      </w:r>
      <w:r>
        <w:rPr>
          <w:rFonts w:hint="eastAsia" w:asciiTheme="minorEastAsia" w:hAnsiTheme="minorEastAsia" w:eastAsiaTheme="minorEastAsia" w:cstheme="minorEastAsia"/>
          <w:sz w:val="24"/>
          <w:szCs w:val="24"/>
          <w:lang w:eastAsia="zh-CN"/>
        </w:rPr>
        <w:t>咸阳市秦都区政府采购中心</w:t>
      </w:r>
      <w:r>
        <w:rPr>
          <w:rFonts w:hint="eastAsia" w:asciiTheme="minorEastAsia" w:hAnsiTheme="minorEastAsia" w:eastAsiaTheme="minorEastAsia" w:cstheme="minorEastAsia"/>
          <w:sz w:val="24"/>
          <w:szCs w:val="24"/>
        </w:rPr>
        <w:t>提出书面询问的，</w:t>
      </w:r>
      <w:r>
        <w:rPr>
          <w:rFonts w:hint="eastAsia" w:asciiTheme="minorEastAsia" w:hAnsiTheme="minorEastAsia" w:eastAsiaTheme="minorEastAsia" w:cstheme="minorEastAsia"/>
          <w:sz w:val="24"/>
          <w:szCs w:val="24"/>
          <w:lang w:eastAsia="zh-CN"/>
        </w:rPr>
        <w:t>咸阳市秦都区政府采购中心</w:t>
      </w:r>
      <w:r>
        <w:rPr>
          <w:rFonts w:hint="eastAsia" w:asciiTheme="minorEastAsia" w:hAnsiTheme="minorEastAsia" w:eastAsiaTheme="minorEastAsia" w:cstheme="minorEastAsia"/>
          <w:sz w:val="24"/>
          <w:szCs w:val="24"/>
        </w:rPr>
        <w:t>应告知采购人并协助采购人做出答复。</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供应商对采购过程、中标（成交）结果，向</w:t>
      </w:r>
      <w:r>
        <w:rPr>
          <w:rFonts w:hint="eastAsia" w:asciiTheme="minorEastAsia" w:hAnsiTheme="minorEastAsia" w:eastAsiaTheme="minorEastAsia" w:cstheme="minorEastAsia"/>
          <w:sz w:val="24"/>
          <w:szCs w:val="24"/>
          <w:lang w:eastAsia="zh-CN"/>
        </w:rPr>
        <w:t>咸阳市秦都区政府采购中心</w:t>
      </w:r>
      <w:r>
        <w:rPr>
          <w:rFonts w:hint="eastAsia" w:asciiTheme="minorEastAsia" w:hAnsiTheme="minorEastAsia" w:eastAsiaTheme="minorEastAsia" w:cstheme="minorEastAsia"/>
          <w:sz w:val="24"/>
          <w:szCs w:val="24"/>
        </w:rPr>
        <w:t>提出书面询问的，</w:t>
      </w:r>
      <w:r>
        <w:rPr>
          <w:rFonts w:hint="eastAsia" w:asciiTheme="minorEastAsia" w:hAnsiTheme="minorEastAsia" w:eastAsiaTheme="minorEastAsia" w:cstheme="minorEastAsia"/>
          <w:sz w:val="24"/>
          <w:szCs w:val="24"/>
          <w:lang w:eastAsia="zh-CN"/>
        </w:rPr>
        <w:t>咸阳市秦都区政府采购中心</w:t>
      </w:r>
      <w:r>
        <w:rPr>
          <w:rFonts w:hint="eastAsia" w:asciiTheme="minorEastAsia" w:hAnsiTheme="minorEastAsia" w:eastAsiaTheme="minorEastAsia" w:cstheme="minorEastAsia"/>
          <w:sz w:val="24"/>
          <w:szCs w:val="24"/>
        </w:rPr>
        <w:t>应在三个工作日内书面答复。</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（二）现场踏勘及标前答疑会</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采购项目安排现场考察和标前答疑的，采购人应尽量在现场予以解答（口头提问可口头答复），现场不能做出解答的，应在三个工作日内书面答复，并交由</w:t>
      </w:r>
      <w:r>
        <w:rPr>
          <w:rFonts w:hint="eastAsia" w:asciiTheme="minorEastAsia" w:hAnsiTheme="minorEastAsia" w:eastAsiaTheme="minorEastAsia" w:cstheme="minorEastAsia"/>
          <w:sz w:val="24"/>
          <w:szCs w:val="24"/>
          <w:lang w:eastAsia="zh-CN"/>
        </w:rPr>
        <w:t>咸阳市秦都区政府采购中心</w:t>
      </w:r>
      <w:r>
        <w:rPr>
          <w:rFonts w:hint="eastAsia" w:asciiTheme="minorEastAsia" w:hAnsiTheme="minorEastAsia" w:eastAsiaTheme="minorEastAsia" w:cstheme="minorEastAsia"/>
          <w:sz w:val="24"/>
          <w:szCs w:val="24"/>
        </w:rPr>
        <w:t>在财政部门指定的媒体上发布。</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答复内容可能影响响应文件编制的，应当顺延开标时间。凡未参加现场踏勘和标前答疑的供应商，由此造成的偏差由各供应商自行负责。</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2" w:firstLineChars="175"/>
        <w:textAlignment w:val="auto"/>
        <w:outlineLvl w:val="9"/>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本项目不组织集中踏勘和标前答疑。</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default"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三</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磋商说明</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kern w:val="0"/>
          <w:sz w:val="24"/>
          <w:highlight w:val="none"/>
        </w:rPr>
      </w:pPr>
      <w:r>
        <w:rPr>
          <w:rFonts w:hint="default" w:ascii="Times New Roman" w:hAnsi="Times New Roman" w:cs="Times New Roman"/>
          <w:color w:val="auto"/>
          <w:kern w:val="0"/>
          <w:sz w:val="24"/>
          <w:highlight w:val="none"/>
        </w:rPr>
        <w:t>1、根据《政府采购法》规定，本次</w:t>
      </w:r>
      <w:r>
        <w:rPr>
          <w:rFonts w:hint="eastAsia" w:ascii="Times New Roman" w:hAnsi="Times New Roman" w:cs="Times New Roman"/>
          <w:color w:val="auto"/>
          <w:kern w:val="0"/>
          <w:sz w:val="24"/>
          <w:highlight w:val="none"/>
          <w:lang w:val="en-US" w:eastAsia="zh-CN"/>
        </w:rPr>
        <w:t>采购</w:t>
      </w:r>
      <w:r>
        <w:rPr>
          <w:rFonts w:hint="default" w:ascii="Times New Roman" w:hAnsi="Times New Roman" w:cs="Times New Roman"/>
          <w:color w:val="auto"/>
          <w:kern w:val="0"/>
          <w:sz w:val="24"/>
          <w:highlight w:val="none"/>
        </w:rPr>
        <w:t>由集中采购机构咸阳市</w:t>
      </w:r>
      <w:r>
        <w:rPr>
          <w:rFonts w:hint="eastAsia" w:ascii="Times New Roman" w:hAnsi="Times New Roman" w:cs="Times New Roman"/>
          <w:color w:val="auto"/>
          <w:kern w:val="0"/>
          <w:sz w:val="24"/>
          <w:highlight w:val="none"/>
          <w:lang w:val="en-US" w:eastAsia="zh-CN"/>
        </w:rPr>
        <w:t>秦都区</w:t>
      </w:r>
      <w:r>
        <w:rPr>
          <w:rFonts w:hint="default" w:ascii="Times New Roman" w:hAnsi="Times New Roman" w:cs="Times New Roman"/>
          <w:color w:val="auto"/>
          <w:kern w:val="0"/>
          <w:sz w:val="24"/>
          <w:highlight w:val="none"/>
        </w:rPr>
        <w:t>政府采购中心组织招标、开标、评标工作，整个过程受政府采购监管机构的监督、管理。定标工作由采购单位组建的采购领导小组根据评审委员会提供的评标报告确定。</w:t>
      </w:r>
    </w:p>
    <w:p>
      <w:pPr>
        <w:keepNext w:val="0"/>
        <w:keepLines w:val="0"/>
        <w:pageBreakBefore w:val="0"/>
        <w:widowControl/>
        <w:kinsoku/>
        <w:wordWrap/>
        <w:overflowPunct/>
        <w:topLinePunct w:val="0"/>
        <w:autoSpaceDE/>
        <w:autoSpaceDN/>
        <w:bidi w:val="0"/>
        <w:snapToGrid/>
        <w:spacing w:line="460" w:lineRule="exact"/>
        <w:ind w:firstLine="480" w:firstLineChars="200"/>
        <w:textAlignment w:val="auto"/>
        <w:rPr>
          <w:rFonts w:hint="default" w:ascii="Times New Roman" w:hAnsi="Times New Roman" w:cs="Times New Roman"/>
          <w:color w:val="auto"/>
          <w:kern w:val="0"/>
          <w:sz w:val="24"/>
          <w:highlight w:val="none"/>
        </w:rPr>
      </w:pPr>
      <w:r>
        <w:rPr>
          <w:rFonts w:hint="default" w:ascii="Times New Roman" w:hAnsi="Times New Roman" w:cs="Times New Roman"/>
          <w:color w:val="auto"/>
          <w:kern w:val="0"/>
          <w:sz w:val="24"/>
          <w:highlight w:val="none"/>
        </w:rPr>
        <w:t>2、集中采购机构在规定的时间和地点组织</w:t>
      </w:r>
      <w:r>
        <w:rPr>
          <w:rFonts w:hint="default" w:ascii="Times New Roman" w:hAnsi="Times New Roman" w:cs="Times New Roman"/>
          <w:color w:val="auto"/>
          <w:kern w:val="0"/>
          <w:sz w:val="24"/>
          <w:highlight w:val="none"/>
          <w:lang w:val="en-US" w:eastAsia="zh-CN"/>
        </w:rPr>
        <w:t>谈判</w:t>
      </w:r>
      <w:r>
        <w:rPr>
          <w:rFonts w:hint="default" w:ascii="Times New Roman" w:hAnsi="Times New Roman" w:cs="Times New Roman"/>
          <w:color w:val="auto"/>
          <w:kern w:val="0"/>
          <w:sz w:val="24"/>
          <w:highlight w:val="none"/>
        </w:rPr>
        <w:t>，供应商可派法定代表人或被授权人在线参加</w:t>
      </w:r>
      <w:r>
        <w:rPr>
          <w:rFonts w:hint="default" w:ascii="Times New Roman" w:hAnsi="Times New Roman" w:cs="Times New Roman"/>
          <w:color w:val="auto"/>
          <w:kern w:val="0"/>
          <w:sz w:val="24"/>
          <w:highlight w:val="none"/>
          <w:lang w:val="en-US" w:eastAsia="zh-CN"/>
        </w:rPr>
        <w:t>谈判</w:t>
      </w:r>
      <w:r>
        <w:rPr>
          <w:rFonts w:hint="default" w:ascii="Times New Roman" w:hAnsi="Times New Roman" w:cs="Times New Roman"/>
          <w:color w:val="auto"/>
          <w:kern w:val="0"/>
          <w:sz w:val="24"/>
          <w:highlight w:val="none"/>
        </w:rPr>
        <w:t>活动，并</w:t>
      </w:r>
      <w:r>
        <w:rPr>
          <w:rFonts w:hint="default" w:ascii="Times New Roman" w:hAnsi="Times New Roman" w:cs="Times New Roman"/>
          <w:color w:val="auto"/>
          <w:kern w:val="0"/>
          <w:sz w:val="24"/>
          <w:highlight w:val="none"/>
          <w:lang w:val="en-US" w:eastAsia="zh-CN"/>
        </w:rPr>
        <w:t>在开标前完成</w:t>
      </w:r>
      <w:r>
        <w:rPr>
          <w:rFonts w:hint="default" w:ascii="Times New Roman" w:hAnsi="Times New Roman" w:cs="Times New Roman"/>
          <w:color w:val="auto"/>
          <w:kern w:val="0"/>
          <w:sz w:val="24"/>
          <w:highlight w:val="none"/>
        </w:rPr>
        <w:t>签到。</w:t>
      </w:r>
    </w:p>
    <w:p>
      <w:pPr>
        <w:keepNext w:val="0"/>
        <w:keepLines w:val="0"/>
        <w:pageBreakBefore w:val="0"/>
        <w:widowControl/>
        <w:kinsoku/>
        <w:wordWrap/>
        <w:overflowPunct/>
        <w:topLinePunct w:val="0"/>
        <w:autoSpaceDE/>
        <w:autoSpaceDN/>
        <w:bidi w:val="0"/>
        <w:snapToGrid/>
        <w:spacing w:line="460" w:lineRule="exact"/>
        <w:ind w:firstLine="480" w:firstLineChars="200"/>
        <w:textAlignment w:val="auto"/>
        <w:rPr>
          <w:rFonts w:hint="default" w:ascii="Times New Roman" w:hAnsi="Times New Roman" w:cs="Times New Roman"/>
          <w:color w:val="auto"/>
          <w:sz w:val="24"/>
          <w:highlight w:val="none"/>
          <w:lang w:val="en-US" w:eastAsia="zh-CN"/>
        </w:rPr>
      </w:pPr>
      <w:r>
        <w:rPr>
          <w:rFonts w:hint="default" w:ascii="Times New Roman" w:hAnsi="Times New Roman" w:cs="Times New Roman"/>
          <w:color w:val="auto"/>
          <w:kern w:val="0"/>
          <w:sz w:val="24"/>
          <w:highlight w:val="none"/>
        </w:rPr>
        <w:t>3、主持人宣布</w:t>
      </w:r>
      <w:r>
        <w:rPr>
          <w:rFonts w:hint="default" w:ascii="Times New Roman" w:hAnsi="Times New Roman" w:cs="Times New Roman"/>
          <w:color w:val="auto"/>
          <w:kern w:val="0"/>
          <w:sz w:val="24"/>
          <w:highlight w:val="none"/>
          <w:lang w:eastAsia="zh-CN"/>
        </w:rPr>
        <w:t>开始解密</w:t>
      </w:r>
      <w:r>
        <w:rPr>
          <w:rFonts w:hint="default" w:ascii="Times New Roman" w:hAnsi="Times New Roman" w:cs="Times New Roman"/>
          <w:color w:val="auto"/>
          <w:kern w:val="0"/>
          <w:sz w:val="24"/>
          <w:highlight w:val="none"/>
        </w:rPr>
        <w:t>后，供应商应</w:t>
      </w:r>
      <w:r>
        <w:rPr>
          <w:rFonts w:hint="default" w:ascii="Times New Roman" w:hAnsi="Times New Roman" w:cs="Times New Roman"/>
          <w:color w:val="auto"/>
          <w:sz w:val="24"/>
          <w:highlight w:val="none"/>
          <w:lang w:eastAsia="zh-CN"/>
        </w:rPr>
        <w:t>在</w:t>
      </w:r>
      <w:r>
        <w:rPr>
          <w:rFonts w:hint="eastAsia" w:ascii="Times New Roman" w:hAnsi="Times New Roman" w:cs="Times New Roman"/>
          <w:color w:val="auto"/>
          <w:sz w:val="24"/>
          <w:highlight w:val="none"/>
          <w:lang w:val="en-US" w:eastAsia="zh-CN"/>
        </w:rPr>
        <w:t>60</w:t>
      </w:r>
      <w:r>
        <w:rPr>
          <w:rFonts w:hint="default" w:ascii="Times New Roman" w:hAnsi="Times New Roman" w:cs="Times New Roman"/>
          <w:color w:val="auto"/>
          <w:sz w:val="24"/>
          <w:highlight w:val="none"/>
          <w:lang w:val="en-US" w:eastAsia="zh-CN"/>
        </w:rPr>
        <w:t>分钟内</w:t>
      </w:r>
      <w:r>
        <w:rPr>
          <w:rFonts w:hint="default" w:ascii="Times New Roman" w:hAnsi="Times New Roman" w:cs="Times New Roman"/>
          <w:color w:val="auto"/>
          <w:sz w:val="24"/>
          <w:highlight w:val="none"/>
        </w:rPr>
        <w:t>使用CA对电子</w:t>
      </w:r>
      <w:r>
        <w:rPr>
          <w:rFonts w:hint="eastAsia" w:ascii="Times New Roman" w:hAnsi="Times New Roman" w:cs="Times New Roman"/>
          <w:color w:val="auto"/>
          <w:sz w:val="24"/>
          <w:highlight w:val="none"/>
          <w:lang w:val="en-US" w:eastAsia="zh-CN"/>
        </w:rPr>
        <w:t>谈判</w:t>
      </w:r>
      <w:r>
        <w:rPr>
          <w:rFonts w:hint="default" w:ascii="Times New Roman" w:hAnsi="Times New Roman" w:cs="Times New Roman"/>
          <w:color w:val="auto"/>
          <w:sz w:val="24"/>
          <w:highlight w:val="none"/>
        </w:rPr>
        <w:t>文件进行解密，</w:t>
      </w:r>
      <w:r>
        <w:rPr>
          <w:rFonts w:hint="default" w:ascii="Times New Roman" w:hAnsi="Times New Roman" w:cs="Times New Roman"/>
          <w:color w:val="auto"/>
          <w:sz w:val="24"/>
          <w:highlight w:val="none"/>
          <w:lang w:val="en-US" w:eastAsia="zh-CN"/>
        </w:rPr>
        <w:t>超时仍未解密视为无效投标文件。</w:t>
      </w:r>
    </w:p>
    <w:p>
      <w:pPr>
        <w:keepNext w:val="0"/>
        <w:keepLines w:val="0"/>
        <w:pageBreakBefore w:val="0"/>
        <w:kinsoku/>
        <w:wordWrap/>
        <w:overflowPunct/>
        <w:topLinePunct w:val="0"/>
        <w:autoSpaceDE/>
        <w:autoSpaceDN/>
        <w:bidi w:val="0"/>
        <w:adjustRightInd w:val="0"/>
        <w:snapToGrid/>
        <w:spacing w:line="460" w:lineRule="exact"/>
        <w:ind w:firstLine="480" w:firstLineChars="200"/>
        <w:textAlignment w:val="auto"/>
        <w:rPr>
          <w:rFonts w:hint="default" w:ascii="Times New Roman" w:hAnsi="Times New Roman" w:cs="Times New Roman"/>
          <w:color w:val="auto"/>
          <w:sz w:val="24"/>
          <w:highlight w:val="none"/>
        </w:rPr>
      </w:pPr>
      <w:r>
        <w:rPr>
          <w:rFonts w:hint="default" w:ascii="Times New Roman" w:hAnsi="Times New Roman" w:cs="Times New Roman" w:eastAsiaTheme="minorEastAsia"/>
          <w:b w:val="0"/>
          <w:bCs w:val="0"/>
          <w:color w:val="auto"/>
          <w:sz w:val="24"/>
          <w:highlight w:val="none"/>
          <w:lang w:val="en-US" w:eastAsia="zh-CN"/>
        </w:rPr>
        <w:t>4、解密后，</w:t>
      </w:r>
      <w:r>
        <w:rPr>
          <w:rFonts w:hint="default" w:ascii="Times New Roman" w:hAnsi="Times New Roman" w:cs="Times New Roman"/>
          <w:color w:val="auto"/>
          <w:sz w:val="24"/>
          <w:highlight w:val="none"/>
        </w:rPr>
        <w:t>先以公开唱标的形式集中公布各供应商的第一次报价</w:t>
      </w:r>
      <w:r>
        <w:rPr>
          <w:rFonts w:hint="eastAsia" w:ascii="Times New Roman" w:hAnsi="Times New Roman" w:eastAsia="宋体" w:cs="Times New Roman"/>
          <w:b/>
          <w:bCs/>
          <w:color w:val="auto"/>
          <w:sz w:val="24"/>
          <w:highlight w:val="none"/>
          <w:lang w:val="en-US" w:eastAsia="zh-CN"/>
        </w:rPr>
        <w:t>（</w:t>
      </w:r>
      <w:r>
        <w:rPr>
          <w:rFonts w:hint="default" w:ascii="Times New Roman" w:hAnsi="Times New Roman" w:cs="Times New Roman"/>
          <w:b/>
          <w:bCs/>
          <w:color w:val="auto"/>
          <w:sz w:val="24"/>
          <w:highlight w:val="none"/>
          <w:lang w:val="en-US" w:eastAsia="zh-CN"/>
        </w:rPr>
        <w:t>开标结束后，</w:t>
      </w:r>
      <w:r>
        <w:rPr>
          <w:rFonts w:hint="eastAsia" w:ascii="Times New Roman" w:hAnsi="Times New Roman" w:cs="Times New Roman"/>
          <w:b/>
          <w:bCs/>
          <w:color w:val="auto"/>
          <w:sz w:val="24"/>
          <w:highlight w:val="none"/>
          <w:lang w:val="en-US" w:eastAsia="zh-CN"/>
        </w:rPr>
        <w:t>响应</w:t>
      </w:r>
      <w:r>
        <w:rPr>
          <w:rFonts w:hint="default" w:ascii="Times New Roman" w:hAnsi="Times New Roman" w:cs="Times New Roman"/>
          <w:b/>
          <w:bCs/>
          <w:color w:val="auto"/>
          <w:sz w:val="24"/>
          <w:highlight w:val="none"/>
          <w:lang w:val="en-US" w:eastAsia="zh-CN"/>
        </w:rPr>
        <w:t>供应商应在</w:t>
      </w:r>
      <w:r>
        <w:rPr>
          <w:rFonts w:hint="eastAsia" w:ascii="Times New Roman" w:hAnsi="Times New Roman" w:cs="Times New Roman"/>
          <w:b/>
          <w:bCs/>
          <w:color w:val="auto"/>
          <w:sz w:val="24"/>
          <w:highlight w:val="none"/>
          <w:lang w:val="en-US" w:eastAsia="zh-CN"/>
        </w:rPr>
        <w:t>投标文件制作平台</w:t>
      </w:r>
      <w:r>
        <w:rPr>
          <w:rFonts w:hint="default" w:ascii="Times New Roman" w:hAnsi="Times New Roman" w:cs="Times New Roman"/>
          <w:b/>
          <w:bCs/>
          <w:color w:val="auto"/>
          <w:sz w:val="24"/>
          <w:highlight w:val="none"/>
          <w:lang w:val="en-US" w:eastAsia="zh-CN"/>
        </w:rPr>
        <w:t>在线等候，待符合性审查后开始</w:t>
      </w:r>
      <w:r>
        <w:rPr>
          <w:rFonts w:hint="eastAsia" w:ascii="Times New Roman" w:hAnsi="Times New Roman" w:cs="Times New Roman"/>
          <w:b/>
          <w:bCs/>
          <w:color w:val="auto"/>
          <w:sz w:val="24"/>
          <w:highlight w:val="none"/>
          <w:lang w:val="en-US" w:eastAsia="zh-CN"/>
        </w:rPr>
        <w:t>磋商并</w:t>
      </w:r>
      <w:r>
        <w:rPr>
          <w:rFonts w:hint="default" w:ascii="Times New Roman" w:hAnsi="Times New Roman" w:cs="Times New Roman"/>
          <w:b/>
          <w:bCs/>
          <w:color w:val="auto"/>
          <w:sz w:val="24"/>
          <w:highlight w:val="none"/>
          <w:lang w:val="en-US" w:eastAsia="zh-CN"/>
        </w:rPr>
        <w:t>进行第二轮报价，二轮报价时间为</w:t>
      </w:r>
      <w:r>
        <w:rPr>
          <w:rFonts w:hint="eastAsia" w:ascii="Times New Roman" w:hAnsi="Times New Roman" w:cs="Times New Roman"/>
          <w:b/>
          <w:bCs/>
          <w:color w:val="auto"/>
          <w:sz w:val="24"/>
          <w:highlight w:val="none"/>
          <w:lang w:val="en-US" w:eastAsia="zh-CN"/>
        </w:rPr>
        <w:t>三</w:t>
      </w:r>
      <w:r>
        <w:rPr>
          <w:rFonts w:hint="default" w:ascii="Times New Roman" w:hAnsi="Times New Roman" w:cs="Times New Roman"/>
          <w:b/>
          <w:bCs/>
          <w:color w:val="auto"/>
          <w:sz w:val="24"/>
          <w:highlight w:val="none"/>
          <w:lang w:val="en-US" w:eastAsia="zh-CN"/>
        </w:rPr>
        <w:t>十分钟，逾期未报的供应商视为放弃第二轮报价权利</w:t>
      </w:r>
      <w:r>
        <w:rPr>
          <w:rFonts w:hint="default" w:ascii="Times New Roman" w:hAnsi="Times New Roman" w:cs="Times New Roman"/>
          <w:b/>
          <w:bCs/>
          <w:color w:val="auto"/>
          <w:sz w:val="24"/>
          <w:highlight w:val="none"/>
        </w:rPr>
        <w:t>。</w:t>
      </w:r>
      <w:r>
        <w:rPr>
          <w:rFonts w:hint="eastAsia" w:ascii="Times New Roman" w:hAnsi="Times New Roman" w:cs="Times New Roman"/>
          <w:b/>
          <w:bCs/>
          <w:color w:val="auto"/>
          <w:sz w:val="24"/>
          <w:highlight w:val="none"/>
          <w:lang w:val="en-US" w:eastAsia="zh-CN"/>
        </w:rPr>
        <w:t>二轮报价为最终报价，报价时间均为三十分钟。）</w:t>
      </w:r>
    </w:p>
    <w:p>
      <w:pPr>
        <w:keepNext w:val="0"/>
        <w:keepLines w:val="0"/>
        <w:pageBreakBefore w:val="0"/>
        <w:widowControl w:val="0"/>
        <w:kinsoku/>
        <w:wordWrap/>
        <w:overflowPunct/>
        <w:topLinePunct w:val="0"/>
        <w:autoSpaceDE/>
        <w:autoSpaceDN/>
        <w:bidi w:val="0"/>
        <w:adjustRightInd w:val="0"/>
        <w:snapToGrid/>
        <w:spacing w:line="460" w:lineRule="exact"/>
        <w:ind w:firstLine="480" w:firstLineChars="200"/>
        <w:textAlignment w:val="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lang w:val="en-US" w:eastAsia="zh-CN"/>
        </w:rPr>
        <w:t>5</w:t>
      </w:r>
      <w:r>
        <w:rPr>
          <w:rFonts w:hint="default" w:ascii="Times New Roman" w:hAnsi="Times New Roman" w:cs="Times New Roman"/>
          <w:color w:val="auto"/>
          <w:sz w:val="24"/>
          <w:highlight w:val="none"/>
        </w:rPr>
        <w:t>、</w:t>
      </w:r>
      <w:r>
        <w:rPr>
          <w:rFonts w:hint="default" w:ascii="Times New Roman" w:hAnsi="Times New Roman" w:eastAsia="宋体" w:cs="Times New Roman"/>
          <w:color w:val="auto"/>
          <w:kern w:val="0"/>
          <w:sz w:val="24"/>
          <w:szCs w:val="24"/>
          <w:highlight w:val="none"/>
          <w:lang w:val="en-US" w:eastAsia="zh-CN"/>
        </w:rPr>
        <w:t>本次采购采用</w:t>
      </w:r>
      <w:r>
        <w:rPr>
          <w:rFonts w:hint="eastAsia" w:ascii="Times New Roman" w:hAnsi="Times New Roman" w:eastAsia="宋体" w:cs="Times New Roman"/>
          <w:color w:val="auto"/>
          <w:kern w:val="0"/>
          <w:sz w:val="24"/>
          <w:szCs w:val="24"/>
          <w:highlight w:val="none"/>
          <w:lang w:val="en-US" w:eastAsia="zh-CN"/>
        </w:rPr>
        <w:t>综合评分</w:t>
      </w:r>
      <w:r>
        <w:rPr>
          <w:rFonts w:hint="default" w:ascii="Times New Roman" w:hAnsi="Times New Roman" w:eastAsia="宋体" w:cs="Times New Roman"/>
          <w:color w:val="auto"/>
          <w:kern w:val="0"/>
          <w:sz w:val="24"/>
          <w:szCs w:val="24"/>
          <w:highlight w:val="none"/>
        </w:rPr>
        <w:t>法</w:t>
      </w:r>
      <w:r>
        <w:rPr>
          <w:rFonts w:hint="default" w:ascii="Times New Roman" w:hAnsi="Times New Roman" w:eastAsia="宋体" w:cs="Times New Roman"/>
          <w:color w:val="auto"/>
          <w:kern w:val="0"/>
          <w:sz w:val="24"/>
          <w:szCs w:val="24"/>
          <w:highlight w:val="none"/>
          <w:lang w:eastAsia="zh-CN"/>
        </w:rPr>
        <w:t>（</w:t>
      </w:r>
      <w:r>
        <w:rPr>
          <w:rFonts w:hint="eastAsia" w:ascii="Times New Roman" w:hAnsi="Times New Roman" w:eastAsia="宋体" w:cs="Times New Roman"/>
          <w:color w:val="auto"/>
          <w:kern w:val="0"/>
          <w:sz w:val="24"/>
          <w:szCs w:val="24"/>
          <w:highlight w:val="none"/>
          <w:lang w:val="en-US" w:eastAsia="zh-CN"/>
        </w:rPr>
        <w:t>具体见本文件《评审要素及分值一览表》</w:t>
      </w:r>
      <w:r>
        <w:rPr>
          <w:rFonts w:hint="default" w:ascii="Times New Roman" w:hAnsi="Times New Roman" w:eastAsia="宋体" w:cs="Times New Roman"/>
          <w:color w:val="auto"/>
          <w:kern w:val="0"/>
          <w:sz w:val="24"/>
          <w:szCs w:val="24"/>
          <w:highlight w:val="none"/>
          <w:lang w:eastAsia="zh-CN"/>
        </w:rPr>
        <w:t>）</w:t>
      </w:r>
      <w:r>
        <w:rPr>
          <w:rFonts w:hint="default" w:ascii="Times New Roman" w:hAnsi="Times New Roman" w:eastAsia="宋体" w:cs="Times New Roman"/>
          <w:color w:val="auto"/>
          <w:kern w:val="0"/>
          <w:sz w:val="24"/>
          <w:szCs w:val="24"/>
          <w:highlight w:val="none"/>
        </w:rPr>
        <w:t>。</w:t>
      </w:r>
      <w:r>
        <w:rPr>
          <w:rFonts w:hint="eastAsia" w:ascii="Times New Roman" w:hAnsi="Times New Roman" w:eastAsia="宋体" w:cs="Times New Roman"/>
          <w:color w:val="auto"/>
          <w:kern w:val="0"/>
          <w:sz w:val="24"/>
          <w:szCs w:val="24"/>
          <w:highlight w:val="none"/>
          <w:lang w:val="en-US" w:eastAsia="zh-CN"/>
        </w:rPr>
        <w:t>磋商</w:t>
      </w:r>
      <w:r>
        <w:rPr>
          <w:rFonts w:hint="default" w:ascii="Times New Roman" w:hAnsi="Times New Roman" w:eastAsia="宋体" w:cs="Times New Roman"/>
          <w:color w:val="auto"/>
          <w:kern w:val="0"/>
          <w:sz w:val="24"/>
          <w:szCs w:val="24"/>
          <w:highlight w:val="none"/>
        </w:rPr>
        <w:t>小组应当从质量和服务均能满足采购文件实质性响应要求的供应商中，按照</w:t>
      </w:r>
      <w:r>
        <w:rPr>
          <w:rFonts w:hint="eastAsia" w:ascii="Times New Roman" w:hAnsi="Times New Roman" w:eastAsia="宋体" w:cs="Times New Roman"/>
          <w:color w:val="auto"/>
          <w:kern w:val="0"/>
          <w:sz w:val="24"/>
          <w:szCs w:val="24"/>
          <w:highlight w:val="none"/>
          <w:lang w:val="en-US" w:eastAsia="zh-CN"/>
        </w:rPr>
        <w:t>得分</w:t>
      </w:r>
      <w:r>
        <w:rPr>
          <w:rFonts w:hint="default" w:ascii="Times New Roman" w:hAnsi="Times New Roman" w:eastAsia="宋体" w:cs="Times New Roman"/>
          <w:color w:val="auto"/>
          <w:kern w:val="0"/>
          <w:sz w:val="24"/>
          <w:szCs w:val="24"/>
          <w:highlight w:val="none"/>
        </w:rPr>
        <w:t>由高到低的顺序提出3名以上成交候选人</w:t>
      </w:r>
      <w:r>
        <w:rPr>
          <w:rFonts w:hint="default" w:ascii="Times New Roman" w:hAnsi="Times New Roman" w:eastAsia="宋体" w:cs="Times New Roman"/>
          <w:color w:val="auto"/>
          <w:kern w:val="0"/>
          <w:sz w:val="24"/>
          <w:szCs w:val="24"/>
          <w:highlight w:val="none"/>
          <w:lang w:val="en-US" w:eastAsia="zh-CN"/>
        </w:rPr>
        <w:t>推荐给采购人</w:t>
      </w:r>
      <w:r>
        <w:rPr>
          <w:rFonts w:hint="default" w:ascii="Times New Roman" w:hAnsi="Times New Roman" w:cs="Times New Roman"/>
          <w:color w:val="auto"/>
          <w:sz w:val="24"/>
          <w:highlight w:val="none"/>
        </w:rPr>
        <w:t>。</w:t>
      </w:r>
    </w:p>
    <w:p>
      <w:pPr>
        <w:keepNext w:val="0"/>
        <w:keepLines w:val="0"/>
        <w:pageBreakBefore w:val="0"/>
        <w:widowControl w:val="0"/>
        <w:kinsoku/>
        <w:wordWrap/>
        <w:overflowPunct/>
        <w:topLinePunct w:val="0"/>
        <w:autoSpaceDE/>
        <w:autoSpaceDN/>
        <w:bidi w:val="0"/>
        <w:snapToGrid/>
        <w:spacing w:line="460" w:lineRule="exact"/>
        <w:ind w:firstLine="480" w:firstLineChars="200"/>
        <w:textAlignment w:val="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lang w:val="en-US" w:eastAsia="zh-CN"/>
        </w:rPr>
        <w:t>6</w:t>
      </w:r>
      <w:r>
        <w:rPr>
          <w:rFonts w:hint="default" w:ascii="Times New Roman" w:hAnsi="Times New Roman" w:cs="Times New Roman"/>
          <w:color w:val="auto"/>
          <w:sz w:val="24"/>
          <w:highlight w:val="none"/>
        </w:rPr>
        <w:t>、采购领导小组确定成交供应商。</w:t>
      </w:r>
    </w:p>
    <w:p>
      <w:pPr>
        <w:keepNext w:val="0"/>
        <w:keepLines w:val="0"/>
        <w:pageBreakBefore w:val="0"/>
        <w:widowControl w:val="0"/>
        <w:kinsoku/>
        <w:wordWrap/>
        <w:overflowPunct/>
        <w:topLinePunct w:val="0"/>
        <w:autoSpaceDE/>
        <w:autoSpaceDN/>
        <w:bidi w:val="0"/>
        <w:snapToGrid/>
        <w:spacing w:line="460" w:lineRule="exact"/>
        <w:ind w:firstLine="480" w:firstLineChars="200"/>
        <w:textAlignment w:val="auto"/>
        <w:rPr>
          <w:rFonts w:hint="default" w:ascii="Times New Roman" w:hAnsi="Times New Roman" w:cs="Times New Roman"/>
          <w:b/>
          <w:color w:val="auto"/>
          <w:sz w:val="24"/>
          <w:highlight w:val="none"/>
        </w:rPr>
      </w:pPr>
      <w:r>
        <w:rPr>
          <w:rFonts w:hint="default" w:ascii="Times New Roman" w:hAnsi="Times New Roman" w:cs="Times New Roman"/>
          <w:color w:val="auto"/>
          <w:sz w:val="24"/>
          <w:highlight w:val="none"/>
          <w:lang w:val="en-US" w:eastAsia="zh-CN"/>
        </w:rPr>
        <w:t>7</w:t>
      </w:r>
      <w:r>
        <w:rPr>
          <w:rFonts w:hint="default" w:ascii="Times New Roman" w:hAnsi="Times New Roman" w:cs="Times New Roman"/>
          <w:color w:val="auto"/>
          <w:sz w:val="24"/>
          <w:highlight w:val="none"/>
        </w:rPr>
        <w:t>、</w:t>
      </w:r>
      <w:r>
        <w:rPr>
          <w:rFonts w:hint="default" w:ascii="Times New Roman" w:hAnsi="Times New Roman" w:cs="Times New Roman"/>
          <w:color w:val="auto"/>
          <w:sz w:val="24"/>
          <w:highlight w:val="none"/>
          <w:lang w:val="en-US" w:eastAsia="zh-CN"/>
        </w:rPr>
        <w:t>成交结果会在陕西省政府采购网</w:t>
      </w:r>
      <w:r>
        <w:rPr>
          <w:rFonts w:hint="eastAsia" w:ascii="Times New Roman" w:hAnsi="Times New Roman" w:cs="Times New Roman"/>
          <w:color w:val="auto"/>
          <w:sz w:val="24"/>
          <w:highlight w:val="none"/>
          <w:lang w:val="en-US" w:eastAsia="zh-CN"/>
        </w:rPr>
        <w:t>、</w:t>
      </w:r>
      <w:r>
        <w:rPr>
          <w:rFonts w:hint="default" w:ascii="Times New Roman" w:hAnsi="Times New Roman" w:cs="Times New Roman"/>
          <w:color w:val="auto"/>
          <w:sz w:val="24"/>
          <w:highlight w:val="none"/>
          <w:lang w:val="en-US" w:eastAsia="zh-CN"/>
        </w:rPr>
        <w:t>全国公共资源交易网</w:t>
      </w:r>
      <w:r>
        <w:rPr>
          <w:rFonts w:hint="default" w:ascii="Times New Roman" w:hAnsi="Times New Roman" w:cs="Times New Roman"/>
          <w:color w:val="auto"/>
          <w:sz w:val="24"/>
          <w:highlight w:val="none"/>
        </w:rPr>
        <w:t>公布</w:t>
      </w:r>
      <w:r>
        <w:rPr>
          <w:rFonts w:hint="eastAsia" w:ascii="Times New Roman" w:hAnsi="Times New Roman" w:cs="Times New Roman"/>
          <w:color w:val="auto"/>
          <w:sz w:val="24"/>
          <w:highlight w:val="none"/>
          <w:lang w:val="en-US" w:eastAsia="zh-CN"/>
        </w:rPr>
        <w:t>及秦都区政府网站</w:t>
      </w:r>
      <w:r>
        <w:rPr>
          <w:rFonts w:hint="default" w:ascii="Times New Roman" w:hAnsi="Times New Roman" w:cs="Times New Roman"/>
          <w:color w:val="auto"/>
          <w:sz w:val="24"/>
          <w:highlight w:val="none"/>
        </w:rPr>
        <w:t>。</w:t>
      </w:r>
    </w:p>
    <w:p>
      <w:pPr>
        <w:keepNext w:val="0"/>
        <w:keepLines w:val="0"/>
        <w:pageBreakBefore w:val="0"/>
        <w:kinsoku/>
        <w:wordWrap/>
        <w:overflowPunct/>
        <w:topLinePunct w:val="0"/>
        <w:autoSpaceDE/>
        <w:autoSpaceDN/>
        <w:bidi w:val="0"/>
        <w:snapToGrid/>
        <w:spacing w:line="460" w:lineRule="exact"/>
        <w:ind w:firstLine="480" w:firstLineChars="200"/>
        <w:textAlignment w:val="auto"/>
        <w:rPr>
          <w:rFonts w:hint="default" w:ascii="Times New Roman" w:hAnsi="Times New Roman" w:cs="Times New Roman"/>
          <w:color w:val="FF0000"/>
          <w:sz w:val="24"/>
          <w:highlight w:val="none"/>
        </w:rPr>
      </w:pPr>
      <w:r>
        <w:rPr>
          <w:rFonts w:hint="eastAsia" w:ascii="Times New Roman" w:hAnsi="Times New Roman" w:cs="Times New Roman"/>
          <w:color w:val="auto"/>
          <w:sz w:val="24"/>
          <w:highlight w:val="none"/>
          <w:lang w:val="en-US" w:eastAsia="zh-CN"/>
        </w:rPr>
        <w:t>8、单位负责人为同一人或者存在直接控股、管理关系的不同供应商，不得参加同一合同项下的政府采购活动</w:t>
      </w:r>
      <w:r>
        <w:rPr>
          <w:rFonts w:hint="default" w:ascii="Times New Roman" w:hAnsi="Times New Roman" w:cs="Times New Roman"/>
          <w:color w:val="auto"/>
          <w:sz w:val="24"/>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w:t>
      </w:r>
      <w:r>
        <w:rPr>
          <w:rFonts w:hint="eastAsia" w:asciiTheme="minorEastAsia" w:hAnsiTheme="minorEastAsia" w:cstheme="minorEastAsia"/>
          <w:sz w:val="24"/>
          <w:szCs w:val="24"/>
          <w:lang w:val="en-US" w:eastAsia="zh-CN"/>
        </w:rPr>
        <w:t>四</w:t>
      </w:r>
      <w:r>
        <w:rPr>
          <w:rFonts w:hint="eastAsia" w:asciiTheme="minorEastAsia" w:hAnsiTheme="minorEastAsia" w:eastAsiaTheme="minorEastAsia" w:cstheme="minorEastAsia"/>
          <w:sz w:val="24"/>
          <w:szCs w:val="24"/>
        </w:rPr>
        <w:t>）质疑和投诉</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供应商如果认为磋商文件（包括采购需求、供应商资格条件、商务条款等）使自身的合法权益受到损害，可以在获取磋商文件之日起7个工作日内，以书面形式向采购人提出质疑；供应商如果认为采购过程或成交结果使自身的合法权益受到损害，可以在知道或者应知其权益受到损害之日起７个工作日内，以书面形式向</w:t>
      </w:r>
      <w:r>
        <w:rPr>
          <w:rFonts w:hint="eastAsia" w:asciiTheme="minorEastAsia" w:hAnsiTheme="minorEastAsia" w:eastAsiaTheme="minorEastAsia" w:cstheme="minorEastAsia"/>
          <w:sz w:val="24"/>
          <w:szCs w:val="24"/>
          <w:lang w:eastAsia="zh-CN"/>
        </w:rPr>
        <w:t>咸阳市秦都区政府采购中心</w:t>
      </w:r>
      <w:r>
        <w:rPr>
          <w:rFonts w:hint="eastAsia" w:asciiTheme="minorEastAsia" w:hAnsiTheme="minorEastAsia" w:eastAsiaTheme="minorEastAsia" w:cstheme="minorEastAsia"/>
          <w:sz w:val="24"/>
          <w:szCs w:val="24"/>
        </w:rPr>
        <w:t>提出质疑。</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供应商提出质疑应当提交质疑函和必要的证明材料，并按财政部《质疑函范本》给定的格式进行填写，范本下载详见【财政部国库司（gks.mof.gov.cn）】网站〖首页•〉政府采购管理〗栏目中的《政府采购供应商质疑函范本》。</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《政府采购供应商质疑函范本》链接地址：</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http://gks.mof.gov.cn/ztztz/zhengfucaigouguanli/201802/t20180201_2804589.htm</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质疑人为自然人的，应当由本人签字；质疑人为法人或者其他组织的，应当由法定代表人、主要负责人，或者其授权代表签字或者盖章，并加盖公章。被授权代表办理质疑事项时，除提交质疑函外，还应当提交授权委托书及被授权代表的有效身份证明，授权委托书应当载明委托代理的具体权限和事项。</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3、在法定质疑期内，针对同一采购程序环节的质疑应当一次性提出。</w:t>
      </w:r>
      <w:r>
        <w:rPr>
          <w:rFonts w:hint="eastAsia" w:asciiTheme="minorEastAsia" w:hAnsiTheme="minorEastAsia" w:eastAsiaTheme="minorEastAsia" w:cstheme="minorEastAsia"/>
          <w:sz w:val="24"/>
          <w:szCs w:val="24"/>
          <w:lang w:eastAsia="zh-CN"/>
        </w:rPr>
        <w:t>咸阳市秦都区政府采购中心</w:t>
      </w:r>
      <w:r>
        <w:rPr>
          <w:rFonts w:hint="eastAsia" w:asciiTheme="minorEastAsia" w:hAnsiTheme="minorEastAsia" w:eastAsiaTheme="minorEastAsia" w:cstheme="minorEastAsia"/>
          <w:sz w:val="24"/>
          <w:szCs w:val="24"/>
        </w:rPr>
        <w:t>或采购人将在收到书面质疑后7个工作日内做出答复，并以书面形式通知质疑人和其他有关供应商。</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4、有下列情形之一的，属于无效质疑，</w:t>
      </w:r>
      <w:r>
        <w:rPr>
          <w:rFonts w:hint="eastAsia" w:asciiTheme="minorEastAsia" w:hAnsiTheme="minorEastAsia" w:eastAsiaTheme="minorEastAsia" w:cstheme="minorEastAsia"/>
          <w:sz w:val="24"/>
          <w:szCs w:val="24"/>
          <w:lang w:eastAsia="zh-CN"/>
        </w:rPr>
        <w:t>咸阳市秦都区政府采购中心</w:t>
      </w:r>
      <w:r>
        <w:rPr>
          <w:rFonts w:hint="eastAsia" w:asciiTheme="minorEastAsia" w:hAnsiTheme="minorEastAsia" w:eastAsiaTheme="minorEastAsia" w:cstheme="minorEastAsia"/>
          <w:sz w:val="24"/>
          <w:szCs w:val="24"/>
        </w:rPr>
        <w:t>和采购人不予受理：</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（1）质疑人不是参与本次政府采购项目的供应商或潜在供应商；</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（2）质疑人与质疑事项不存在利害关系的；</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（3）未在法定期限内提出质疑的；</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（4）质疑未以书面形式提出，或质疑函主要内容构成不完整的，或缺乏必要的证明材料及证明材料不完整的；</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（5）质疑函没有合法有效的签字、盖章或授权的；</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（6）以非法手段取得证据、材料的；</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（7）不符合法律、法规、规章和政府采购监管机构规定的其他条件的。</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5、质疑人对</w:t>
      </w:r>
      <w:r>
        <w:rPr>
          <w:rFonts w:hint="eastAsia" w:asciiTheme="minorEastAsia" w:hAnsiTheme="minorEastAsia" w:eastAsiaTheme="minorEastAsia" w:cstheme="minorEastAsia"/>
          <w:sz w:val="24"/>
          <w:szCs w:val="24"/>
          <w:lang w:eastAsia="zh-CN"/>
        </w:rPr>
        <w:t>咸阳市秦都区政府采购中心</w:t>
      </w:r>
      <w:r>
        <w:rPr>
          <w:rFonts w:hint="eastAsia" w:asciiTheme="minorEastAsia" w:hAnsiTheme="minorEastAsia" w:eastAsiaTheme="minorEastAsia" w:cstheme="minorEastAsia"/>
          <w:sz w:val="24"/>
          <w:szCs w:val="24"/>
        </w:rPr>
        <w:t>或采购人的答复不满意，以及</w:t>
      </w:r>
      <w:r>
        <w:rPr>
          <w:rFonts w:hint="eastAsia" w:asciiTheme="minorEastAsia" w:hAnsiTheme="minorEastAsia" w:eastAsiaTheme="minorEastAsia" w:cstheme="minorEastAsia"/>
          <w:sz w:val="24"/>
          <w:szCs w:val="24"/>
          <w:lang w:eastAsia="zh-CN"/>
        </w:rPr>
        <w:t>咸阳市秦都区政府采购中心</w:t>
      </w:r>
      <w:r>
        <w:rPr>
          <w:rFonts w:hint="eastAsia" w:asciiTheme="minorEastAsia" w:hAnsiTheme="minorEastAsia" w:eastAsiaTheme="minorEastAsia" w:cstheme="minorEastAsia"/>
          <w:sz w:val="24"/>
          <w:szCs w:val="24"/>
        </w:rPr>
        <w:t>或采购人未在规定时间内做出答复的，可以在答复期满后15个工作日内向政府采购监管机构提出投诉。</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6、供应商投诉的事项不得超出已质疑事项的范围。</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对捏造事实、提供虚假材料进行质疑、投诉的行为予以严肃处理：依据《中华人民共和国政府采购法》及其实施条例、《政府采购竞争性磋商采购人管理暂行办法》及有关问题的补充通知、《政府采购质疑和投诉办法》等法律法规文件的规定，供应商质疑、投诉应当有明确的请求和必要的证明材料。投诉人在全国范围内十二个月内三次以上投诉查无实据的，由财政部门列入不良行为记录名单。对于捏造事实、提供虚假材料或者以非法手段取得证明材料进行投诉的，财政部门应当予以驳回，并将其列入不良行为记录名单，禁止其一至三年内参加政府采购活动。</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8、对捏造事实诬告陷害他人、诽谤他人的法律适用：</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《中华人民共和国刑法》第243条【诬告陷害罪】捏造事实诬告陷害他人，意图使他人受刑事追究，情节严重的，处三年以下有期徒刑、拘役或者管制；造成严重后果的，处三年以上十年以下有期徒刑。</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《中华人民共和国刑法》第246条【侮辱罪、诽谤罪】以暴力或者其他方法公然侮辱他人或者捏造事实诽谤他人，情节严重的，处三年以下有期徒刑、拘役、管制或者剥夺政治权利。</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sz w:val="24"/>
          <w:szCs w:val="24"/>
          <w:highlight w:val="none"/>
        </w:rPr>
        <w:t>9、质疑函递交地址：</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咸阳市秦都区文华学校</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sz w:val="24"/>
          <w:szCs w:val="24"/>
        </w:rPr>
        <w:t>联系电话：029-</w:t>
      </w:r>
      <w:r>
        <w:rPr>
          <w:rFonts w:hint="eastAsia" w:asciiTheme="minorEastAsia" w:hAnsiTheme="minorEastAsia" w:eastAsiaTheme="minorEastAsia" w:cstheme="minorEastAsia"/>
          <w:sz w:val="24"/>
          <w:szCs w:val="24"/>
          <w:lang w:val="en-US" w:eastAsia="zh-CN"/>
        </w:rPr>
        <w:t>33318865</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投诉书递交地址：</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咸阳市秦都区财政局</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联系电话：029-</w:t>
      </w:r>
      <w:r>
        <w:rPr>
          <w:rFonts w:hint="eastAsia" w:asciiTheme="minorEastAsia" w:hAnsiTheme="minorEastAsia" w:eastAsiaTheme="minorEastAsia" w:cstheme="minorEastAsia"/>
          <w:sz w:val="24"/>
          <w:szCs w:val="24"/>
          <w:highlight w:val="none"/>
          <w:lang w:val="en-US" w:eastAsia="zh-CN"/>
        </w:rPr>
        <w:t>33213205</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w:t>
      </w:r>
      <w:r>
        <w:rPr>
          <w:rFonts w:hint="eastAsia" w:asciiTheme="minorEastAsia" w:hAnsiTheme="minorEastAsia" w:cstheme="minorEastAsia"/>
          <w:sz w:val="24"/>
          <w:szCs w:val="24"/>
          <w:lang w:val="en-US" w:eastAsia="zh-CN"/>
        </w:rPr>
        <w:t>五</w:t>
      </w:r>
      <w:r>
        <w:rPr>
          <w:rFonts w:hint="eastAsia" w:asciiTheme="minorEastAsia" w:hAnsiTheme="minorEastAsia" w:eastAsiaTheme="minorEastAsia" w:cstheme="minorEastAsia"/>
          <w:sz w:val="24"/>
          <w:szCs w:val="24"/>
        </w:rPr>
        <w:t>）关于信用记录的查询和使用</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磋商小组将在资格审查阶段通过【信用中国（www.creditchina.gov.cn）】、【中国政府采购网（www.ccgp.gov.cn）】网站对响应文件中的《供应商信用记录书面声明函》的信用情况进行甄别。对列入失信被执行人、重大税收违法案件当事人名单、政府采购严重违法失信行为记录名单及其他不符合《中华人民共和国政府采购法》第二十二条规定条件的供应商，根据《关于在政府采购活动中查询及使用信用记录有关问题的通知》（财库〔2016〕125号）的第二条第（三）款规定，其磋商或成交资格将被取消。</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2、供应商在参加政府采购活动前3年内因违法经营被禁止在一定期限内参加政府采购活动，期限届满的，可以参加政府采购活动的，但供应商应提供相关证明材料。</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供应商信用记录及供应商基本信息查询的时间段为“磋商公告发布之日（含当日）至提交响应文件截止之日（含当日）”。信用记录查询的结果，可以纸质截图或将截图保存至电子介质的形式留存。供应商未如实填报《供应商信用记录书面声明函》的，视为</w:t>
      </w:r>
      <w:r>
        <w:rPr>
          <w:rFonts w:hint="eastAsia" w:asciiTheme="minorEastAsia" w:hAnsiTheme="minorEastAsia" w:cstheme="minorEastAsia"/>
          <w:sz w:val="24"/>
          <w:szCs w:val="24"/>
          <w:highlight w:val="none"/>
          <w:lang w:val="en-US" w:eastAsia="zh-CN"/>
        </w:rPr>
        <w:t>无效</w:t>
      </w:r>
      <w:r>
        <w:rPr>
          <w:rFonts w:hint="eastAsia" w:asciiTheme="minorEastAsia" w:hAnsiTheme="minorEastAsia" w:eastAsiaTheme="minorEastAsia" w:cstheme="minorEastAsia"/>
          <w:sz w:val="24"/>
          <w:szCs w:val="24"/>
          <w:highlight w:val="none"/>
        </w:rPr>
        <w:t>行为。</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w:t>
      </w:r>
      <w:r>
        <w:rPr>
          <w:rFonts w:hint="eastAsia" w:asciiTheme="minorEastAsia" w:hAnsiTheme="minorEastAsia" w:cstheme="minorEastAsia"/>
          <w:sz w:val="24"/>
          <w:szCs w:val="24"/>
          <w:lang w:val="en-US" w:eastAsia="zh-CN"/>
        </w:rPr>
        <w:t>六</w:t>
      </w:r>
      <w:r>
        <w:rPr>
          <w:rFonts w:hint="eastAsia" w:asciiTheme="minorEastAsia" w:hAnsiTheme="minorEastAsia" w:eastAsiaTheme="minorEastAsia" w:cstheme="minorEastAsia"/>
          <w:sz w:val="24"/>
          <w:szCs w:val="24"/>
        </w:rPr>
        <w:t>）落实的政府采购政策</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根据《政府采购促进中小企业发展管理办法》（财库〔2020〕46号）的有关规定，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民法典》订立劳动合同的从业人员，则参与政府采购活动时，享受中小企业扶持政策。</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在货物采购项目中，供应商提供的货物既有中小企业制造货物，也有大型供应商制造货物的，不享受政府采购价格扣除优惠政策。</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接受大中型供应商与中小企业组成联合体或者允许大中型供应商向一家或者多家中小企业分包的采购项目，对于联合协议或者分包意向协议约定中小企业的合同份额占到合同总金额30%以上的，货物和服务项目可给予联合体或者大中型供应商的报价2%-3%的扣除，工程项目为1%—2%的扣除。联合体各方均为小型、微型企业的，联合体视同为小型、微型企业。</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组成联合体或者接受分包的中小企业与联合体内其他供应商、分包供应商之间存在直接控股、管理关系的，不享受价格扣除优惠政策。</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根据《关于进一步加大政府采购支持中小企业力度的通知》（财库〔2022〕19号）的有关规定，货物服务采购项目给予中小企业的价格扣除优惠，由财库〔2020〕46号文件规定的6%—10%提高至10%—20%。大中型供应商与中小企业组成联合体或者大中型供应商向中小企业分包的，评审优惠幅度由2%—3%提高至4%—6%。政府采购工程的价格评审优惠按照财库〔2020〕46号文件的规定执行。</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2" w:firstLineChars="175"/>
        <w:textAlignment w:val="auto"/>
        <w:outlineLvl w:val="9"/>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备注：参加</w:t>
      </w:r>
      <w:r>
        <w:rPr>
          <w:rFonts w:hint="eastAsia" w:asciiTheme="minorEastAsia" w:hAnsiTheme="minorEastAsia" w:eastAsiaTheme="minorEastAsia" w:cstheme="minorEastAsia"/>
          <w:b/>
          <w:bCs/>
          <w:sz w:val="24"/>
          <w:szCs w:val="24"/>
          <w:lang w:val="en-US" w:eastAsia="zh-CN"/>
        </w:rPr>
        <w:t>本项目</w:t>
      </w:r>
      <w:r>
        <w:rPr>
          <w:rFonts w:hint="eastAsia" w:asciiTheme="minorEastAsia" w:hAnsiTheme="minorEastAsia" w:eastAsiaTheme="minorEastAsia" w:cstheme="minorEastAsia"/>
          <w:b/>
          <w:bCs/>
          <w:sz w:val="24"/>
          <w:szCs w:val="24"/>
        </w:rPr>
        <w:t>政府采购活动的</w:t>
      </w:r>
      <w:r>
        <w:rPr>
          <w:rFonts w:hint="eastAsia" w:asciiTheme="minorEastAsia" w:hAnsiTheme="minorEastAsia" w:eastAsiaTheme="minorEastAsia" w:cstheme="minorEastAsia"/>
          <w:b/>
          <w:bCs/>
          <w:sz w:val="24"/>
          <w:szCs w:val="24"/>
          <w:lang w:val="en-US" w:eastAsia="zh-CN"/>
        </w:rPr>
        <w:t>供应商</w:t>
      </w:r>
      <w:r>
        <w:rPr>
          <w:rFonts w:hint="eastAsia" w:asciiTheme="minorEastAsia" w:hAnsiTheme="minorEastAsia" w:eastAsiaTheme="minorEastAsia" w:cstheme="minorEastAsia"/>
          <w:b/>
          <w:bCs/>
          <w:sz w:val="24"/>
          <w:szCs w:val="24"/>
        </w:rPr>
        <w:t>应提供《</w:t>
      </w:r>
      <w:r>
        <w:rPr>
          <w:rFonts w:hint="eastAsia" w:asciiTheme="minorEastAsia" w:hAnsiTheme="minorEastAsia" w:eastAsiaTheme="minorEastAsia" w:cstheme="minorEastAsia"/>
          <w:b/>
          <w:bCs/>
          <w:sz w:val="24"/>
          <w:szCs w:val="24"/>
          <w:lang w:val="en-US" w:eastAsia="zh-CN"/>
        </w:rPr>
        <w:t>中</w:t>
      </w:r>
      <w:r>
        <w:rPr>
          <w:rFonts w:hint="eastAsia" w:asciiTheme="minorEastAsia" w:hAnsiTheme="minorEastAsia" w:eastAsiaTheme="minorEastAsia" w:cstheme="minorEastAsia"/>
          <w:b/>
          <w:bCs/>
          <w:sz w:val="24"/>
          <w:szCs w:val="24"/>
        </w:rPr>
        <w:t>小企业声明函》</w:t>
      </w:r>
      <w:r>
        <w:rPr>
          <w:rFonts w:hint="eastAsia" w:asciiTheme="minorEastAsia" w:hAnsiTheme="minorEastAsia" w:eastAsiaTheme="minorEastAsia" w:cstheme="minorEastAsia"/>
          <w:b/>
          <w:bCs/>
          <w:sz w:val="24"/>
          <w:szCs w:val="24"/>
          <w:lang w:eastAsia="zh-CN"/>
        </w:rPr>
        <w:t>（</w:t>
      </w:r>
      <w:r>
        <w:rPr>
          <w:rFonts w:hint="eastAsia" w:asciiTheme="minorEastAsia" w:hAnsiTheme="minorEastAsia" w:eastAsiaTheme="minorEastAsia" w:cstheme="minorEastAsia"/>
          <w:b/>
          <w:bCs/>
          <w:sz w:val="24"/>
          <w:szCs w:val="24"/>
          <w:lang w:val="en-US" w:eastAsia="zh-CN"/>
        </w:rPr>
        <w:t>格式见</w:t>
      </w:r>
      <w:r>
        <w:rPr>
          <w:rFonts w:hint="eastAsia" w:asciiTheme="minorEastAsia" w:hAnsiTheme="minorEastAsia" w:cstheme="minorEastAsia"/>
          <w:b/>
          <w:bCs/>
          <w:sz w:val="24"/>
          <w:szCs w:val="24"/>
          <w:lang w:val="en-US" w:eastAsia="zh-CN"/>
        </w:rPr>
        <w:t>本文件</w:t>
      </w:r>
      <w:r>
        <w:rPr>
          <w:rFonts w:hint="eastAsia" w:asciiTheme="minorEastAsia" w:hAnsiTheme="minorEastAsia" w:eastAsiaTheme="minorEastAsia" w:cstheme="minorEastAsia"/>
          <w:b/>
          <w:bCs/>
          <w:sz w:val="24"/>
          <w:szCs w:val="24"/>
        </w:rPr>
        <w:t>第五章</w:t>
      </w:r>
      <w:r>
        <w:rPr>
          <w:rFonts w:hint="eastAsia" w:asciiTheme="minorEastAsia" w:hAnsiTheme="minorEastAsia" w:eastAsiaTheme="minorEastAsia" w:cstheme="minorEastAsia"/>
          <w:b/>
          <w:bCs/>
          <w:sz w:val="24"/>
          <w:szCs w:val="24"/>
          <w:lang w:val="en-US" w:eastAsia="zh-CN"/>
        </w:rPr>
        <w:t xml:space="preserve"> </w:t>
      </w:r>
      <w:r>
        <w:rPr>
          <w:rFonts w:hint="eastAsia" w:asciiTheme="minorEastAsia" w:hAnsiTheme="minorEastAsia" w:eastAsiaTheme="minorEastAsia" w:cstheme="minorEastAsia"/>
          <w:b/>
          <w:bCs/>
          <w:sz w:val="24"/>
          <w:szCs w:val="24"/>
        </w:rPr>
        <w:t>响应文件构成及格式</w:t>
      </w:r>
      <w:r>
        <w:rPr>
          <w:rFonts w:hint="eastAsia" w:asciiTheme="minorEastAsia" w:hAnsiTheme="minorEastAsia" w:eastAsiaTheme="minorEastAsia" w:cstheme="minorEastAsia"/>
          <w:b/>
          <w:bCs/>
          <w:sz w:val="24"/>
          <w:szCs w:val="24"/>
          <w:lang w:eastAsia="zh-CN"/>
        </w:rPr>
        <w:t>）</w:t>
      </w:r>
      <w:r>
        <w:rPr>
          <w:rFonts w:hint="eastAsia" w:asciiTheme="minorEastAsia" w:hAnsiTheme="minorEastAsia" w:eastAsiaTheme="minorEastAsia" w:cstheme="minorEastAsia"/>
          <w:b/>
          <w:bCs/>
          <w:sz w:val="24"/>
          <w:szCs w:val="24"/>
        </w:rPr>
        <w:t>。未提供《</w:t>
      </w:r>
      <w:r>
        <w:rPr>
          <w:rFonts w:hint="eastAsia" w:asciiTheme="minorEastAsia" w:hAnsiTheme="minorEastAsia" w:eastAsiaTheme="minorEastAsia" w:cstheme="minorEastAsia"/>
          <w:b/>
          <w:bCs/>
          <w:sz w:val="24"/>
          <w:szCs w:val="24"/>
          <w:lang w:val="en-US" w:eastAsia="zh-CN"/>
        </w:rPr>
        <w:t>中</w:t>
      </w:r>
      <w:r>
        <w:rPr>
          <w:rFonts w:hint="eastAsia" w:asciiTheme="minorEastAsia" w:hAnsiTheme="minorEastAsia" w:eastAsiaTheme="minorEastAsia" w:cstheme="minorEastAsia"/>
          <w:b/>
          <w:bCs/>
          <w:sz w:val="24"/>
          <w:szCs w:val="24"/>
        </w:rPr>
        <w:t>小企业声明函》的，</w:t>
      </w:r>
      <w:r>
        <w:rPr>
          <w:rFonts w:hint="eastAsia" w:asciiTheme="minorEastAsia" w:hAnsiTheme="minorEastAsia" w:eastAsiaTheme="minorEastAsia" w:cstheme="minorEastAsia"/>
          <w:b/>
          <w:bCs/>
          <w:sz w:val="24"/>
          <w:szCs w:val="24"/>
          <w:lang w:val="en-US" w:eastAsia="zh-CN"/>
        </w:rPr>
        <w:t>视为无效响应文件。本项目专门面向中小企业，</w:t>
      </w:r>
      <w:r>
        <w:rPr>
          <w:rFonts w:hint="eastAsia" w:asciiTheme="minorEastAsia" w:hAnsiTheme="minorEastAsia" w:eastAsiaTheme="minorEastAsia" w:cstheme="minorEastAsia"/>
          <w:b/>
          <w:bCs/>
          <w:sz w:val="24"/>
          <w:szCs w:val="24"/>
        </w:rPr>
        <w:t>不能享受磋商文件规定的价格扣除。</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监狱企业应符合《财政部司法部关于政府采购支持监狱企业发展有关问题的通知》（财库〔2014〕68号）文件规定，并提供由省级以上监狱管理局、戒毒管理局(含新疆生产建设兵团)出具的属于监狱企业的证明文件复印件，监狱和戒毒供应商视同小型、微型企业。</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根据财政部、民政部、中国残疾人联合会下发的《关于促进残疾人就业政府采购政策的通知》（财库〔2017〕141号）的规定，残疾人福利性单位提供本单位制造的货物、承担的工程或者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参加政府采购活动的残疾人单位应提供《残疾人福利性单位声明函》原件。未提供上述声明函原件，不能享受招标文件规定的价格扣除，但不影响投标文件的有效性。</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根据财政部、国家发改委、生态环境部、市场监管总局联合印发《关于调整优化节能产品、环境标志产品政府采购执行机制的通知》（财库〔2019〕9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根据国务院办公厅《关于建立政府强制采购节能产品制度的通知》（国办发〔2007〕51号）有关要求，在技术、服务等指标满足采购需求的前提下，要优先采购节能产品，对部分节能效果、性能等达到要求的产品，实行强制采购。</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6、节能产品政府采购品目清单详见财政部、发展改革委《关于印发节能产品政府采购品目清单的通知》（财库〔2019〕19号）。</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7、环境标志产品政府采购品目清单详见财政部、生态环境部《关于印发环境标志产品政府采购品目清单的通知》（财库〔2019〕18号）。</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8、国家确定的节能产品、环境标志产品认证机构详见市场监管总局《关于发布参与实施政府采购节能产品、环境标志产品认证机构名录的公告》（2019年第16号）。</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根据《财政部农业农村部国家乡村振兴局关于运用政府采购政策支持乡村产业振兴的通知》（财库〔2021〕19号），自2021年起，各级预算单位应当按照不低于10%的比例预留年度食堂食材采购份额，通过脱贫地区农副产品网络销售平台采购脱贫地区农副产品。</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根据《财政部农业农村部国家乡村振兴局中华全国供销合作总社关于印发&lt;关于深入开展政府采购脱贫地区农副产品工作推进乡村产业振兴的实施意见&gt;的通知》（财库〔2021〕20号），各级预算单位要按照不低于10%的预留比例在“832平台”填报预留份额。鼓励各级预算单位工会组织通过“832平台”采购工会福利、慰问品等，有关采购金额计入本单位年度采购总额。</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根据《陕西省财政厅关于加快推进我省中小企业政府采购信用融资工作的通知》（陕财办采〔2020〕15号）规定“有融资需求的供应商可根据自身情况，在陕西省政府采购信用融资平台（含各市分平台）自主选择金融机构及其融资产品，凭政府采购中标（成交）通知书或政府采购合同向金融机构提出融资申请。”</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jc w:val="left"/>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根据陕西省财政厅关于印发《陕西省中小企业政府采购信用融资办法》（陕财办采〔2018〕23号）规定“中小企业可根据各银行提供的方案，自行选择符合自身情况的金融产品，并根据方案中列明的联系方式和要求向相关银行提出信用融资申请。银行根据中小企业的申请开展尽职调查，合理确定融资授信额度。中小企业获得政府采购合同后，凭政府采购合同向银行提出融资申请。”（陕西省政府采购信用融资平台：http://www.ccgp-shaanxi.gov.cn/zcdservice/zcd/shanxi/）。</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sz w:val="24"/>
          <w:szCs w:val="24"/>
        </w:rPr>
        <w:t>本项目采购标的对应的</w:t>
      </w:r>
      <w:r>
        <w:rPr>
          <w:rFonts w:hint="eastAsia" w:asciiTheme="minorEastAsia" w:hAnsiTheme="minorEastAsia" w:eastAsiaTheme="minorEastAsia" w:cstheme="minorEastAsia"/>
          <w:sz w:val="24"/>
          <w:szCs w:val="24"/>
          <w:lang w:val="en-US" w:eastAsia="zh-CN"/>
        </w:rPr>
        <w:t>中小</w:t>
      </w:r>
      <w:r>
        <w:rPr>
          <w:rFonts w:hint="eastAsia" w:asciiTheme="minorEastAsia" w:hAnsiTheme="minorEastAsia" w:eastAsiaTheme="minorEastAsia" w:cstheme="minorEastAsia"/>
          <w:sz w:val="24"/>
          <w:szCs w:val="24"/>
        </w:rPr>
        <w:t>企业划分标准所属行业为</w:t>
      </w:r>
      <w:r>
        <w:rPr>
          <w:rFonts w:hint="eastAsia" w:asciiTheme="minorEastAsia" w:hAnsiTheme="minorEastAsia" w:eastAsiaTheme="minorEastAsia" w:cstheme="minorEastAsia"/>
          <w:b/>
          <w:bCs/>
          <w:sz w:val="24"/>
          <w:szCs w:val="24"/>
        </w:rPr>
        <w:t>物业管理</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val="en-US" w:eastAsia="zh-CN"/>
        </w:rPr>
        <w:t>均不享受价格折扣，</w:t>
      </w:r>
      <w:r>
        <w:rPr>
          <w:rFonts w:hint="eastAsia" w:asciiTheme="minorEastAsia" w:hAnsiTheme="minorEastAsia" w:eastAsiaTheme="minorEastAsia" w:cstheme="minorEastAsia"/>
          <w:b/>
          <w:bCs/>
          <w:sz w:val="24"/>
          <w:szCs w:val="24"/>
        </w:rPr>
        <w:t>未提供中小企业声明函的</w:t>
      </w:r>
      <w:r>
        <w:rPr>
          <w:rFonts w:hint="eastAsia" w:asciiTheme="minorEastAsia" w:hAnsiTheme="minorEastAsia" w:eastAsiaTheme="minorEastAsia" w:cstheme="minorEastAsia"/>
          <w:b/>
          <w:bCs/>
          <w:sz w:val="24"/>
          <w:szCs w:val="24"/>
          <w:lang w:val="en-US" w:eastAsia="zh-CN"/>
        </w:rPr>
        <w:t>视为无效投标</w:t>
      </w:r>
      <w:r>
        <w:rPr>
          <w:rFonts w:hint="eastAsia" w:asciiTheme="minorEastAsia" w:hAnsiTheme="minorEastAsia" w:eastAsiaTheme="minorEastAsia" w:cstheme="minorEastAsia"/>
          <w:b/>
          <w:bCs/>
          <w:sz w:val="24"/>
          <w:szCs w:val="24"/>
        </w:rPr>
        <w:t>。</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w:t>
      </w:r>
      <w:r>
        <w:rPr>
          <w:rFonts w:hint="eastAsia" w:asciiTheme="minorEastAsia" w:hAnsiTheme="minorEastAsia" w:cstheme="minorEastAsia"/>
          <w:sz w:val="24"/>
          <w:szCs w:val="24"/>
          <w:highlight w:val="none"/>
          <w:lang w:val="en-US" w:eastAsia="zh-CN"/>
        </w:rPr>
        <w:t>七</w:t>
      </w:r>
      <w:r>
        <w:rPr>
          <w:rFonts w:hint="eastAsia" w:asciiTheme="minorEastAsia" w:hAnsiTheme="minorEastAsia" w:eastAsiaTheme="minorEastAsia" w:cstheme="minorEastAsia"/>
          <w:sz w:val="24"/>
          <w:szCs w:val="24"/>
          <w:highlight w:val="none"/>
        </w:rPr>
        <w:t>）关于产品和服务</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所有产品必须具有在中国境内法定许可的生产及销售资格，且为全新原厂制造，其核心关键部分为近10个月内所生产的非淘汰类产品；属于《中华人民共和国实施强制性产品认证的产品目录》的产品，就不能提供超出此目录范畴外的替代品，此外，还须同时具备国家认监委颁布《中国强制认证》（CCC认证）。</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采购的产品属于政府采购节能产品、环境标志产品品目清单范围的，供应商需提供国家确定的认证机构出具的、处于有效期之内的节能产品、环境标志产品认证证书，对获得证书的产品实施政府优先采购或强制采购。</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主机设备要有标准配置清单，使用操作及安全须知等重要资料应附有中文说明；国内制造的产品必须同时具备出厂合格证和相关检测报告。购置的计算机设备必须配有正版合法的经采购人认可的操作系统和软件。</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根据《政府采购进口产品管理办法》（财库〔2007〕119号）与《关于政府采购进口产品管理有关问题的通知》（财办库[2008]248号）的有关规定，未经核准同意，供应商磋商时必须提供本国产品，供应商以进口产品参与磋商的，将作无效磋商处理。</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5、如磋商文件中已说明，经政府采购管理部门审核同意，允许部分或全部产品采购进口产品，供应商既可提供本国产品，也可以提供进口产品。</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在提供的进口产品中，优先采购向我国供应商转让技术、与我国供应商签订消化吸收再创新方案的供应商的进口产品。进口产品必须同时具备原产地证明、中国商检证明及合法进货渠道全套单证。</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如采购的产品属于列入《网络关键设备和网络安全专用产品目录》（如目录有更新，以最新的为准）的网络安全专用产品的，供应商应当提供经安全检测或安全认证的产品或已经获得《计算机信息系统安全专用产品销售许可证》且尚在有效期内的产品。</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w:t>
      </w:r>
      <w:r>
        <w:rPr>
          <w:rFonts w:hint="eastAsia" w:asciiTheme="minorEastAsia" w:hAnsiTheme="minorEastAsia" w:cstheme="minorEastAsia"/>
          <w:sz w:val="24"/>
          <w:szCs w:val="24"/>
          <w:lang w:val="en-US" w:eastAsia="zh-CN"/>
        </w:rPr>
        <w:t>八</w:t>
      </w:r>
      <w:r>
        <w:rPr>
          <w:rFonts w:hint="eastAsia" w:asciiTheme="minorEastAsia" w:hAnsiTheme="minorEastAsia" w:eastAsiaTheme="minorEastAsia" w:cstheme="minorEastAsia"/>
          <w:sz w:val="24"/>
          <w:szCs w:val="24"/>
        </w:rPr>
        <w:t>）关于同一品牌产品的处理</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单一产品采购项目中，提供相同品牌的产品的不同供应商参加同一合同项下投标的，提供相同品牌产品且通过资格审查、符合性审查的不同供应商，按一家供应商计算，评审后得分最高的同品牌供应商获得成交供应商推荐资格；评审得分相同的，由磋商小组按照最后报价最低的方式确定一个获得成交供应商推荐资格，其他同品牌供应商不作为成交候选人。</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非单一产品采购项目，采购人将根据采购项目技术构成、产品价格比重等因素确定核心产品（可能不止一种），并在磋商文件中载明。提供相同品牌的核心产品且通过资格审查、符合性审查的不同供应商参加同一合同项下投标的，按一家供应商计算，评审后得分最高的同品牌供应商获得成交供应商推荐资格；评审得分相同的，由磋商小组按照最后报价最低的方式确定一个获得成交供应商推荐资格，其他同品牌供应商不作为成交候选人。</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3、核心产品为两个以上时，多家供应商提供的核心产品有部分采用或全部采用相同品牌的，按一家供应商计算。</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w:t>
      </w:r>
      <w:r>
        <w:rPr>
          <w:rFonts w:hint="eastAsia" w:asciiTheme="minorEastAsia" w:hAnsiTheme="minorEastAsia" w:cstheme="minorEastAsia"/>
          <w:sz w:val="24"/>
          <w:szCs w:val="24"/>
          <w:lang w:val="en-US" w:eastAsia="zh-CN"/>
        </w:rPr>
        <w:t>九</w:t>
      </w:r>
      <w:r>
        <w:rPr>
          <w:rFonts w:hint="eastAsia" w:asciiTheme="minorEastAsia" w:hAnsiTheme="minorEastAsia" w:eastAsiaTheme="minorEastAsia" w:cstheme="minorEastAsia"/>
          <w:sz w:val="24"/>
          <w:szCs w:val="24"/>
        </w:rPr>
        <w:t>）知识产权与保密事项</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1、所有涉及知识产权的产品及设计，供应商必须确保采购人拥有其合法的、不受限制的无偿使用权，并免受任何侵权诉讼或索偿，否则，由此产生的一切经济损失和法律责任由供应商承担。</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由采购人向供应商提供的用户需求书、图纸、样品、模型、模件和所有资料，供应商获得后，应对其保密。除非采购人同意，供应商不得向第三方透露或将其用于本次磋商以外的任何用途。开标后，若采购人有要求，供应商须归还采购人认为需保密的文件和资料，并销毁所有相应的备份文件及资料。</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w:t>
      </w:r>
      <w:r>
        <w:rPr>
          <w:rFonts w:hint="eastAsia" w:asciiTheme="minorEastAsia" w:hAnsiTheme="minorEastAsia" w:cstheme="minorEastAsia"/>
          <w:sz w:val="24"/>
          <w:szCs w:val="24"/>
          <w:lang w:val="en-US" w:eastAsia="zh-CN"/>
        </w:rPr>
        <w:t>十</w:t>
      </w:r>
      <w:r>
        <w:rPr>
          <w:rFonts w:hint="eastAsia" w:asciiTheme="minorEastAsia" w:hAnsiTheme="minorEastAsia" w:eastAsiaTheme="minorEastAsia" w:cstheme="minorEastAsia"/>
          <w:sz w:val="24"/>
          <w:szCs w:val="24"/>
        </w:rPr>
        <w:t>）供应商的磋商费用自理</w:t>
      </w:r>
    </w:p>
    <w:p>
      <w:pPr>
        <w:keepNext w:val="0"/>
        <w:keepLines w:val="0"/>
        <w:pageBreakBefore w:val="0"/>
        <w:widowControl w:val="0"/>
        <w:shd w:val="clear"/>
        <w:kinsoku/>
        <w:wordWrap/>
        <w:overflowPunct/>
        <w:topLinePunct w:val="0"/>
        <w:autoSpaceDE/>
        <w:autoSpaceDN/>
        <w:bidi w:val="0"/>
        <w:adjustRightInd/>
        <w:snapToGrid/>
        <w:spacing w:line="570" w:lineRule="exact"/>
        <w:ind w:left="0" w:leftChars="0" w:firstLine="422" w:firstLineChars="175"/>
        <w:textAlignment w:val="auto"/>
        <w:outlineLvl w:val="9"/>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三、磋商文件</w:t>
      </w:r>
    </w:p>
    <w:p>
      <w:pPr>
        <w:keepNext w:val="0"/>
        <w:keepLines w:val="0"/>
        <w:pageBreakBefore w:val="0"/>
        <w:widowControl w:val="0"/>
        <w:shd w:val="clear"/>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（一）磋商文件包括下列内容</w:t>
      </w:r>
    </w:p>
    <w:p>
      <w:pPr>
        <w:keepNext w:val="0"/>
        <w:keepLines w:val="0"/>
        <w:pageBreakBefore w:val="0"/>
        <w:widowControl w:val="0"/>
        <w:shd w:val="clear"/>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第一章</w:t>
      </w: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rPr>
        <w:t>磋商邀请函</w:t>
      </w:r>
    </w:p>
    <w:p>
      <w:pPr>
        <w:keepNext w:val="0"/>
        <w:keepLines w:val="0"/>
        <w:pageBreakBefore w:val="0"/>
        <w:widowControl w:val="0"/>
        <w:shd w:val="clear"/>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第二章</w:t>
      </w: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rPr>
        <w:t>供应商须知</w:t>
      </w:r>
    </w:p>
    <w:p>
      <w:pPr>
        <w:keepNext w:val="0"/>
        <w:keepLines w:val="0"/>
        <w:pageBreakBefore w:val="0"/>
        <w:widowControl w:val="0"/>
        <w:shd w:val="clear"/>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第三章</w:t>
      </w: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rPr>
        <w:t>磋商内容及采购要求</w:t>
      </w:r>
    </w:p>
    <w:p>
      <w:pPr>
        <w:keepNext w:val="0"/>
        <w:keepLines w:val="0"/>
        <w:pageBreakBefore w:val="0"/>
        <w:widowControl w:val="0"/>
        <w:shd w:val="clear"/>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第四章</w:t>
      </w: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rPr>
        <w:t>合同草案条款</w:t>
      </w:r>
    </w:p>
    <w:p>
      <w:pPr>
        <w:keepNext w:val="0"/>
        <w:keepLines w:val="0"/>
        <w:pageBreakBefore w:val="0"/>
        <w:widowControl w:val="0"/>
        <w:shd w:val="clear"/>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第五章</w:t>
      </w: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rPr>
        <w:t>响应文件构成及格式</w:t>
      </w:r>
    </w:p>
    <w:p>
      <w:pPr>
        <w:keepNext w:val="0"/>
        <w:keepLines w:val="0"/>
        <w:pageBreakBefore w:val="0"/>
        <w:widowControl w:val="0"/>
        <w:shd w:val="clear"/>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（二）磋商文件的检查及阅读</w:t>
      </w:r>
    </w:p>
    <w:p>
      <w:pPr>
        <w:keepNext w:val="0"/>
        <w:keepLines w:val="0"/>
        <w:pageBreakBefore w:val="0"/>
        <w:widowControl w:val="0"/>
        <w:shd w:val="clear"/>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供应商下载磋商文件后应仔细阅读检查磋商文件中的所有内容，按照磋商文件中所列事项、条款、规范要求及格式，在响应文件中对磋商文件做出全面的响应，并按磋商文件的要求提交全部资料。</w:t>
      </w:r>
    </w:p>
    <w:p>
      <w:pPr>
        <w:keepNext w:val="0"/>
        <w:keepLines w:val="0"/>
        <w:pageBreakBefore w:val="0"/>
        <w:widowControl w:val="0"/>
        <w:shd w:val="clear"/>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项目废标后重新组织招标的，</w:t>
      </w:r>
      <w:r>
        <w:rPr>
          <w:rFonts w:hint="eastAsia" w:asciiTheme="minorEastAsia" w:hAnsiTheme="minorEastAsia" w:eastAsiaTheme="minorEastAsia" w:cstheme="minorEastAsia"/>
          <w:sz w:val="24"/>
          <w:szCs w:val="24"/>
          <w:highlight w:val="none"/>
          <w:lang w:eastAsia="zh-CN"/>
        </w:rPr>
        <w:t>咸阳市秦都区政府采购中心</w:t>
      </w:r>
      <w:r>
        <w:rPr>
          <w:rFonts w:hint="eastAsia" w:asciiTheme="minorEastAsia" w:hAnsiTheme="minorEastAsia" w:eastAsiaTheme="minorEastAsia" w:cstheme="minorEastAsia"/>
          <w:sz w:val="24"/>
          <w:szCs w:val="24"/>
          <w:highlight w:val="none"/>
        </w:rPr>
        <w:t>将重新编制、发布新版磋商文件，供应商应按新版磋商文件重新编制响应文件。原磋商文件及响应文件失效。</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2" w:firstLineChars="175"/>
        <w:textAlignment w:val="auto"/>
        <w:outlineLvl w:val="9"/>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响应文件封面、响应函以及法定代表人授权委托书三处的项目名称、项目编号、标段（如有）应当与最新发布的磋商文件保持一致，否则将被视为无效响应文件。</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（三）磋商文件的修改、澄清</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1、在提交响应文件截止之日前，</w:t>
      </w:r>
      <w:r>
        <w:rPr>
          <w:rFonts w:hint="eastAsia" w:asciiTheme="minorEastAsia" w:hAnsiTheme="minorEastAsia" w:eastAsiaTheme="minorEastAsia" w:cstheme="minorEastAsia"/>
          <w:sz w:val="24"/>
          <w:szCs w:val="24"/>
          <w:lang w:eastAsia="zh-CN"/>
        </w:rPr>
        <w:t>咸阳市秦都区政府采购中心</w:t>
      </w:r>
      <w:r>
        <w:rPr>
          <w:rFonts w:hint="eastAsia" w:asciiTheme="minorEastAsia" w:hAnsiTheme="minorEastAsia" w:eastAsiaTheme="minorEastAsia" w:cstheme="minorEastAsia"/>
          <w:sz w:val="24"/>
          <w:szCs w:val="24"/>
        </w:rPr>
        <w:t>可对已发出的磋商文件进行必要的澄清或者修改，澄清或者修改的内容作为磋商文件的组成部分。澄清或者修改的内容可能影响响应文件编制的，</w:t>
      </w:r>
      <w:r>
        <w:rPr>
          <w:rFonts w:hint="eastAsia" w:asciiTheme="minorEastAsia" w:hAnsiTheme="minorEastAsia" w:eastAsiaTheme="minorEastAsia" w:cstheme="minorEastAsia"/>
          <w:sz w:val="24"/>
          <w:szCs w:val="24"/>
          <w:lang w:val="en-US" w:eastAsia="zh-CN"/>
        </w:rPr>
        <w:t>咸阳市秦都区</w:t>
      </w:r>
      <w:r>
        <w:rPr>
          <w:rFonts w:hint="eastAsia" w:asciiTheme="minorEastAsia" w:hAnsiTheme="minorEastAsia" w:eastAsiaTheme="minorEastAsia" w:cstheme="minorEastAsia"/>
          <w:sz w:val="24"/>
          <w:szCs w:val="24"/>
        </w:rPr>
        <w:t>政府采购中心将在提交响应文件截止之日至少5日前，在财政部门指定的政府采购信息发布媒体上发布更正公告；不足5日，</w:t>
      </w:r>
      <w:r>
        <w:rPr>
          <w:rFonts w:hint="eastAsia" w:asciiTheme="minorEastAsia" w:hAnsiTheme="minorEastAsia" w:eastAsiaTheme="minorEastAsia" w:cstheme="minorEastAsia"/>
          <w:sz w:val="24"/>
          <w:szCs w:val="24"/>
          <w:lang w:val="en-US" w:eastAsia="zh-CN"/>
        </w:rPr>
        <w:t>咸阳市秦都区</w:t>
      </w:r>
      <w:r>
        <w:rPr>
          <w:rFonts w:hint="eastAsia" w:asciiTheme="minorEastAsia" w:hAnsiTheme="minorEastAsia" w:eastAsiaTheme="minorEastAsia" w:cstheme="minorEastAsia"/>
          <w:sz w:val="24"/>
          <w:szCs w:val="24"/>
        </w:rPr>
        <w:t>政府采购中心将顺延提交响应文件的截止时间。</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2、供应商对磋商文件提出质疑的，应在获取磋商文件之日起起7个工作日内以书面形式提出，采购人以书面形式予以答复；在此之后提出的针对磋商文件的质疑为无效质疑。答复的内容可能影响响应文件编制的，</w:t>
      </w:r>
      <w:r>
        <w:rPr>
          <w:rFonts w:hint="eastAsia" w:asciiTheme="minorEastAsia" w:hAnsiTheme="minorEastAsia" w:eastAsiaTheme="minorEastAsia" w:cstheme="minorEastAsia"/>
          <w:sz w:val="24"/>
          <w:szCs w:val="24"/>
          <w:lang w:val="en-US" w:eastAsia="zh-CN"/>
        </w:rPr>
        <w:t>咸阳市秦都区</w:t>
      </w:r>
      <w:r>
        <w:rPr>
          <w:rFonts w:hint="eastAsia" w:asciiTheme="minorEastAsia" w:hAnsiTheme="minorEastAsia" w:eastAsiaTheme="minorEastAsia" w:cstheme="minorEastAsia"/>
          <w:sz w:val="24"/>
          <w:szCs w:val="24"/>
        </w:rPr>
        <w:t>政府采购中心将在财政部门指定的政府采购信息发布媒体上发布更正公告。</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3、各供应商在提交响应文件截止时间之前，应随时关注</w:t>
      </w:r>
      <w:r>
        <w:rPr>
          <w:rFonts w:hint="eastAsia" w:asciiTheme="minorEastAsia" w:hAnsiTheme="minorEastAsia" w:cstheme="minorEastAsia"/>
          <w:sz w:val="24"/>
          <w:szCs w:val="24"/>
          <w:lang w:val="en-US" w:eastAsia="zh-CN"/>
        </w:rPr>
        <w:t>项目</w:t>
      </w:r>
      <w:r>
        <w:rPr>
          <w:rFonts w:hint="eastAsia" w:asciiTheme="minorEastAsia" w:hAnsiTheme="minorEastAsia" w:eastAsiaTheme="minorEastAsia" w:cstheme="minorEastAsia"/>
          <w:sz w:val="24"/>
          <w:szCs w:val="24"/>
        </w:rPr>
        <w:t>发布的变更公告，也可登录全国公共资源交易平台（陕西省</w:t>
      </w:r>
      <w:r>
        <w:rPr>
          <w:rFonts w:hint="eastAsia" w:asciiTheme="minorEastAsia" w:hAnsiTheme="minorEastAsia" w:eastAsiaTheme="minorEastAsia" w:cstheme="minorEastAsia"/>
          <w:sz w:val="24"/>
          <w:szCs w:val="24"/>
          <w:lang w:val="en-US" w:eastAsia="zh-CN"/>
        </w:rPr>
        <w:t>咸阳市</w:t>
      </w:r>
      <w:r>
        <w:rPr>
          <w:rFonts w:hint="eastAsia" w:asciiTheme="minorEastAsia" w:hAnsiTheme="minorEastAsia" w:eastAsiaTheme="minorEastAsia" w:cstheme="minorEastAsia"/>
          <w:sz w:val="24"/>
          <w:szCs w:val="24"/>
        </w:rPr>
        <w:t>）政府采购交易系统查看左上角的信息提醒，</w:t>
      </w:r>
      <w:r>
        <w:rPr>
          <w:rFonts w:hint="eastAsia" w:asciiTheme="minorEastAsia" w:hAnsiTheme="minorEastAsia" w:eastAsiaTheme="minorEastAsia" w:cstheme="minorEastAsia"/>
          <w:sz w:val="24"/>
          <w:szCs w:val="24"/>
          <w:lang w:eastAsia="zh-CN"/>
        </w:rPr>
        <w:t>咸阳市秦都区政府采购中心</w:t>
      </w:r>
      <w:r>
        <w:rPr>
          <w:rFonts w:hint="eastAsia" w:asciiTheme="minorEastAsia" w:hAnsiTheme="minorEastAsia" w:eastAsiaTheme="minorEastAsia" w:cstheme="minorEastAsia"/>
          <w:sz w:val="24"/>
          <w:szCs w:val="24"/>
        </w:rPr>
        <w:t>不再单独通知，</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因供应商未及时关注所造成的一切后果由供应商自行承担：</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（四）磋商文件的解释权归</w:t>
      </w:r>
      <w:r>
        <w:rPr>
          <w:rFonts w:hint="eastAsia" w:asciiTheme="minorEastAsia" w:hAnsiTheme="minorEastAsia" w:eastAsiaTheme="minorEastAsia" w:cstheme="minorEastAsia"/>
          <w:sz w:val="24"/>
          <w:szCs w:val="24"/>
          <w:lang w:eastAsia="zh-CN"/>
        </w:rPr>
        <w:t>咸阳市秦都区政府采购中心</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四、磋商报价</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磋商报价是供应商响应本项目要求的全部工作内容的价格体现，包括完成采购内容所需的直接费、间接费、利润、税金及其它相关的一切费用。供应商在报价时应充分考虑所有可能发生的费用，磋商文件未列明，而供应商认为应当计取的费用均应列入报价中。报价时不论是否计取，采购人均按已计取对待。</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（一）供应商应按照《响应文件构成及格式》中《第一次磋商报价表》中的相关要求填写需要响应的内容。</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rPr>
        <w:t>（二）磋商报价采取多轮报价的办法，最后报价作为计算价格分值的依据。供应商应在磋商当天，磋商小组规定的报价时间内，使用制作响应文件的数字认证证书（CA锁）登录全国公共资源交易平台（陕西省</w:t>
      </w:r>
      <w:r>
        <w:rPr>
          <w:rFonts w:hint="eastAsia" w:asciiTheme="minorEastAsia" w:hAnsiTheme="minorEastAsia" w:cstheme="minorEastAsia"/>
          <w:sz w:val="24"/>
          <w:szCs w:val="24"/>
          <w:lang w:val="en-US" w:eastAsia="zh-CN"/>
        </w:rPr>
        <w:t>咸阳市</w:t>
      </w:r>
      <w:r>
        <w:rPr>
          <w:rFonts w:hint="eastAsia" w:asciiTheme="minorEastAsia" w:hAnsiTheme="minorEastAsia" w:eastAsiaTheme="minorEastAsia" w:cstheme="minorEastAsia"/>
          <w:sz w:val="24"/>
          <w:szCs w:val="24"/>
        </w:rPr>
        <w:t>）网站找到本次磋</w:t>
      </w:r>
      <w:r>
        <w:rPr>
          <w:rFonts w:hint="eastAsia" w:asciiTheme="minorEastAsia" w:hAnsiTheme="minorEastAsia" w:eastAsiaTheme="minorEastAsia" w:cstheme="minorEastAsia"/>
          <w:sz w:val="24"/>
          <w:szCs w:val="24"/>
          <w:highlight w:val="none"/>
        </w:rPr>
        <w:t>商的项目，填写最后报价表，签章并提交。</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highlight w:val="none"/>
        </w:rPr>
        <w:t>（三）如采购内容无实质性变更，各供应商的报价应</w:t>
      </w:r>
      <w:r>
        <w:rPr>
          <w:rFonts w:hint="eastAsia" w:asciiTheme="minorEastAsia" w:hAnsiTheme="minorEastAsia" w:cstheme="minorEastAsia"/>
          <w:sz w:val="24"/>
          <w:szCs w:val="24"/>
          <w:highlight w:val="none"/>
          <w:lang w:val="en-US" w:eastAsia="zh-CN"/>
        </w:rPr>
        <w:t>不高于上次报价</w:t>
      </w:r>
      <w:r>
        <w:rPr>
          <w:rFonts w:hint="eastAsia" w:asciiTheme="minorEastAsia" w:hAnsiTheme="minorEastAsia" w:eastAsiaTheme="minorEastAsia" w:cstheme="minorEastAsia"/>
          <w:sz w:val="24"/>
          <w:szCs w:val="24"/>
          <w:highlight w:val="none"/>
        </w:rPr>
        <w:t>，本次报价超过采购预算或磋商文件规定的最高限价的，按无效响应处理；本次报价超过上次报价但未超过采购预算或磋商文件规定的最高限价的，或在规定时间内最后报价未提交、提交不成功的均为无效报价，按无效响应处理。</w:t>
      </w:r>
      <w:r>
        <w:rPr>
          <w:rFonts w:hint="eastAsia" w:asciiTheme="minorEastAsia" w:hAnsiTheme="minorEastAsia" w:eastAsiaTheme="minorEastAsia" w:cstheme="minorEastAsia"/>
          <w:sz w:val="24"/>
          <w:szCs w:val="24"/>
        </w:rPr>
        <w:t>“规定时间”由现场工作人员具体确定。</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供应商最终报价较首次报价降价的，成交后，签订合同时应按照成交价较首次报价的下浮比率修改分项报价表中的相应报价。</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（四）磋商报价货币：人民币；单位：元（报价最多保留至小数点后两位）。</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（五）磋商报价大小写不一致的以大写为准。</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（六）因供应商对磋商文件理解不透、误解、疏漏或对市场行情了解不清造成的后果和风险，均由供应商自己负责。</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五、响应文件的编制及递交</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（一）电子</w:t>
      </w:r>
      <w:r>
        <w:rPr>
          <w:rFonts w:hint="eastAsia" w:asciiTheme="minorEastAsia" w:hAnsiTheme="minorEastAsia" w:cstheme="minorEastAsia"/>
          <w:sz w:val="24"/>
          <w:szCs w:val="24"/>
          <w:highlight w:val="none"/>
          <w:lang w:val="en-US" w:eastAsia="zh-CN"/>
        </w:rPr>
        <w:t>响应</w:t>
      </w:r>
      <w:r>
        <w:rPr>
          <w:rFonts w:hint="eastAsia" w:asciiTheme="minorEastAsia" w:hAnsiTheme="minorEastAsia" w:eastAsiaTheme="minorEastAsia" w:cstheme="minorEastAsia"/>
          <w:sz w:val="24"/>
          <w:szCs w:val="24"/>
          <w:highlight w:val="none"/>
        </w:rPr>
        <w:t>文件</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制作电子投标文件。供应商须在“全国公共资源交易中心平台（陕西省）（http://www.sxggzyjy.cn/）”的“服务指南”栏目“下载专区”中，免费下载“陕西省公共资源交易平台政府采购电子标书制作工具”，并升级至最新版本，使用该客户端制作电子投标文件，制作扩展名为“.SXSTF”的电子投标文件。”</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递交电子投标文件。登录全国公共资源交易中心平台（陕西省）（http://www.sxggzyjy.cn/），选择“电子交易平台—陕西公共资源交易系统—企业端”进行登录，登录后选择“交易中标供应商”身份进入，进入菜单“采购业务—我的项目——项目流程——上传响应文件”，上传加密的电子投标文件。上传成功后，电子化平台将予以记录。</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3、电子</w:t>
      </w:r>
      <w:r>
        <w:rPr>
          <w:rFonts w:hint="eastAsia" w:asciiTheme="minorEastAsia" w:hAnsiTheme="minorEastAsia" w:cstheme="minorEastAsia"/>
          <w:sz w:val="24"/>
          <w:szCs w:val="24"/>
          <w:lang w:val="en-US" w:eastAsia="zh-CN"/>
        </w:rPr>
        <w:t>响应</w:t>
      </w:r>
      <w:r>
        <w:rPr>
          <w:rFonts w:hint="eastAsia" w:asciiTheme="minorEastAsia" w:hAnsiTheme="minorEastAsia" w:eastAsiaTheme="minorEastAsia" w:cstheme="minorEastAsia"/>
          <w:sz w:val="24"/>
          <w:szCs w:val="24"/>
        </w:rPr>
        <w:t>文件中需要法定代表人签字或盖章的地方，请使用“法人CA”进行签章；需要加盖服务商公章的地方，请使用“企业CA”进行盖章。加密和解密应当使用同一CA，否则将会导致解密失败。如因供应商自身原因（加密和解密使用的CA锁不一致、沿用旧版招标文件编制</w:t>
      </w:r>
      <w:r>
        <w:rPr>
          <w:rFonts w:hint="eastAsia" w:asciiTheme="minorEastAsia" w:hAnsiTheme="minorEastAsia" w:cstheme="minorEastAsia"/>
          <w:sz w:val="24"/>
          <w:szCs w:val="24"/>
          <w:lang w:val="en-US" w:eastAsia="zh-CN"/>
        </w:rPr>
        <w:t>响应</w:t>
      </w:r>
      <w:r>
        <w:rPr>
          <w:rFonts w:hint="eastAsia" w:asciiTheme="minorEastAsia" w:hAnsiTheme="minorEastAsia" w:eastAsiaTheme="minorEastAsia" w:cstheme="minorEastAsia"/>
          <w:sz w:val="24"/>
          <w:szCs w:val="24"/>
        </w:rPr>
        <w:t>文件、供应商拒绝解密、逾期提交电子投标文件等）造成无法解密投标文件的；电子</w:t>
      </w:r>
      <w:r>
        <w:rPr>
          <w:rFonts w:hint="eastAsia" w:asciiTheme="minorEastAsia" w:hAnsiTheme="minorEastAsia" w:cstheme="minorEastAsia"/>
          <w:sz w:val="24"/>
          <w:szCs w:val="24"/>
          <w:lang w:val="en-US" w:eastAsia="zh-CN"/>
        </w:rPr>
        <w:t>响应</w:t>
      </w:r>
      <w:r>
        <w:rPr>
          <w:rFonts w:hint="eastAsia" w:asciiTheme="minorEastAsia" w:hAnsiTheme="minorEastAsia" w:eastAsiaTheme="minorEastAsia" w:cstheme="minorEastAsia"/>
          <w:sz w:val="24"/>
          <w:szCs w:val="24"/>
        </w:rPr>
        <w:t>文件无法打开的均按无效</w:t>
      </w:r>
      <w:r>
        <w:rPr>
          <w:rFonts w:hint="eastAsia" w:asciiTheme="minorEastAsia" w:hAnsiTheme="minorEastAsia" w:cstheme="minorEastAsia"/>
          <w:sz w:val="24"/>
          <w:szCs w:val="24"/>
          <w:lang w:val="en-US" w:eastAsia="zh-CN"/>
        </w:rPr>
        <w:t>响应</w:t>
      </w:r>
      <w:r>
        <w:rPr>
          <w:rFonts w:hint="eastAsia" w:asciiTheme="minorEastAsia" w:hAnsiTheme="minorEastAsia" w:eastAsiaTheme="minorEastAsia" w:cstheme="minorEastAsia"/>
          <w:sz w:val="24"/>
          <w:szCs w:val="24"/>
        </w:rPr>
        <w:t>对待。</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4、递交电子</w:t>
      </w:r>
      <w:r>
        <w:rPr>
          <w:rFonts w:hint="eastAsia" w:asciiTheme="minorEastAsia" w:hAnsiTheme="minorEastAsia" w:cstheme="minorEastAsia"/>
          <w:sz w:val="24"/>
          <w:szCs w:val="24"/>
          <w:lang w:val="en-US" w:eastAsia="zh-CN"/>
        </w:rPr>
        <w:t>响应</w:t>
      </w:r>
      <w:r>
        <w:rPr>
          <w:rFonts w:hint="eastAsia" w:asciiTheme="minorEastAsia" w:hAnsiTheme="minorEastAsia" w:eastAsiaTheme="minorEastAsia" w:cstheme="minorEastAsia"/>
          <w:sz w:val="24"/>
          <w:szCs w:val="24"/>
        </w:rPr>
        <w:t>文件。登录全国公共资源交易中心平台（陕西省）（http://www.sxggzyjy.cn/），选择“电子交易平台—陕西公共资源交易系统—企业端”进行登录，登录后选择“交易中标供应商”身份进入，进入菜单“采购业务—我的项目——项目流程——上传响应文件”，上传加密的电子投标文件。上传成功后，电子化平台将予以记录。</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w:t>
      </w:r>
      <w:r>
        <w:rPr>
          <w:rFonts w:hint="eastAsia" w:asciiTheme="minorEastAsia" w:hAnsiTheme="minorEastAsia" w:cstheme="minorEastAsia"/>
          <w:sz w:val="24"/>
          <w:szCs w:val="24"/>
          <w:lang w:val="en-US" w:eastAsia="zh-CN"/>
        </w:rPr>
        <w:t>响应</w:t>
      </w:r>
      <w:r>
        <w:rPr>
          <w:rFonts w:hint="eastAsia" w:asciiTheme="minorEastAsia" w:hAnsiTheme="minorEastAsia" w:eastAsiaTheme="minorEastAsia" w:cstheme="minorEastAsia"/>
          <w:sz w:val="24"/>
          <w:szCs w:val="24"/>
        </w:rPr>
        <w:t>文件的撤回、补充和修改</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供应商在递交</w:t>
      </w:r>
      <w:r>
        <w:rPr>
          <w:rFonts w:hint="eastAsia" w:asciiTheme="minorEastAsia" w:hAnsiTheme="minorEastAsia" w:cstheme="minorEastAsia"/>
          <w:sz w:val="24"/>
          <w:szCs w:val="24"/>
          <w:lang w:val="en-US" w:eastAsia="zh-CN"/>
        </w:rPr>
        <w:t>响应</w:t>
      </w:r>
      <w:r>
        <w:rPr>
          <w:rFonts w:hint="eastAsia" w:asciiTheme="minorEastAsia" w:hAnsiTheme="minorEastAsia" w:eastAsiaTheme="minorEastAsia" w:cstheme="minorEastAsia"/>
          <w:sz w:val="24"/>
          <w:szCs w:val="24"/>
        </w:rPr>
        <w:t>文件后，且在提交投标文件截止时间前，可以对所提交的</w:t>
      </w:r>
      <w:r>
        <w:rPr>
          <w:rFonts w:hint="eastAsia" w:asciiTheme="minorEastAsia" w:hAnsiTheme="minorEastAsia" w:cstheme="minorEastAsia"/>
          <w:sz w:val="24"/>
          <w:szCs w:val="24"/>
          <w:lang w:val="en-US" w:eastAsia="zh-CN"/>
        </w:rPr>
        <w:t>响应</w:t>
      </w:r>
      <w:r>
        <w:rPr>
          <w:rFonts w:hint="eastAsia" w:asciiTheme="minorEastAsia" w:hAnsiTheme="minorEastAsia" w:eastAsiaTheme="minorEastAsia" w:cstheme="minorEastAsia"/>
          <w:sz w:val="24"/>
          <w:szCs w:val="24"/>
        </w:rPr>
        <w:t>文件进行撤回、补充或修改。对电子</w:t>
      </w:r>
      <w:r>
        <w:rPr>
          <w:rFonts w:hint="eastAsia" w:asciiTheme="minorEastAsia" w:hAnsiTheme="minorEastAsia" w:cstheme="minorEastAsia"/>
          <w:sz w:val="24"/>
          <w:szCs w:val="24"/>
          <w:lang w:val="en-US" w:eastAsia="zh-CN"/>
        </w:rPr>
        <w:t>响应</w:t>
      </w:r>
      <w:r>
        <w:rPr>
          <w:rFonts w:hint="eastAsia" w:asciiTheme="minorEastAsia" w:hAnsiTheme="minorEastAsia" w:eastAsiaTheme="minorEastAsia" w:cstheme="minorEastAsia"/>
          <w:sz w:val="24"/>
          <w:szCs w:val="24"/>
        </w:rPr>
        <w:t>文件进行补充、修改的，应先从电子交易平台上撤回旧版，再重新提交新版。</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（二）纸质投标文件</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sz w:val="24"/>
          <w:szCs w:val="24"/>
        </w:rPr>
        <w:t>1、投标供应商无需提交纸质投标文件，待项目成交采购结果公布后，由中标供应商补交一正两副纸质投标文件用于备案</w:t>
      </w:r>
      <w:r>
        <w:rPr>
          <w:rFonts w:hint="eastAsia" w:asciiTheme="minorEastAsia" w:hAnsiTheme="minorEastAsia" w:eastAsiaTheme="minorEastAsia" w:cstheme="minorEastAsia"/>
          <w:b/>
          <w:bCs/>
          <w:sz w:val="24"/>
          <w:szCs w:val="24"/>
        </w:rPr>
        <w:t>（正本留秦都区政府采购中心，副本留采购单位）。</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2、纸质投标文件的式样</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采用电子化投标的采购项目，其纸质投标文件应从政府采购项目投标文件制作软件中导出后进行印刷（导出文件中字迹、图片等模糊不清的部分，供应商需自行替换为清晰的文件），项目分标段的，应按所投标段分别准备投标文件。</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2.2供应商应按照规范要求，</w:t>
      </w:r>
      <w:r>
        <w:rPr>
          <w:rFonts w:hint="eastAsia" w:asciiTheme="minorEastAsia" w:hAnsiTheme="minorEastAsia" w:eastAsiaTheme="minorEastAsia" w:cstheme="minorEastAsia"/>
          <w:b/>
          <w:bCs/>
          <w:sz w:val="24"/>
          <w:szCs w:val="24"/>
        </w:rPr>
        <w:t>准备纸质版</w:t>
      </w:r>
      <w:r>
        <w:rPr>
          <w:rFonts w:hint="eastAsia" w:asciiTheme="minorEastAsia" w:hAnsiTheme="minorEastAsia" w:cstheme="minorEastAsia"/>
          <w:b/>
          <w:bCs/>
          <w:sz w:val="24"/>
          <w:szCs w:val="24"/>
          <w:lang w:val="en-US" w:eastAsia="zh-CN"/>
        </w:rPr>
        <w:t>响应</w:t>
      </w:r>
      <w:r>
        <w:rPr>
          <w:rFonts w:hint="eastAsia" w:asciiTheme="minorEastAsia" w:hAnsiTheme="minorEastAsia" w:eastAsiaTheme="minorEastAsia" w:cstheme="minorEastAsia"/>
          <w:b/>
          <w:bCs/>
          <w:sz w:val="24"/>
          <w:szCs w:val="24"/>
        </w:rPr>
        <w:t>文件（正本一份、副本两份）</w:t>
      </w:r>
      <w:r>
        <w:rPr>
          <w:rFonts w:hint="eastAsia" w:asciiTheme="minorEastAsia" w:hAnsiTheme="minorEastAsia" w:eastAsiaTheme="minorEastAsia" w:cstheme="minorEastAsia"/>
          <w:sz w:val="24"/>
          <w:szCs w:val="24"/>
        </w:rPr>
        <w:t>。每套投标文件须清楚地标明“</w:t>
      </w:r>
      <w:r>
        <w:rPr>
          <w:rFonts w:hint="eastAsia" w:asciiTheme="minorEastAsia" w:hAnsiTheme="minorEastAsia" w:eastAsiaTheme="minorEastAsia" w:cstheme="minorEastAsia"/>
          <w:b/>
          <w:bCs/>
          <w:sz w:val="24"/>
          <w:szCs w:val="24"/>
        </w:rPr>
        <w:t>正本”“副本”</w:t>
      </w:r>
      <w:r>
        <w:rPr>
          <w:rFonts w:hint="eastAsia" w:asciiTheme="minorEastAsia" w:hAnsiTheme="minorEastAsia" w:eastAsiaTheme="minorEastAsia" w:cstheme="minorEastAsia"/>
          <w:sz w:val="24"/>
          <w:szCs w:val="24"/>
        </w:rPr>
        <w:t>的字样，以示区别。一旦正本和副本不符，以正本为准。</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2.3投标文件一律采用采用纸质封面（不得使用亮片、封面压膜、塑料胶面）。胶装方式左侧装订，响应文件正本和副本必须统一使用A4幅面纸打印（其中资质、证明、授权为A4幅面纸张，图纸不受纸张幅面大小限制但必须折叠成A4幅面，资质、证明、授权、图纸不受双面打印或复印要求，可以采用插页），纸质文件应编制从第一页进行数字“1”开始的连续页码（插页可以不编页码）及文件目录（并编制对应页码）。</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2.4纸质投标文件的正本和所有的副本均需打印或用不退色墨水书写。</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3、纸质投标文件的签署</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3.1纸质投标文件应由供应商的法定代表人或被授权人</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鲜章。被授权人须将以书面形式出具的“法人授权书”附在投标文件中。</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3.2除供应商对错、漏处作必要修改外，全套文件应无涂改或行间插字和增删。所作修改之处，必须有法定代表人或被授权人签字才有效。</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w:t>
      </w:r>
      <w:r>
        <w:rPr>
          <w:rFonts w:hint="eastAsia" w:asciiTheme="minorEastAsia" w:hAnsiTheme="minorEastAsia" w:cstheme="minorEastAsia"/>
          <w:sz w:val="24"/>
          <w:szCs w:val="24"/>
          <w:lang w:val="en-US" w:eastAsia="zh-CN"/>
        </w:rPr>
        <w:t>三</w:t>
      </w:r>
      <w:r>
        <w:rPr>
          <w:rFonts w:hint="eastAsia" w:asciiTheme="minorEastAsia" w:hAnsiTheme="minorEastAsia" w:eastAsiaTheme="minorEastAsia" w:cstheme="minorEastAsia"/>
          <w:sz w:val="24"/>
          <w:szCs w:val="24"/>
        </w:rPr>
        <w:t>）供应商提交响应文件时，出现下列情况之一的，其响应文件将被拒绝接收：</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1、逾期提交电子响应文件；</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2、提交的电子响应文件与本项目不相符的。</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六、开启响应文件</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w:t>
      </w:r>
      <w:r>
        <w:rPr>
          <w:rFonts w:hint="eastAsia" w:asciiTheme="minorEastAsia" w:hAnsiTheme="minorEastAsia" w:eastAsiaTheme="minorEastAsia" w:cstheme="minorEastAsia"/>
          <w:sz w:val="24"/>
          <w:szCs w:val="24"/>
          <w:lang w:eastAsia="zh-CN"/>
        </w:rPr>
        <w:t>咸阳市秦都区政府采购中心</w:t>
      </w:r>
      <w:r>
        <w:rPr>
          <w:rFonts w:hint="eastAsia" w:asciiTheme="minorEastAsia" w:hAnsiTheme="minorEastAsia" w:eastAsiaTheme="minorEastAsia" w:cstheme="minorEastAsia"/>
          <w:sz w:val="24"/>
          <w:szCs w:val="24"/>
        </w:rPr>
        <w:t>组织开标、评审工作，整个过程受政府采购监管机构的监督、管理。</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（二）</w:t>
      </w:r>
      <w:r>
        <w:rPr>
          <w:rFonts w:hint="eastAsia" w:asciiTheme="minorEastAsia" w:hAnsiTheme="minorEastAsia" w:eastAsiaTheme="minorEastAsia" w:cstheme="minorEastAsia"/>
          <w:sz w:val="24"/>
          <w:szCs w:val="24"/>
          <w:lang w:eastAsia="zh-CN"/>
        </w:rPr>
        <w:t>咸阳市秦都区政府采购中心在磋商文件规定的时间和地点组织开标。</w:t>
      </w:r>
      <w:r>
        <w:rPr>
          <w:rFonts w:hint="default" w:asciiTheme="minorEastAsia" w:hAnsiTheme="minorEastAsia" w:eastAsiaTheme="minorEastAsia" w:cstheme="minorEastAsia"/>
          <w:sz w:val="24"/>
          <w:szCs w:val="24"/>
          <w:lang w:eastAsia="zh-CN"/>
        </w:rPr>
        <w:t>该项目将采取“不见面”开标的形式，供应商无须到达开标现场，即可在网上直接参与开标活动。</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参加磋商的供应商不足3家的，不得开启。</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（三）开启时，</w:t>
      </w:r>
      <w:r>
        <w:rPr>
          <w:rFonts w:hint="eastAsia" w:asciiTheme="minorEastAsia" w:hAnsiTheme="minorEastAsia" w:eastAsiaTheme="minorEastAsia" w:cstheme="minorEastAsia"/>
          <w:sz w:val="24"/>
          <w:szCs w:val="24"/>
          <w:lang w:eastAsia="zh-CN"/>
        </w:rPr>
        <w:t>咸阳市秦都区政府采购中心</w:t>
      </w:r>
      <w:r>
        <w:rPr>
          <w:rFonts w:hint="eastAsia" w:asciiTheme="minorEastAsia" w:hAnsiTheme="minorEastAsia" w:eastAsiaTheme="minorEastAsia" w:cstheme="minorEastAsia"/>
          <w:sz w:val="24"/>
          <w:szCs w:val="24"/>
        </w:rPr>
        <w:t>现场工作人员将根据项目供应商数约定解密时长，供应商应在规定时间内，使用电子响应文件加密时所用的数字认证证书（CA锁）在开标室的解密机上自行解密电子响应文件。未在规定时间内解密的，视为响应无效。</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（四）供应商对开启过程有疑义，以及认为采购人、</w:t>
      </w:r>
      <w:r>
        <w:rPr>
          <w:rFonts w:hint="eastAsia" w:asciiTheme="minorEastAsia" w:hAnsiTheme="minorEastAsia" w:eastAsiaTheme="minorEastAsia" w:cstheme="minorEastAsia"/>
          <w:sz w:val="24"/>
          <w:szCs w:val="24"/>
          <w:lang w:eastAsia="zh-CN"/>
        </w:rPr>
        <w:t>咸阳市秦都区政府</w:t>
      </w:r>
      <w:r>
        <w:rPr>
          <w:rFonts w:hint="eastAsia" w:asciiTheme="minorEastAsia" w:hAnsiTheme="minorEastAsia" w:eastAsiaTheme="minorEastAsia" w:cstheme="minorEastAsia"/>
          <w:sz w:val="24"/>
          <w:szCs w:val="24"/>
        </w:rPr>
        <w:t>采购中心相关工作人员有需要回避情形的，应在开标现场提出询问或回避申请，采购人、</w:t>
      </w:r>
      <w:r>
        <w:rPr>
          <w:rFonts w:hint="eastAsia" w:asciiTheme="minorEastAsia" w:hAnsiTheme="minorEastAsia" w:eastAsiaTheme="minorEastAsia" w:cstheme="minorEastAsia"/>
          <w:sz w:val="24"/>
          <w:szCs w:val="24"/>
          <w:lang w:eastAsia="zh-CN"/>
        </w:rPr>
        <w:t>咸阳市秦都区政府采购中心</w:t>
      </w:r>
      <w:r>
        <w:rPr>
          <w:rFonts w:hint="eastAsia" w:asciiTheme="minorEastAsia" w:hAnsiTheme="minorEastAsia" w:eastAsiaTheme="minorEastAsia" w:cstheme="minorEastAsia"/>
          <w:sz w:val="24"/>
          <w:szCs w:val="24"/>
        </w:rPr>
        <w:t>应当及时处理。</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（五）供应商未参加开标的，视同认可开启结果。</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（六）在开启环节出现下列情况之一的，其响应文件视为无效文件：</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1、供应商拒绝对电子响应文件进行解密的；</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2、因供应商自身原因（如解密时使用的CA锁与制作电子响应文件使用的CA锁不一致、或沿用旧版磋商文件编制响应文件等情形），导致在规定时间内无法解密响应文件的；</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3、上传的电子响应文件无法打开的；</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4、政府采购法律法规规定的其他无效情形。</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（七）特殊情形下的应急处置</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在开启、评审过程中，如因停电、断网、电子化系统故障等特殊原因导致电子化开、评审无法正常进行时，将视响应文件解密情况特殊处理。</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1、开启时响应文件未解密的，将另行确定时间继续完成开标程序；</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2、开启后响应文件已解密但评审结论未形成的，将发布废标公告，重新组织采购活动；</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3、开启后响应文件已解密且评审结论已形成的，待特殊情况排除后，继续完成评审活动。</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七、组织评审</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（一）采购代理机构负责组织评审工作，并履行下列职责</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1、核对评审专家身份和采购人代表授权函，对评审专家在政府采购活动中的职责履行情况予以记录，并及时将有关违法违规行为向财政部门报告；</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2、宣布评审纪律；</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3、公布供应商名单，告知评审专家应当回避的情形；</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4、组织磋商小组推选评审组长，采购人代表不得担任组长;</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5、在评审期间采取必要的通讯管理措施，保证评审活动不受外界干扰；</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6、根据磋商小组的要求介绍政府采购相关政策法规、磋商文件；</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7、维护评审秩序，监督磋商小组依照磋商文件规定的评审程序、方法和标准进行独立评审，及时制止和纠正采购人代表、评审专家的倾向性言论或者违法违规行为；</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8、核对评审结果；</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9、评审工作完成后，按照规定向评审专家支付劳务报酬和异地评审差旅费，不得向评审专家以外的其他人员支付评审劳务报酬；</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10、处理与评审有关的其他事项。</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采购人可以在评审前说明项目背景和采购需求，说明内容不得含有歧视性、倾向性意见，不得超出磋商文件所述范围。说明应当提交书面材料，并随磋商文件一并存档。</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（二）磋商小组负责具体评审事务，并独立履行下列职责：</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1、遵守评审工作纪律，不得泄露评审情况和评审中获悉的商业秘密；</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2、按照客观、公正、审慎的原则，根据磋商文件规定的评审程序、评审方法和评审标准进行独立评审；</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3、要求供应商对响应文件有关事项做出澄清或者说明；</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4、与供应商分别进行磋商；</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5、对响应文件进行比较和评价；</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6、确定成交候选人名单，以及根据采购人委托直接确定成交供应商；</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7、配合答复供应商的询问、质疑和投诉等事项，不得泄露评审文件、评审情况和在评审过程中获悉的商业秘密；</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8、向采购人、</w:t>
      </w:r>
      <w:r>
        <w:rPr>
          <w:rFonts w:hint="eastAsia" w:asciiTheme="minorEastAsia" w:hAnsiTheme="minorEastAsia" w:eastAsiaTheme="minorEastAsia" w:cstheme="minorEastAsia"/>
          <w:sz w:val="24"/>
          <w:szCs w:val="24"/>
          <w:lang w:eastAsia="zh-CN"/>
        </w:rPr>
        <w:t>咸阳市秦都区政府采购中心</w:t>
      </w:r>
      <w:r>
        <w:rPr>
          <w:rFonts w:hint="eastAsia" w:asciiTheme="minorEastAsia" w:hAnsiTheme="minorEastAsia" w:eastAsiaTheme="minorEastAsia" w:cstheme="minorEastAsia"/>
          <w:sz w:val="24"/>
          <w:szCs w:val="24"/>
        </w:rPr>
        <w:t>或者有关部门报告评审中发现的违法行为。</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（三）成立磋商小组</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1、为了确保磋商工作的公平、公正，依据政府采购法和政府采购相关法规、规章，成立磋商小组，磋商小组由采购人代表和评审专家共3人以上单数组成，其中评审专家人数不少于磋商小组成员总数的三分之二。</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评审专家对本单位的采购项目只能作为采购人代表参与评审。采购代理机构工作人员不得参加由本机构代理的政府采购项目的评审。</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磋商小组成员名单在评审结果公告前应当保密。</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评审专家将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采购项目，评审专家中应当包含1名法律专家。</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3、评审中因磋商小组成员缺席、回避或者健康等特殊原因导致磋商小组组成不符合规定的，</w:t>
      </w:r>
      <w:r>
        <w:rPr>
          <w:rFonts w:hint="eastAsia" w:asciiTheme="minorEastAsia" w:hAnsiTheme="minorEastAsia" w:eastAsiaTheme="minorEastAsia" w:cstheme="minorEastAsia"/>
          <w:sz w:val="24"/>
          <w:szCs w:val="24"/>
          <w:lang w:eastAsia="zh-CN"/>
        </w:rPr>
        <w:t>咸阳市秦都区政府采购中心</w:t>
      </w:r>
      <w:r>
        <w:rPr>
          <w:rFonts w:hint="eastAsia" w:asciiTheme="minorEastAsia" w:hAnsiTheme="minorEastAsia" w:eastAsiaTheme="minorEastAsia" w:cstheme="minorEastAsia"/>
          <w:sz w:val="24"/>
          <w:szCs w:val="24"/>
        </w:rPr>
        <w:t>应当依法补足后继续评审。被更换的磋商小组成员所做出的评审意见无效。无法及时补足磋商小组成员的，</w:t>
      </w:r>
      <w:r>
        <w:rPr>
          <w:rFonts w:hint="eastAsia" w:asciiTheme="minorEastAsia" w:hAnsiTheme="minorEastAsia" w:eastAsiaTheme="minorEastAsia" w:cstheme="minorEastAsia"/>
          <w:sz w:val="24"/>
          <w:szCs w:val="24"/>
          <w:lang w:eastAsia="zh-CN"/>
        </w:rPr>
        <w:t>咸阳市秦都区政府采购中心</w:t>
      </w:r>
      <w:r>
        <w:rPr>
          <w:rFonts w:hint="eastAsia" w:asciiTheme="minorEastAsia" w:hAnsiTheme="minorEastAsia" w:eastAsiaTheme="minorEastAsia" w:cstheme="minorEastAsia"/>
          <w:sz w:val="24"/>
          <w:szCs w:val="24"/>
        </w:rPr>
        <w:t>应当停止评审活动，封存所有响应文件和开标、评审资料，依法重新组建磋商小组进行评审。原磋商小组所做出的评审意见无效。</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咸阳市秦都区政府采购中心</w:t>
      </w:r>
      <w:r>
        <w:rPr>
          <w:rFonts w:hint="eastAsia" w:asciiTheme="minorEastAsia" w:hAnsiTheme="minorEastAsia" w:eastAsiaTheme="minorEastAsia" w:cstheme="minorEastAsia"/>
          <w:sz w:val="24"/>
          <w:szCs w:val="24"/>
        </w:rPr>
        <w:t>应当将变更、重新组建磋商小组的情况予以记录，并随磋商文件一并存档。</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（四）评审方法：综合评分法</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综合评分法，是指响应文件满足磋商文件全部实质性要求且按评审因素的量化指标评审得分最高的供应商为成交候选供应商的评审方法。</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（五）评审程序</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分步评审，每一步评审不符合磋商文件要求者，不得进入下一步评审，全部评审合格的供应商，进入最后的打分，最后按得分由高到低排序，推荐成交候选供应商。</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638" w:firstLineChars="266"/>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1、资格性审查</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638" w:firstLineChars="266"/>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开标结束后，磋商小组依据法律法规和磋商文件的规定，对响应文件中的供应商资格证明文件进行审查，以确定供应商是否具备磋商资格。</w:t>
      </w:r>
    </w:p>
    <w:p>
      <w:pPr>
        <w:jc w:val="center"/>
        <w:rPr>
          <w:rFonts w:hint="eastAsia" w:asciiTheme="minorEastAsia" w:hAnsiTheme="minorEastAsia" w:cstheme="minorEastAsia"/>
          <w:b/>
          <w:bCs/>
          <w:sz w:val="24"/>
          <w:szCs w:val="24"/>
          <w:lang w:val="en-US" w:eastAsia="zh-CN"/>
        </w:rPr>
      </w:pPr>
      <w:r>
        <w:rPr>
          <w:rFonts w:hint="eastAsia" w:asciiTheme="minorEastAsia" w:hAnsiTheme="minorEastAsia" w:eastAsiaTheme="minorEastAsia" w:cstheme="minorEastAsia"/>
          <w:b/>
          <w:bCs/>
          <w:sz w:val="24"/>
          <w:szCs w:val="24"/>
        </w:rPr>
        <w:t>资格性审查</w:t>
      </w:r>
      <w:r>
        <w:rPr>
          <w:rFonts w:hint="eastAsia" w:asciiTheme="minorEastAsia" w:hAnsiTheme="minorEastAsia" w:cstheme="minorEastAsia"/>
          <w:b/>
          <w:bCs/>
          <w:sz w:val="24"/>
          <w:szCs w:val="24"/>
          <w:lang w:val="en-US" w:eastAsia="zh-CN"/>
        </w:rPr>
        <w:t>表</w:t>
      </w:r>
    </w:p>
    <w:tbl>
      <w:tblPr>
        <w:tblStyle w:val="10"/>
        <w:tblW w:w="85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6"/>
        <w:gridCol w:w="1328"/>
        <w:gridCol w:w="4916"/>
        <w:gridCol w:w="794"/>
        <w:gridCol w:w="7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trPr>
        <w:tc>
          <w:tcPr>
            <w:tcW w:w="726" w:type="dxa"/>
            <w:vAlign w:val="center"/>
          </w:tcPr>
          <w:p>
            <w:pPr>
              <w:jc w:val="center"/>
              <w:rPr>
                <w:rFonts w:hint="eastAsia" w:asciiTheme="minorEastAsia" w:hAnsiTheme="minorEastAsia" w:eastAsiaTheme="minorEastAsia" w:cstheme="minorEastAsia"/>
                <w:b/>
                <w:bCs/>
                <w:sz w:val="18"/>
                <w:szCs w:val="18"/>
                <w:vertAlign w:val="baseline"/>
                <w:lang w:val="en-US" w:eastAsia="zh-CN"/>
              </w:rPr>
            </w:pPr>
            <w:r>
              <w:rPr>
                <w:rFonts w:hint="eastAsia" w:asciiTheme="minorEastAsia" w:hAnsiTheme="minorEastAsia" w:eastAsiaTheme="minorEastAsia" w:cstheme="minorEastAsia"/>
                <w:b/>
                <w:bCs/>
                <w:sz w:val="18"/>
                <w:szCs w:val="18"/>
                <w:vertAlign w:val="baseline"/>
                <w:lang w:val="en-US" w:eastAsia="zh-CN"/>
              </w:rPr>
              <w:t>序号</w:t>
            </w:r>
          </w:p>
        </w:tc>
        <w:tc>
          <w:tcPr>
            <w:tcW w:w="1328" w:type="dxa"/>
            <w:vAlign w:val="center"/>
          </w:tcPr>
          <w:p>
            <w:pPr>
              <w:jc w:val="center"/>
              <w:rPr>
                <w:rFonts w:hint="eastAsia" w:asciiTheme="minorEastAsia" w:hAnsiTheme="minorEastAsia" w:eastAsiaTheme="minorEastAsia" w:cstheme="minorEastAsia"/>
                <w:b/>
                <w:bCs/>
                <w:sz w:val="18"/>
                <w:szCs w:val="18"/>
                <w:vertAlign w:val="baseline"/>
                <w:lang w:val="en-US" w:eastAsia="zh-CN"/>
              </w:rPr>
            </w:pPr>
            <w:r>
              <w:rPr>
                <w:rFonts w:hint="eastAsia" w:asciiTheme="minorEastAsia" w:hAnsiTheme="minorEastAsia" w:eastAsiaTheme="minorEastAsia" w:cstheme="minorEastAsia"/>
                <w:b/>
                <w:bCs/>
                <w:sz w:val="18"/>
                <w:szCs w:val="18"/>
                <w:vertAlign w:val="baseline"/>
                <w:lang w:val="en-US" w:eastAsia="zh-CN"/>
              </w:rPr>
              <w:t>资格审查项</w:t>
            </w:r>
          </w:p>
        </w:tc>
        <w:tc>
          <w:tcPr>
            <w:tcW w:w="4916" w:type="dxa"/>
            <w:vAlign w:val="center"/>
          </w:tcPr>
          <w:p>
            <w:pPr>
              <w:jc w:val="center"/>
              <w:rPr>
                <w:rFonts w:hint="eastAsia" w:asciiTheme="minorEastAsia" w:hAnsiTheme="minorEastAsia" w:eastAsiaTheme="minorEastAsia" w:cstheme="minorEastAsia"/>
                <w:b/>
                <w:bCs/>
                <w:sz w:val="18"/>
                <w:szCs w:val="18"/>
                <w:vertAlign w:val="baseline"/>
                <w:lang w:val="en-US" w:eastAsia="zh-CN"/>
              </w:rPr>
            </w:pPr>
            <w:r>
              <w:rPr>
                <w:rFonts w:hint="eastAsia" w:asciiTheme="minorEastAsia" w:hAnsiTheme="minorEastAsia" w:eastAsiaTheme="minorEastAsia" w:cstheme="minorEastAsia"/>
                <w:b/>
                <w:bCs/>
                <w:sz w:val="18"/>
                <w:szCs w:val="18"/>
                <w:vertAlign w:val="baseline"/>
                <w:lang w:val="en-US" w:eastAsia="zh-CN"/>
              </w:rPr>
              <w:t>通过条件</w:t>
            </w:r>
          </w:p>
        </w:tc>
        <w:tc>
          <w:tcPr>
            <w:tcW w:w="794" w:type="dxa"/>
            <w:vAlign w:val="center"/>
          </w:tcPr>
          <w:p>
            <w:pPr>
              <w:jc w:val="center"/>
              <w:rPr>
                <w:rFonts w:hint="eastAsia" w:asciiTheme="minorEastAsia" w:hAnsiTheme="minorEastAsia" w:cstheme="minorEastAsia"/>
                <w:b/>
                <w:bCs/>
                <w:sz w:val="18"/>
                <w:szCs w:val="18"/>
                <w:vertAlign w:val="baseline"/>
                <w:lang w:val="en-US" w:eastAsia="zh-CN"/>
              </w:rPr>
            </w:pPr>
            <w:r>
              <w:rPr>
                <w:rFonts w:hint="eastAsia" w:asciiTheme="minorEastAsia" w:hAnsiTheme="minorEastAsia" w:cstheme="minorEastAsia"/>
                <w:b/>
                <w:bCs/>
                <w:sz w:val="18"/>
                <w:szCs w:val="18"/>
                <w:vertAlign w:val="baseline"/>
                <w:lang w:val="en-US" w:eastAsia="zh-CN"/>
              </w:rPr>
              <w:t>结论</w:t>
            </w:r>
          </w:p>
        </w:tc>
        <w:tc>
          <w:tcPr>
            <w:tcW w:w="793" w:type="dxa"/>
            <w:vAlign w:val="center"/>
          </w:tcPr>
          <w:p>
            <w:pPr>
              <w:jc w:val="center"/>
              <w:rPr>
                <w:rFonts w:hint="eastAsia" w:asciiTheme="minorEastAsia" w:hAnsiTheme="minorEastAsia" w:cstheme="minorEastAsia"/>
                <w:b/>
                <w:bCs/>
                <w:sz w:val="18"/>
                <w:szCs w:val="18"/>
                <w:vertAlign w:val="baseline"/>
                <w:lang w:val="en-US" w:eastAsia="zh-CN"/>
              </w:rPr>
            </w:pPr>
            <w:r>
              <w:rPr>
                <w:rFonts w:hint="eastAsia" w:asciiTheme="minorEastAsia" w:hAnsiTheme="minorEastAsia" w:cstheme="minorEastAsia"/>
                <w:b/>
                <w:bCs/>
                <w:sz w:val="18"/>
                <w:szCs w:val="18"/>
                <w:vertAlign w:val="baseline"/>
                <w:lang w:val="en-US" w:eastAsia="zh-CN"/>
              </w:rPr>
              <w:t>不通过原因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2" w:hRule="atLeast"/>
        </w:trPr>
        <w:tc>
          <w:tcPr>
            <w:tcW w:w="726" w:type="dxa"/>
            <w:vAlign w:val="center"/>
          </w:tcPr>
          <w:p>
            <w:pPr>
              <w:jc w:val="center"/>
              <w:rPr>
                <w:rFonts w:hint="default" w:asciiTheme="minorEastAsia" w:hAnsiTheme="minorEastAsia" w:eastAsiaTheme="minorEastAsia" w:cstheme="minorEastAsia"/>
                <w:sz w:val="18"/>
                <w:szCs w:val="18"/>
                <w:vertAlign w:val="baseline"/>
                <w:lang w:val="en-US" w:eastAsia="zh-CN"/>
              </w:rPr>
            </w:pPr>
            <w:r>
              <w:rPr>
                <w:rFonts w:hint="eastAsia" w:asciiTheme="minorEastAsia" w:hAnsiTheme="minorEastAsia" w:cstheme="minorEastAsia"/>
                <w:sz w:val="18"/>
                <w:szCs w:val="18"/>
                <w:vertAlign w:val="baseline"/>
                <w:lang w:val="en-US" w:eastAsia="zh-CN"/>
              </w:rPr>
              <w:t>1</w:t>
            </w:r>
          </w:p>
        </w:tc>
        <w:tc>
          <w:tcPr>
            <w:tcW w:w="1328" w:type="dxa"/>
            <w:vAlign w:val="center"/>
          </w:tcPr>
          <w:p>
            <w:pPr>
              <w:jc w:val="both"/>
              <w:rPr>
                <w:rFonts w:hint="eastAsia" w:asciiTheme="minorEastAsia" w:hAnsiTheme="minorEastAsia" w:eastAsiaTheme="minorEastAsia" w:cstheme="minorEastAsia"/>
                <w:sz w:val="18"/>
                <w:szCs w:val="18"/>
                <w:vertAlign w:val="baseline"/>
                <w:lang w:val="en-US" w:eastAsia="zh-CN"/>
              </w:rPr>
            </w:pPr>
            <w:r>
              <w:rPr>
                <w:rFonts w:hint="eastAsia" w:asciiTheme="minorEastAsia" w:hAnsiTheme="minorEastAsia" w:eastAsiaTheme="minorEastAsia" w:cstheme="minorEastAsia"/>
                <w:sz w:val="18"/>
                <w:szCs w:val="18"/>
              </w:rPr>
              <w:t>营业执照等主体资格证明文件</w:t>
            </w:r>
          </w:p>
        </w:tc>
        <w:tc>
          <w:tcPr>
            <w:tcW w:w="4916" w:type="dxa"/>
          </w:tcPr>
          <w:p>
            <w:pPr>
              <w:rPr>
                <w:rFonts w:hint="eastAsia" w:asciiTheme="minorEastAsia" w:hAnsiTheme="minorEastAsia" w:eastAsiaTheme="minorEastAsia" w:cstheme="minorEastAsia"/>
                <w:sz w:val="18"/>
                <w:szCs w:val="18"/>
                <w:vertAlign w:val="baseline"/>
                <w:lang w:val="en-US" w:eastAsia="zh-CN"/>
              </w:rPr>
            </w:pPr>
            <w:r>
              <w:rPr>
                <w:rFonts w:hint="eastAsia" w:asciiTheme="minorEastAsia" w:hAnsiTheme="minorEastAsia" w:eastAsiaTheme="minorEastAsia" w:cstheme="minorEastAsia"/>
                <w:sz w:val="18"/>
                <w:szCs w:val="18"/>
              </w:rPr>
              <w:t>提供有效存续的企业营业执照（副本）/事业单位法人证书/专业服务机构执业许可证/民办非企业单位登记证书。</w:t>
            </w:r>
          </w:p>
        </w:tc>
        <w:tc>
          <w:tcPr>
            <w:tcW w:w="794" w:type="dxa"/>
          </w:tcPr>
          <w:p>
            <w:pPr>
              <w:rPr>
                <w:rFonts w:hint="eastAsia" w:asciiTheme="minorEastAsia" w:hAnsiTheme="minorEastAsia" w:cstheme="minorEastAsia"/>
                <w:sz w:val="24"/>
                <w:szCs w:val="24"/>
                <w:vertAlign w:val="baseline"/>
                <w:lang w:val="en-US" w:eastAsia="zh-CN"/>
              </w:rPr>
            </w:pPr>
          </w:p>
        </w:tc>
        <w:tc>
          <w:tcPr>
            <w:tcW w:w="793" w:type="dxa"/>
          </w:tcPr>
          <w:p>
            <w:pPr>
              <w:rPr>
                <w:rFonts w:hint="eastAsia" w:asciiTheme="minorEastAsia" w:hAnsiTheme="minorEastAsia" w:cstheme="minorEastAsia"/>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5" w:hRule="atLeast"/>
        </w:trPr>
        <w:tc>
          <w:tcPr>
            <w:tcW w:w="726" w:type="dxa"/>
            <w:vAlign w:val="center"/>
          </w:tcPr>
          <w:p>
            <w:pPr>
              <w:jc w:val="center"/>
              <w:rPr>
                <w:rFonts w:hint="default" w:asciiTheme="minorEastAsia" w:hAnsiTheme="minorEastAsia" w:eastAsiaTheme="minorEastAsia" w:cstheme="minorEastAsia"/>
                <w:sz w:val="18"/>
                <w:szCs w:val="18"/>
                <w:vertAlign w:val="baseline"/>
                <w:lang w:val="en-US" w:eastAsia="zh-CN"/>
              </w:rPr>
            </w:pPr>
            <w:r>
              <w:rPr>
                <w:rFonts w:hint="eastAsia" w:asciiTheme="minorEastAsia" w:hAnsiTheme="minorEastAsia" w:cstheme="minorEastAsia"/>
                <w:sz w:val="18"/>
                <w:szCs w:val="18"/>
                <w:vertAlign w:val="baseline"/>
                <w:lang w:val="en-US" w:eastAsia="zh-CN"/>
              </w:rPr>
              <w:t>2</w:t>
            </w:r>
          </w:p>
        </w:tc>
        <w:tc>
          <w:tcPr>
            <w:tcW w:w="1328" w:type="dxa"/>
            <w:vAlign w:val="center"/>
          </w:tcPr>
          <w:p>
            <w:pPr>
              <w:jc w:val="both"/>
              <w:rPr>
                <w:rFonts w:hint="eastAsia" w:asciiTheme="minorEastAsia" w:hAnsiTheme="minorEastAsia" w:eastAsiaTheme="minorEastAsia" w:cstheme="minorEastAsia"/>
                <w:sz w:val="18"/>
                <w:szCs w:val="18"/>
                <w:vertAlign w:val="baseline"/>
                <w:lang w:val="en-US" w:eastAsia="zh-CN"/>
              </w:rPr>
            </w:pPr>
            <w:r>
              <w:rPr>
                <w:rFonts w:hint="eastAsia" w:asciiTheme="minorEastAsia" w:hAnsiTheme="minorEastAsia" w:eastAsiaTheme="minorEastAsia" w:cstheme="minorEastAsia"/>
                <w:sz w:val="18"/>
                <w:szCs w:val="18"/>
                <w:vertAlign w:val="baseline"/>
                <w:lang w:val="en-US" w:eastAsia="zh-CN"/>
              </w:rPr>
              <w:t>财务状况报告</w:t>
            </w:r>
          </w:p>
        </w:tc>
        <w:tc>
          <w:tcPr>
            <w:tcW w:w="4916" w:type="dxa"/>
          </w:tcPr>
          <w:p>
            <w:pPr>
              <w:rPr>
                <w:rFonts w:hint="eastAsia" w:asciiTheme="minorEastAsia" w:hAnsiTheme="minorEastAsia" w:eastAsiaTheme="minorEastAsia" w:cstheme="minorEastAsia"/>
                <w:sz w:val="18"/>
                <w:szCs w:val="18"/>
                <w:vertAlign w:val="baseline"/>
                <w:lang w:val="en-US" w:eastAsia="zh-CN"/>
              </w:rPr>
            </w:pPr>
            <w:r>
              <w:rPr>
                <w:rFonts w:hint="eastAsia" w:asciiTheme="minorEastAsia" w:hAnsiTheme="minorEastAsia" w:eastAsiaTheme="minorEastAsia" w:cstheme="minorEastAsia"/>
                <w:sz w:val="18"/>
                <w:szCs w:val="18"/>
                <w:vertAlign w:val="baseline"/>
                <w:lang w:val="en-US" w:eastAsia="zh-CN"/>
              </w:rPr>
              <w:t>以下两种资料提供任意一种即可：</w:t>
            </w:r>
          </w:p>
          <w:p>
            <w:pPr>
              <w:rPr>
                <w:rFonts w:hint="eastAsia" w:asciiTheme="minorEastAsia" w:hAnsiTheme="minorEastAsia" w:eastAsiaTheme="minorEastAsia" w:cstheme="minorEastAsia"/>
                <w:sz w:val="18"/>
                <w:szCs w:val="18"/>
                <w:vertAlign w:val="baseline"/>
                <w:lang w:val="en-US" w:eastAsia="zh-CN"/>
              </w:rPr>
            </w:pPr>
            <w:r>
              <w:rPr>
                <w:rFonts w:hint="eastAsia" w:asciiTheme="minorEastAsia" w:hAnsiTheme="minorEastAsia" w:eastAsiaTheme="minorEastAsia" w:cstheme="minorEastAsia"/>
                <w:sz w:val="18"/>
                <w:szCs w:val="18"/>
                <w:vertAlign w:val="baseline"/>
                <w:lang w:val="en-US" w:eastAsia="zh-CN"/>
              </w:rPr>
              <w:t>（1）提供递交</w:t>
            </w:r>
            <w:r>
              <w:rPr>
                <w:rFonts w:hint="eastAsia" w:asciiTheme="minorEastAsia" w:hAnsiTheme="minorEastAsia" w:cstheme="minorEastAsia"/>
                <w:sz w:val="18"/>
                <w:szCs w:val="18"/>
                <w:vertAlign w:val="baseline"/>
                <w:lang w:val="en-US" w:eastAsia="zh-CN"/>
              </w:rPr>
              <w:t>2024或2025</w:t>
            </w:r>
            <w:r>
              <w:rPr>
                <w:rFonts w:hint="eastAsia" w:asciiTheme="minorEastAsia" w:hAnsiTheme="minorEastAsia" w:eastAsiaTheme="minorEastAsia" w:cstheme="minorEastAsia"/>
                <w:sz w:val="18"/>
                <w:szCs w:val="18"/>
                <w:vertAlign w:val="baseline"/>
                <w:lang w:val="en-US" w:eastAsia="zh-CN"/>
              </w:rPr>
              <w:t>年度经审计的财务报告（包括“四表一注”，即资产负债表、利润表、现金流量表、所有者权益变动表及其附注，符合《中小企业划型标准规定》的小型企业按照《小企业会计准则》执行。成立时间至提交磋商文件截止时间不足一年的可提供成立后任意时段的资产负债表），审计报告须具有注册会计师行业统一监管平台赋予的验证码；</w:t>
            </w:r>
          </w:p>
          <w:p>
            <w:pPr>
              <w:rPr>
                <w:rFonts w:hint="eastAsia" w:asciiTheme="minorEastAsia" w:hAnsiTheme="minorEastAsia" w:eastAsiaTheme="minorEastAsia" w:cstheme="minorEastAsia"/>
                <w:sz w:val="18"/>
                <w:szCs w:val="18"/>
                <w:vertAlign w:val="baseline"/>
                <w:lang w:val="en-US" w:eastAsia="zh-CN"/>
              </w:rPr>
            </w:pPr>
            <w:r>
              <w:rPr>
                <w:rFonts w:hint="eastAsia" w:asciiTheme="minorEastAsia" w:hAnsiTheme="minorEastAsia" w:eastAsiaTheme="minorEastAsia" w:cstheme="minorEastAsia"/>
                <w:sz w:val="18"/>
                <w:szCs w:val="18"/>
                <w:vertAlign w:val="baseline"/>
                <w:lang w:val="en-US" w:eastAsia="zh-CN"/>
              </w:rPr>
              <w:t>（2）其开标前三个月内基本开户银行出具的资信证明。</w:t>
            </w:r>
          </w:p>
        </w:tc>
        <w:tc>
          <w:tcPr>
            <w:tcW w:w="794" w:type="dxa"/>
          </w:tcPr>
          <w:p>
            <w:pPr>
              <w:rPr>
                <w:rFonts w:hint="eastAsia" w:asciiTheme="minorEastAsia" w:hAnsiTheme="minorEastAsia" w:cstheme="minorEastAsia"/>
                <w:sz w:val="24"/>
                <w:szCs w:val="24"/>
                <w:vertAlign w:val="baseline"/>
                <w:lang w:val="en-US" w:eastAsia="zh-CN"/>
              </w:rPr>
            </w:pPr>
          </w:p>
        </w:tc>
        <w:tc>
          <w:tcPr>
            <w:tcW w:w="793" w:type="dxa"/>
          </w:tcPr>
          <w:p>
            <w:pPr>
              <w:rPr>
                <w:rFonts w:hint="eastAsia" w:asciiTheme="minorEastAsia" w:hAnsiTheme="minorEastAsia" w:cstheme="minorEastAsia"/>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5" w:hRule="atLeast"/>
        </w:trPr>
        <w:tc>
          <w:tcPr>
            <w:tcW w:w="726" w:type="dxa"/>
            <w:vAlign w:val="center"/>
          </w:tcPr>
          <w:p>
            <w:pPr>
              <w:jc w:val="center"/>
              <w:rPr>
                <w:rFonts w:hint="default" w:asciiTheme="minorEastAsia" w:hAnsiTheme="minorEastAsia" w:eastAsiaTheme="minorEastAsia" w:cstheme="minorEastAsia"/>
                <w:sz w:val="18"/>
                <w:szCs w:val="18"/>
                <w:vertAlign w:val="baseline"/>
                <w:lang w:val="en-US" w:eastAsia="zh-CN"/>
              </w:rPr>
            </w:pPr>
            <w:r>
              <w:rPr>
                <w:rFonts w:hint="eastAsia" w:asciiTheme="minorEastAsia" w:hAnsiTheme="minorEastAsia" w:cstheme="minorEastAsia"/>
                <w:sz w:val="18"/>
                <w:szCs w:val="18"/>
                <w:vertAlign w:val="baseline"/>
                <w:lang w:val="en-US" w:eastAsia="zh-CN"/>
              </w:rPr>
              <w:t>3</w:t>
            </w:r>
          </w:p>
        </w:tc>
        <w:tc>
          <w:tcPr>
            <w:tcW w:w="1328" w:type="dxa"/>
            <w:vAlign w:val="center"/>
          </w:tcPr>
          <w:p>
            <w:pPr>
              <w:jc w:val="both"/>
              <w:rPr>
                <w:rFonts w:hint="eastAsia" w:asciiTheme="minorEastAsia" w:hAnsiTheme="minorEastAsia" w:eastAsiaTheme="minorEastAsia" w:cstheme="minorEastAsia"/>
                <w:sz w:val="18"/>
                <w:szCs w:val="18"/>
                <w:highlight w:val="none"/>
                <w:vertAlign w:val="baseline"/>
                <w:lang w:val="en-US" w:eastAsia="zh-CN"/>
              </w:rPr>
            </w:pPr>
            <w:r>
              <w:rPr>
                <w:rFonts w:hint="eastAsia" w:asciiTheme="minorEastAsia" w:hAnsiTheme="minorEastAsia" w:eastAsiaTheme="minorEastAsia" w:cstheme="minorEastAsia"/>
                <w:sz w:val="18"/>
                <w:szCs w:val="18"/>
                <w:highlight w:val="none"/>
                <w:vertAlign w:val="baseline"/>
                <w:lang w:val="en-US" w:eastAsia="zh-CN"/>
              </w:rPr>
              <w:t>社保缴纳证明</w:t>
            </w:r>
          </w:p>
        </w:tc>
        <w:tc>
          <w:tcPr>
            <w:tcW w:w="4916" w:type="dxa"/>
          </w:tcPr>
          <w:p>
            <w:pPr>
              <w:rPr>
                <w:rFonts w:hint="eastAsia" w:asciiTheme="minorEastAsia" w:hAnsiTheme="minorEastAsia" w:eastAsiaTheme="minorEastAsia" w:cstheme="minorEastAsia"/>
                <w:sz w:val="18"/>
                <w:szCs w:val="18"/>
                <w:highlight w:val="none"/>
                <w:vertAlign w:val="baseline"/>
                <w:lang w:val="en-US" w:eastAsia="zh-CN"/>
              </w:rPr>
            </w:pPr>
            <w:r>
              <w:rPr>
                <w:rFonts w:hint="eastAsia" w:asciiTheme="minorEastAsia" w:hAnsiTheme="minorEastAsia" w:eastAsiaTheme="minorEastAsia" w:cstheme="minorEastAsia"/>
                <w:sz w:val="18"/>
                <w:szCs w:val="18"/>
                <w:highlight w:val="none"/>
                <w:vertAlign w:val="baseline"/>
                <w:lang w:val="en-US" w:eastAsia="zh-CN"/>
              </w:rPr>
              <w:t>提供递交响应文件截止之日前</w:t>
            </w:r>
            <w:r>
              <w:rPr>
                <w:rFonts w:hint="eastAsia" w:asciiTheme="minorEastAsia" w:hAnsiTheme="minorEastAsia" w:cstheme="minorEastAsia"/>
                <w:sz w:val="18"/>
                <w:szCs w:val="18"/>
                <w:highlight w:val="none"/>
                <w:vertAlign w:val="baseline"/>
                <w:lang w:val="en-US" w:eastAsia="zh-CN"/>
              </w:rPr>
              <w:t>六个月</w:t>
            </w:r>
            <w:r>
              <w:rPr>
                <w:rFonts w:hint="eastAsia" w:asciiTheme="minorEastAsia" w:hAnsiTheme="minorEastAsia" w:eastAsiaTheme="minorEastAsia" w:cstheme="minorEastAsia"/>
                <w:sz w:val="18"/>
                <w:szCs w:val="18"/>
                <w:highlight w:val="none"/>
                <w:vertAlign w:val="baseline"/>
                <w:lang w:val="en-US" w:eastAsia="zh-CN"/>
              </w:rPr>
              <w:t>内任意一个月的社会保障资金缴存单据或社保机构开具的社会保险参保缴费情况证明。依法不需要缴纳社会保障资金的供应商应提供相关文件证明。</w:t>
            </w:r>
          </w:p>
        </w:tc>
        <w:tc>
          <w:tcPr>
            <w:tcW w:w="794" w:type="dxa"/>
          </w:tcPr>
          <w:p>
            <w:pPr>
              <w:rPr>
                <w:rFonts w:hint="eastAsia" w:asciiTheme="minorEastAsia" w:hAnsiTheme="minorEastAsia" w:cstheme="minorEastAsia"/>
                <w:sz w:val="24"/>
                <w:szCs w:val="24"/>
                <w:vertAlign w:val="baseline"/>
                <w:lang w:val="en-US" w:eastAsia="zh-CN"/>
              </w:rPr>
            </w:pPr>
          </w:p>
        </w:tc>
        <w:tc>
          <w:tcPr>
            <w:tcW w:w="793" w:type="dxa"/>
          </w:tcPr>
          <w:p>
            <w:pPr>
              <w:rPr>
                <w:rFonts w:hint="eastAsia" w:asciiTheme="minorEastAsia" w:hAnsiTheme="minorEastAsia" w:cstheme="minorEastAsia"/>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5" w:hRule="atLeast"/>
        </w:trPr>
        <w:tc>
          <w:tcPr>
            <w:tcW w:w="726" w:type="dxa"/>
            <w:vAlign w:val="center"/>
          </w:tcPr>
          <w:p>
            <w:pPr>
              <w:jc w:val="center"/>
              <w:rPr>
                <w:rFonts w:hint="default" w:asciiTheme="minorEastAsia" w:hAnsiTheme="minorEastAsia" w:eastAsiaTheme="minorEastAsia" w:cstheme="minorEastAsia"/>
                <w:sz w:val="18"/>
                <w:szCs w:val="18"/>
                <w:vertAlign w:val="baseline"/>
                <w:lang w:val="en-US" w:eastAsia="zh-CN"/>
              </w:rPr>
            </w:pPr>
            <w:r>
              <w:rPr>
                <w:rFonts w:hint="eastAsia" w:asciiTheme="minorEastAsia" w:hAnsiTheme="minorEastAsia" w:cstheme="minorEastAsia"/>
                <w:sz w:val="18"/>
                <w:szCs w:val="18"/>
                <w:vertAlign w:val="baseline"/>
                <w:lang w:val="en-US" w:eastAsia="zh-CN"/>
              </w:rPr>
              <w:t>4</w:t>
            </w:r>
          </w:p>
        </w:tc>
        <w:tc>
          <w:tcPr>
            <w:tcW w:w="1328" w:type="dxa"/>
            <w:vAlign w:val="center"/>
          </w:tcPr>
          <w:p>
            <w:pPr>
              <w:jc w:val="both"/>
              <w:rPr>
                <w:rFonts w:hint="eastAsia" w:asciiTheme="minorEastAsia" w:hAnsiTheme="minorEastAsia" w:eastAsiaTheme="minorEastAsia" w:cstheme="minorEastAsia"/>
                <w:sz w:val="18"/>
                <w:szCs w:val="18"/>
                <w:highlight w:val="none"/>
                <w:vertAlign w:val="baseline"/>
                <w:lang w:val="en-US" w:eastAsia="zh-CN"/>
              </w:rPr>
            </w:pPr>
            <w:r>
              <w:rPr>
                <w:rFonts w:hint="eastAsia" w:asciiTheme="minorEastAsia" w:hAnsiTheme="minorEastAsia" w:eastAsiaTheme="minorEastAsia" w:cstheme="minorEastAsia"/>
                <w:sz w:val="18"/>
                <w:szCs w:val="18"/>
                <w:highlight w:val="none"/>
                <w:vertAlign w:val="baseline"/>
                <w:lang w:val="en-US" w:eastAsia="zh-CN"/>
              </w:rPr>
              <w:t>税收缴纳证明</w:t>
            </w:r>
          </w:p>
        </w:tc>
        <w:tc>
          <w:tcPr>
            <w:tcW w:w="4916" w:type="dxa"/>
          </w:tcPr>
          <w:p>
            <w:pPr>
              <w:rPr>
                <w:rFonts w:hint="eastAsia" w:asciiTheme="minorEastAsia" w:hAnsiTheme="minorEastAsia" w:eastAsiaTheme="minorEastAsia" w:cstheme="minorEastAsia"/>
                <w:sz w:val="18"/>
                <w:szCs w:val="18"/>
                <w:highlight w:val="none"/>
                <w:vertAlign w:val="baseline"/>
                <w:lang w:val="en-US" w:eastAsia="zh-CN"/>
              </w:rPr>
            </w:pPr>
            <w:r>
              <w:rPr>
                <w:rFonts w:hint="eastAsia" w:asciiTheme="minorEastAsia" w:hAnsiTheme="minorEastAsia" w:eastAsiaTheme="minorEastAsia" w:cstheme="minorEastAsia"/>
                <w:sz w:val="18"/>
                <w:szCs w:val="18"/>
                <w:highlight w:val="none"/>
                <w:vertAlign w:val="baseline"/>
                <w:lang w:val="en-US" w:eastAsia="zh-CN"/>
              </w:rPr>
              <w:t>提供递交响应文件截止之日前</w:t>
            </w:r>
            <w:r>
              <w:rPr>
                <w:rFonts w:hint="eastAsia" w:asciiTheme="minorEastAsia" w:hAnsiTheme="minorEastAsia" w:cstheme="minorEastAsia"/>
                <w:sz w:val="18"/>
                <w:szCs w:val="18"/>
                <w:highlight w:val="none"/>
                <w:vertAlign w:val="baseline"/>
                <w:lang w:val="en-US" w:eastAsia="zh-CN"/>
              </w:rPr>
              <w:t>六个月</w:t>
            </w:r>
            <w:r>
              <w:rPr>
                <w:rFonts w:hint="eastAsia" w:asciiTheme="minorEastAsia" w:hAnsiTheme="minorEastAsia" w:eastAsiaTheme="minorEastAsia" w:cstheme="minorEastAsia"/>
                <w:sz w:val="18"/>
                <w:szCs w:val="18"/>
                <w:highlight w:val="none"/>
                <w:vertAlign w:val="baseline"/>
                <w:lang w:val="en-US" w:eastAsia="zh-CN"/>
              </w:rPr>
              <w:t>内任意一个月的依法缴纳税收的完税证明，完税证明应有税务机关或代收机关的公章或业务专用章。依法免税或无须缴纳税收的供应商，应提供相应证明文件。</w:t>
            </w:r>
          </w:p>
        </w:tc>
        <w:tc>
          <w:tcPr>
            <w:tcW w:w="794" w:type="dxa"/>
          </w:tcPr>
          <w:p>
            <w:pPr>
              <w:rPr>
                <w:rFonts w:hint="eastAsia" w:asciiTheme="minorEastAsia" w:hAnsiTheme="minorEastAsia" w:cstheme="minorEastAsia"/>
                <w:sz w:val="24"/>
                <w:szCs w:val="24"/>
                <w:vertAlign w:val="baseline"/>
                <w:lang w:val="en-US" w:eastAsia="zh-CN"/>
              </w:rPr>
            </w:pPr>
          </w:p>
        </w:tc>
        <w:tc>
          <w:tcPr>
            <w:tcW w:w="793" w:type="dxa"/>
          </w:tcPr>
          <w:p>
            <w:pPr>
              <w:rPr>
                <w:rFonts w:hint="eastAsia" w:asciiTheme="minorEastAsia" w:hAnsiTheme="minorEastAsia" w:cstheme="minorEastAsia"/>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9" w:hRule="atLeast"/>
        </w:trPr>
        <w:tc>
          <w:tcPr>
            <w:tcW w:w="726" w:type="dxa"/>
            <w:vAlign w:val="center"/>
          </w:tcPr>
          <w:p>
            <w:pPr>
              <w:jc w:val="center"/>
              <w:rPr>
                <w:rFonts w:hint="default" w:asciiTheme="minorEastAsia" w:hAnsiTheme="minorEastAsia" w:eastAsiaTheme="minorEastAsia" w:cstheme="minorEastAsia"/>
                <w:sz w:val="18"/>
                <w:szCs w:val="18"/>
                <w:vertAlign w:val="baseline"/>
                <w:lang w:val="en-US" w:eastAsia="zh-CN"/>
              </w:rPr>
            </w:pPr>
            <w:r>
              <w:rPr>
                <w:rFonts w:hint="eastAsia" w:asciiTheme="minorEastAsia" w:hAnsiTheme="minorEastAsia" w:cstheme="minorEastAsia"/>
                <w:sz w:val="18"/>
                <w:szCs w:val="18"/>
                <w:vertAlign w:val="baseline"/>
                <w:lang w:val="en-US" w:eastAsia="zh-CN"/>
              </w:rPr>
              <w:t>5</w:t>
            </w:r>
          </w:p>
        </w:tc>
        <w:tc>
          <w:tcPr>
            <w:tcW w:w="1328" w:type="dxa"/>
            <w:vAlign w:val="center"/>
          </w:tcPr>
          <w:p>
            <w:pPr>
              <w:jc w:val="both"/>
              <w:rPr>
                <w:rFonts w:hint="eastAsia" w:asciiTheme="minorEastAsia" w:hAnsiTheme="minorEastAsia" w:eastAsiaTheme="minorEastAsia" w:cstheme="minorEastAsia"/>
                <w:sz w:val="18"/>
                <w:szCs w:val="18"/>
                <w:vertAlign w:val="baseline"/>
                <w:lang w:val="en-US" w:eastAsia="zh-CN"/>
              </w:rPr>
            </w:pPr>
            <w:r>
              <w:rPr>
                <w:rFonts w:hint="eastAsia" w:asciiTheme="minorEastAsia" w:hAnsiTheme="minorEastAsia" w:eastAsiaTheme="minorEastAsia" w:cstheme="minorEastAsia"/>
                <w:sz w:val="18"/>
                <w:szCs w:val="18"/>
                <w:vertAlign w:val="baseline"/>
                <w:lang w:val="en-US" w:eastAsia="zh-CN"/>
              </w:rPr>
              <w:t>信用记录</w:t>
            </w:r>
          </w:p>
        </w:tc>
        <w:tc>
          <w:tcPr>
            <w:tcW w:w="4916" w:type="dxa"/>
          </w:tcPr>
          <w:p>
            <w:pPr>
              <w:rPr>
                <w:rFonts w:hint="eastAsia" w:asciiTheme="minorEastAsia" w:hAnsiTheme="minorEastAsia" w:eastAsiaTheme="minorEastAsia" w:cstheme="minorEastAsia"/>
                <w:sz w:val="18"/>
                <w:szCs w:val="18"/>
                <w:vertAlign w:val="baseline"/>
                <w:lang w:val="en-US" w:eastAsia="zh-CN"/>
              </w:rPr>
            </w:pPr>
            <w:r>
              <w:rPr>
                <w:rFonts w:hint="eastAsia" w:asciiTheme="minorEastAsia" w:hAnsiTheme="minorEastAsia" w:eastAsiaTheme="minorEastAsia" w:cstheme="minorEastAsia"/>
                <w:sz w:val="18"/>
                <w:szCs w:val="18"/>
                <w:vertAlign w:val="baseline"/>
                <w:lang w:val="en-US" w:eastAsia="zh-CN"/>
              </w:rPr>
              <w:t>提供《供应商信用记录书面声明函》。经查，供应商未被列入“信用中国”网站记录的“失信被执行人”或“重大税收违法案件当事人”名单；不处于“中国政府采购网”记录的“政府采购严重违法失信行为记录名单”中的禁止参加政府采购活动期间。</w:t>
            </w:r>
          </w:p>
        </w:tc>
        <w:tc>
          <w:tcPr>
            <w:tcW w:w="794" w:type="dxa"/>
          </w:tcPr>
          <w:p>
            <w:pPr>
              <w:rPr>
                <w:rFonts w:hint="eastAsia" w:asciiTheme="minorEastAsia" w:hAnsiTheme="minorEastAsia" w:cstheme="minorEastAsia"/>
                <w:sz w:val="24"/>
                <w:szCs w:val="24"/>
                <w:vertAlign w:val="baseline"/>
                <w:lang w:val="en-US" w:eastAsia="zh-CN"/>
              </w:rPr>
            </w:pPr>
          </w:p>
        </w:tc>
        <w:tc>
          <w:tcPr>
            <w:tcW w:w="793" w:type="dxa"/>
          </w:tcPr>
          <w:p>
            <w:pPr>
              <w:rPr>
                <w:rFonts w:hint="eastAsia" w:asciiTheme="minorEastAsia" w:hAnsiTheme="minorEastAsia" w:cstheme="minorEastAsia"/>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trPr>
        <w:tc>
          <w:tcPr>
            <w:tcW w:w="726" w:type="dxa"/>
            <w:vAlign w:val="center"/>
          </w:tcPr>
          <w:p>
            <w:pPr>
              <w:jc w:val="center"/>
              <w:rPr>
                <w:rFonts w:hint="default" w:asciiTheme="minorEastAsia" w:hAnsiTheme="minorEastAsia" w:eastAsiaTheme="minorEastAsia" w:cstheme="minorEastAsia"/>
                <w:sz w:val="18"/>
                <w:szCs w:val="18"/>
                <w:vertAlign w:val="baseline"/>
                <w:lang w:val="en-US" w:eastAsia="zh-CN"/>
              </w:rPr>
            </w:pPr>
            <w:r>
              <w:rPr>
                <w:rFonts w:hint="eastAsia" w:asciiTheme="minorEastAsia" w:hAnsiTheme="minorEastAsia" w:cstheme="minorEastAsia"/>
                <w:sz w:val="18"/>
                <w:szCs w:val="18"/>
                <w:vertAlign w:val="baseline"/>
                <w:lang w:val="en-US" w:eastAsia="zh-CN"/>
              </w:rPr>
              <w:t>6</w:t>
            </w:r>
          </w:p>
        </w:tc>
        <w:tc>
          <w:tcPr>
            <w:tcW w:w="1328" w:type="dxa"/>
            <w:vAlign w:val="center"/>
          </w:tcPr>
          <w:p>
            <w:pPr>
              <w:jc w:val="both"/>
              <w:rPr>
                <w:rFonts w:hint="eastAsia" w:asciiTheme="minorEastAsia" w:hAnsiTheme="minorEastAsia" w:eastAsiaTheme="minorEastAsia" w:cstheme="minorEastAsia"/>
                <w:sz w:val="18"/>
                <w:szCs w:val="18"/>
                <w:vertAlign w:val="baseline"/>
                <w:lang w:val="en-US" w:eastAsia="zh-CN"/>
              </w:rPr>
            </w:pPr>
            <w:r>
              <w:rPr>
                <w:rFonts w:hint="eastAsia" w:asciiTheme="minorEastAsia" w:hAnsiTheme="minorEastAsia" w:eastAsiaTheme="minorEastAsia" w:cstheme="minorEastAsia"/>
                <w:sz w:val="18"/>
                <w:szCs w:val="18"/>
                <w:vertAlign w:val="baseline"/>
                <w:lang w:val="en-US" w:eastAsia="zh-CN"/>
              </w:rPr>
              <w:t>控股管理关系</w:t>
            </w:r>
          </w:p>
        </w:tc>
        <w:tc>
          <w:tcPr>
            <w:tcW w:w="4916" w:type="dxa"/>
          </w:tcPr>
          <w:p>
            <w:pPr>
              <w:rPr>
                <w:rFonts w:hint="eastAsia" w:asciiTheme="minorEastAsia" w:hAnsiTheme="minorEastAsia" w:eastAsiaTheme="minorEastAsia" w:cstheme="minorEastAsia"/>
                <w:sz w:val="18"/>
                <w:szCs w:val="18"/>
                <w:vertAlign w:val="baseline"/>
                <w:lang w:val="en-US" w:eastAsia="zh-CN"/>
              </w:rPr>
            </w:pPr>
            <w:r>
              <w:rPr>
                <w:rFonts w:hint="eastAsia" w:asciiTheme="minorEastAsia" w:hAnsiTheme="minorEastAsia" w:eastAsiaTheme="minorEastAsia" w:cstheme="minorEastAsia"/>
                <w:sz w:val="18"/>
                <w:szCs w:val="18"/>
                <w:vertAlign w:val="baseline"/>
                <w:lang w:val="en-US" w:eastAsia="zh-CN"/>
              </w:rPr>
              <w:t>提供直接控股和管理关系清单。若与其他供应商存在单位负责人为同一人或者存在直接控股、管理关系的，则磋商无效。</w:t>
            </w:r>
          </w:p>
        </w:tc>
        <w:tc>
          <w:tcPr>
            <w:tcW w:w="794" w:type="dxa"/>
          </w:tcPr>
          <w:p>
            <w:pPr>
              <w:rPr>
                <w:rFonts w:hint="eastAsia" w:asciiTheme="minorEastAsia" w:hAnsiTheme="minorEastAsia" w:cstheme="minorEastAsia"/>
                <w:sz w:val="24"/>
                <w:szCs w:val="24"/>
                <w:vertAlign w:val="baseline"/>
                <w:lang w:val="en-US" w:eastAsia="zh-CN"/>
              </w:rPr>
            </w:pPr>
          </w:p>
        </w:tc>
        <w:tc>
          <w:tcPr>
            <w:tcW w:w="793" w:type="dxa"/>
          </w:tcPr>
          <w:p>
            <w:pPr>
              <w:rPr>
                <w:rFonts w:hint="eastAsia" w:asciiTheme="minorEastAsia" w:hAnsiTheme="minorEastAsia" w:cstheme="minorEastAsia"/>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2" w:hRule="atLeast"/>
        </w:trPr>
        <w:tc>
          <w:tcPr>
            <w:tcW w:w="726" w:type="dxa"/>
            <w:vAlign w:val="center"/>
          </w:tcPr>
          <w:p>
            <w:pPr>
              <w:jc w:val="center"/>
              <w:rPr>
                <w:rFonts w:hint="default" w:asciiTheme="minorEastAsia" w:hAnsiTheme="minorEastAsia" w:eastAsiaTheme="minorEastAsia" w:cstheme="minorEastAsia"/>
                <w:sz w:val="18"/>
                <w:szCs w:val="18"/>
                <w:vertAlign w:val="baseline"/>
                <w:lang w:val="en-US" w:eastAsia="zh-CN"/>
              </w:rPr>
            </w:pPr>
            <w:r>
              <w:rPr>
                <w:rFonts w:hint="eastAsia" w:asciiTheme="minorEastAsia" w:hAnsiTheme="minorEastAsia" w:cstheme="minorEastAsia"/>
                <w:sz w:val="18"/>
                <w:szCs w:val="18"/>
                <w:vertAlign w:val="baseline"/>
                <w:lang w:val="en-US" w:eastAsia="zh-CN"/>
              </w:rPr>
              <w:t>7</w:t>
            </w:r>
          </w:p>
        </w:tc>
        <w:tc>
          <w:tcPr>
            <w:tcW w:w="1328" w:type="dxa"/>
            <w:vAlign w:val="center"/>
          </w:tcPr>
          <w:p>
            <w:pPr>
              <w:jc w:val="both"/>
              <w:rPr>
                <w:rFonts w:hint="eastAsia" w:asciiTheme="minorEastAsia" w:hAnsiTheme="minorEastAsia" w:eastAsiaTheme="minorEastAsia" w:cstheme="minorEastAsia"/>
                <w:sz w:val="18"/>
                <w:szCs w:val="18"/>
                <w:vertAlign w:val="baseline"/>
                <w:lang w:val="en-US" w:eastAsia="zh-CN"/>
              </w:rPr>
            </w:pPr>
            <w:r>
              <w:rPr>
                <w:rFonts w:hint="eastAsia" w:asciiTheme="minorEastAsia" w:hAnsiTheme="minorEastAsia" w:eastAsiaTheme="minorEastAsia" w:cstheme="minorEastAsia"/>
                <w:sz w:val="18"/>
                <w:szCs w:val="18"/>
                <w:vertAlign w:val="baseline"/>
                <w:lang w:val="en-US" w:eastAsia="zh-CN"/>
              </w:rPr>
              <w:t>书面声明</w:t>
            </w:r>
          </w:p>
        </w:tc>
        <w:tc>
          <w:tcPr>
            <w:tcW w:w="4916" w:type="dxa"/>
          </w:tcPr>
          <w:p>
            <w:pPr>
              <w:rPr>
                <w:rFonts w:hint="eastAsia" w:asciiTheme="minorEastAsia" w:hAnsiTheme="minorEastAsia" w:eastAsiaTheme="minorEastAsia" w:cstheme="minorEastAsia"/>
                <w:sz w:val="18"/>
                <w:szCs w:val="18"/>
                <w:vertAlign w:val="baseline"/>
                <w:lang w:val="en-US" w:eastAsia="zh-CN"/>
              </w:rPr>
            </w:pPr>
            <w:r>
              <w:rPr>
                <w:rFonts w:hint="eastAsia" w:asciiTheme="minorEastAsia" w:hAnsiTheme="minorEastAsia" w:eastAsiaTheme="minorEastAsia" w:cstheme="minorEastAsia"/>
                <w:sz w:val="18"/>
                <w:szCs w:val="18"/>
                <w:vertAlign w:val="baseline"/>
                <w:lang w:val="en-US" w:eastAsia="zh-CN"/>
              </w:rPr>
              <w:t>提供书面声明，包括声明具有履行合同所必需的设备和专业技术能力；未为本项目提供整体设计、规范编制或者项目管理、监理、检测等服务。</w:t>
            </w:r>
          </w:p>
        </w:tc>
        <w:tc>
          <w:tcPr>
            <w:tcW w:w="794" w:type="dxa"/>
          </w:tcPr>
          <w:p>
            <w:pPr>
              <w:rPr>
                <w:rFonts w:hint="eastAsia" w:asciiTheme="minorEastAsia" w:hAnsiTheme="minorEastAsia" w:cstheme="minorEastAsia"/>
                <w:sz w:val="24"/>
                <w:szCs w:val="24"/>
                <w:vertAlign w:val="baseline"/>
                <w:lang w:val="en-US" w:eastAsia="zh-CN"/>
              </w:rPr>
            </w:pPr>
          </w:p>
        </w:tc>
        <w:tc>
          <w:tcPr>
            <w:tcW w:w="793" w:type="dxa"/>
          </w:tcPr>
          <w:p>
            <w:pPr>
              <w:rPr>
                <w:rFonts w:hint="eastAsia" w:asciiTheme="minorEastAsia" w:hAnsiTheme="minorEastAsia" w:cstheme="minorEastAsia"/>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3" w:hRule="atLeast"/>
        </w:trPr>
        <w:tc>
          <w:tcPr>
            <w:tcW w:w="726" w:type="dxa"/>
            <w:vAlign w:val="center"/>
          </w:tcPr>
          <w:p>
            <w:pPr>
              <w:jc w:val="center"/>
              <w:rPr>
                <w:rFonts w:hint="default" w:asciiTheme="minorEastAsia" w:hAnsiTheme="minorEastAsia" w:eastAsiaTheme="minorEastAsia" w:cstheme="minorEastAsia"/>
                <w:sz w:val="18"/>
                <w:szCs w:val="18"/>
                <w:vertAlign w:val="baseline"/>
                <w:lang w:val="en-US" w:eastAsia="zh-CN"/>
              </w:rPr>
            </w:pPr>
            <w:r>
              <w:rPr>
                <w:rFonts w:hint="eastAsia" w:asciiTheme="minorEastAsia" w:hAnsiTheme="minorEastAsia" w:cstheme="minorEastAsia"/>
                <w:sz w:val="18"/>
                <w:szCs w:val="18"/>
                <w:vertAlign w:val="baseline"/>
                <w:lang w:val="en-US" w:eastAsia="zh-CN"/>
              </w:rPr>
              <w:t>8</w:t>
            </w:r>
          </w:p>
        </w:tc>
        <w:tc>
          <w:tcPr>
            <w:tcW w:w="1328" w:type="dxa"/>
            <w:vAlign w:val="center"/>
          </w:tcPr>
          <w:p>
            <w:pPr>
              <w:jc w:val="both"/>
              <w:rPr>
                <w:rFonts w:hint="eastAsia" w:asciiTheme="minorEastAsia" w:hAnsiTheme="minorEastAsia" w:eastAsiaTheme="minorEastAsia" w:cstheme="minorEastAsia"/>
                <w:sz w:val="18"/>
                <w:szCs w:val="18"/>
                <w:vertAlign w:val="baseline"/>
                <w:lang w:val="en-US" w:eastAsia="zh-CN"/>
              </w:rPr>
            </w:pPr>
            <w:r>
              <w:rPr>
                <w:rFonts w:hint="eastAsia" w:asciiTheme="minorEastAsia" w:hAnsiTheme="minorEastAsia" w:eastAsiaTheme="minorEastAsia" w:cstheme="minorEastAsia"/>
                <w:sz w:val="18"/>
                <w:szCs w:val="18"/>
                <w:vertAlign w:val="baseline"/>
                <w:lang w:val="en-US" w:eastAsia="zh-CN"/>
              </w:rPr>
              <w:t>法定代表人授权委托书</w:t>
            </w:r>
          </w:p>
        </w:tc>
        <w:tc>
          <w:tcPr>
            <w:tcW w:w="4916" w:type="dxa"/>
          </w:tcPr>
          <w:p>
            <w:pPr>
              <w:rPr>
                <w:rFonts w:hint="eastAsia" w:asciiTheme="minorEastAsia" w:hAnsiTheme="minorEastAsia" w:eastAsiaTheme="minorEastAsia" w:cstheme="minorEastAsia"/>
                <w:sz w:val="18"/>
                <w:szCs w:val="18"/>
                <w:vertAlign w:val="baseline"/>
                <w:lang w:val="en-US" w:eastAsia="zh-CN"/>
              </w:rPr>
            </w:pPr>
            <w:r>
              <w:rPr>
                <w:rFonts w:hint="eastAsia" w:asciiTheme="minorEastAsia" w:hAnsiTheme="minorEastAsia" w:eastAsiaTheme="minorEastAsia" w:cstheme="minorEastAsia"/>
                <w:sz w:val="18"/>
                <w:szCs w:val="18"/>
                <w:vertAlign w:val="baseline"/>
                <w:lang w:val="en-US" w:eastAsia="zh-CN"/>
              </w:rPr>
              <w:t>法定代表人参加磋商的，须提供本人身份证复印件（附在资格证明文件中）；法定代表人授权他人参加磋商的，须提供法定代表人授权委托书。磋商文件中凡是需要法定代表人盖章之处，非法人单位的负责人均参照执行。</w:t>
            </w:r>
          </w:p>
          <w:p>
            <w:pPr>
              <w:rPr>
                <w:rFonts w:hint="eastAsia" w:asciiTheme="minorEastAsia" w:hAnsiTheme="minorEastAsia" w:eastAsiaTheme="minorEastAsia" w:cstheme="minorEastAsia"/>
                <w:sz w:val="18"/>
                <w:szCs w:val="18"/>
                <w:vertAlign w:val="baseline"/>
                <w:lang w:val="en-US" w:eastAsia="zh-CN"/>
              </w:rPr>
            </w:pPr>
            <w:r>
              <w:rPr>
                <w:rFonts w:hint="eastAsia" w:asciiTheme="minorEastAsia" w:hAnsiTheme="minorEastAsia" w:eastAsiaTheme="minorEastAsia" w:cstheme="minorEastAsia"/>
                <w:sz w:val="18"/>
                <w:szCs w:val="18"/>
                <w:vertAlign w:val="baseline"/>
                <w:lang w:val="en-US" w:eastAsia="zh-CN"/>
              </w:rPr>
              <w:t>法人的分支机构参与磋商时，除提供《法定代表人授权委托书》外，还须同时提供法人给分支机构出具的授权书。</w:t>
            </w:r>
          </w:p>
        </w:tc>
        <w:tc>
          <w:tcPr>
            <w:tcW w:w="794" w:type="dxa"/>
          </w:tcPr>
          <w:p>
            <w:pPr>
              <w:rPr>
                <w:rFonts w:hint="eastAsia" w:asciiTheme="minorEastAsia" w:hAnsiTheme="minorEastAsia" w:cstheme="minorEastAsia"/>
                <w:sz w:val="24"/>
                <w:szCs w:val="24"/>
                <w:vertAlign w:val="baseline"/>
                <w:lang w:val="en-US" w:eastAsia="zh-CN"/>
              </w:rPr>
            </w:pPr>
          </w:p>
        </w:tc>
        <w:tc>
          <w:tcPr>
            <w:tcW w:w="793" w:type="dxa"/>
          </w:tcPr>
          <w:p>
            <w:pPr>
              <w:rPr>
                <w:rFonts w:hint="eastAsia" w:asciiTheme="minorEastAsia" w:hAnsiTheme="minorEastAsia" w:cstheme="minorEastAsia"/>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9" w:hRule="atLeast"/>
        </w:trPr>
        <w:tc>
          <w:tcPr>
            <w:tcW w:w="726" w:type="dxa"/>
            <w:vAlign w:val="center"/>
          </w:tcPr>
          <w:p>
            <w:pPr>
              <w:jc w:val="center"/>
              <w:rPr>
                <w:rFonts w:hint="default" w:asciiTheme="minorEastAsia" w:hAnsiTheme="minorEastAsia" w:eastAsiaTheme="minorEastAsia" w:cstheme="minorEastAsia"/>
                <w:sz w:val="18"/>
                <w:szCs w:val="18"/>
                <w:vertAlign w:val="baseline"/>
                <w:lang w:val="en-US" w:eastAsia="zh-CN"/>
              </w:rPr>
            </w:pPr>
            <w:r>
              <w:rPr>
                <w:rFonts w:hint="eastAsia" w:asciiTheme="minorEastAsia" w:hAnsiTheme="minorEastAsia" w:cstheme="minorEastAsia"/>
                <w:sz w:val="18"/>
                <w:szCs w:val="18"/>
                <w:vertAlign w:val="baseline"/>
                <w:lang w:val="en-US" w:eastAsia="zh-CN"/>
              </w:rPr>
              <w:t>9</w:t>
            </w:r>
          </w:p>
        </w:tc>
        <w:tc>
          <w:tcPr>
            <w:tcW w:w="1328" w:type="dxa"/>
            <w:vAlign w:val="center"/>
          </w:tcPr>
          <w:p>
            <w:pPr>
              <w:jc w:val="both"/>
              <w:rPr>
                <w:rFonts w:hint="eastAsia" w:asciiTheme="minorEastAsia" w:hAnsiTheme="minorEastAsia" w:eastAsiaTheme="minorEastAsia" w:cstheme="minorEastAsia"/>
                <w:sz w:val="18"/>
                <w:szCs w:val="18"/>
                <w:vertAlign w:val="baseline"/>
                <w:lang w:val="en-US" w:eastAsia="zh-CN"/>
              </w:rPr>
            </w:pPr>
            <w:r>
              <w:rPr>
                <w:rFonts w:hint="eastAsia" w:asciiTheme="minorEastAsia" w:hAnsiTheme="minorEastAsia" w:eastAsiaTheme="minorEastAsia" w:cstheme="minorEastAsia"/>
                <w:sz w:val="18"/>
                <w:szCs w:val="18"/>
                <w:vertAlign w:val="baseline"/>
                <w:lang w:val="en-US" w:eastAsia="zh-CN"/>
              </w:rPr>
              <w:t>特定资格要求</w:t>
            </w:r>
          </w:p>
        </w:tc>
        <w:tc>
          <w:tcPr>
            <w:tcW w:w="4916" w:type="dxa"/>
          </w:tcPr>
          <w:p>
            <w:pPr>
              <w:rPr>
                <w:rFonts w:hint="eastAsia" w:asciiTheme="minorEastAsia" w:hAnsiTheme="minorEastAsia" w:eastAsiaTheme="minorEastAsia" w:cstheme="minorEastAsia"/>
                <w:sz w:val="18"/>
                <w:szCs w:val="18"/>
                <w:vertAlign w:val="baseline"/>
                <w:lang w:val="en-US" w:eastAsia="zh-CN"/>
              </w:rPr>
            </w:pPr>
            <w:r>
              <w:rPr>
                <w:rFonts w:hint="eastAsia" w:asciiTheme="minorEastAsia" w:hAnsiTheme="minorEastAsia" w:eastAsiaTheme="minorEastAsia" w:cstheme="minorEastAsia"/>
                <w:sz w:val="18"/>
                <w:szCs w:val="18"/>
                <w:vertAlign w:val="baseline"/>
                <w:lang w:val="en-US" w:eastAsia="zh-CN"/>
              </w:rPr>
              <w:t>本项目采购内容以物业服务为主，其中涉及保安服务的，须以承诺书形式提供以下资料（承诺书格式不限），以下两种形式提供其中任意一种均可：</w:t>
            </w:r>
          </w:p>
          <w:p>
            <w:pPr>
              <w:rPr>
                <w:rFonts w:hint="eastAsia" w:asciiTheme="minorEastAsia" w:hAnsiTheme="minorEastAsia" w:eastAsiaTheme="minorEastAsia" w:cstheme="minorEastAsia"/>
                <w:sz w:val="18"/>
                <w:szCs w:val="18"/>
                <w:vertAlign w:val="baseline"/>
                <w:lang w:val="en-US" w:eastAsia="zh-CN"/>
              </w:rPr>
            </w:pPr>
            <w:r>
              <w:rPr>
                <w:rFonts w:hint="eastAsia" w:asciiTheme="minorEastAsia" w:hAnsiTheme="minorEastAsia" w:eastAsiaTheme="minorEastAsia" w:cstheme="minorEastAsia"/>
                <w:sz w:val="18"/>
                <w:szCs w:val="18"/>
                <w:vertAlign w:val="baseline"/>
                <w:lang w:val="en-US" w:eastAsia="zh-CN"/>
              </w:rPr>
              <w:t>（1）自行招用保安员的供应商须承诺：自承接本项目之日起30日内，向采购人所在地设区的市级人民政府公安机关备案。</w:t>
            </w:r>
          </w:p>
          <w:p>
            <w:pPr>
              <w:rPr>
                <w:rFonts w:hint="eastAsia" w:asciiTheme="minorEastAsia" w:hAnsiTheme="minorEastAsia" w:eastAsiaTheme="minorEastAsia" w:cstheme="minorEastAsia"/>
                <w:sz w:val="18"/>
                <w:szCs w:val="18"/>
                <w:vertAlign w:val="baseline"/>
                <w:lang w:val="en-US" w:eastAsia="zh-CN"/>
              </w:rPr>
            </w:pPr>
            <w:r>
              <w:rPr>
                <w:rFonts w:hint="eastAsia" w:asciiTheme="minorEastAsia" w:hAnsiTheme="minorEastAsia" w:eastAsiaTheme="minorEastAsia" w:cstheme="minorEastAsia"/>
                <w:sz w:val="18"/>
                <w:szCs w:val="18"/>
                <w:vertAlign w:val="baseline"/>
                <w:lang w:val="en-US" w:eastAsia="zh-CN"/>
              </w:rPr>
              <w:t>（2）从保安服务公司购买保安服务的供应商须承诺：成交后7日内，与保安服务公司签订保安服务合同，明确规定服务的项目、内容以及双方的权利义务，以满足本项目采购人的保安服务需求。</w:t>
            </w:r>
          </w:p>
        </w:tc>
        <w:tc>
          <w:tcPr>
            <w:tcW w:w="794" w:type="dxa"/>
          </w:tcPr>
          <w:p>
            <w:pPr>
              <w:rPr>
                <w:rFonts w:hint="eastAsia" w:asciiTheme="minorEastAsia" w:hAnsiTheme="minorEastAsia" w:cstheme="minorEastAsia"/>
                <w:sz w:val="24"/>
                <w:szCs w:val="24"/>
                <w:vertAlign w:val="baseline"/>
                <w:lang w:val="en-US" w:eastAsia="zh-CN"/>
              </w:rPr>
            </w:pPr>
          </w:p>
        </w:tc>
        <w:tc>
          <w:tcPr>
            <w:tcW w:w="793" w:type="dxa"/>
          </w:tcPr>
          <w:p>
            <w:pPr>
              <w:rPr>
                <w:rFonts w:hint="eastAsia" w:asciiTheme="minorEastAsia" w:hAnsiTheme="minorEastAsia" w:cstheme="minorEastAsia"/>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2" w:hRule="atLeast"/>
        </w:trPr>
        <w:tc>
          <w:tcPr>
            <w:tcW w:w="726" w:type="dxa"/>
            <w:vAlign w:val="center"/>
          </w:tcPr>
          <w:p>
            <w:pPr>
              <w:jc w:val="center"/>
              <w:rPr>
                <w:rFonts w:hint="default" w:asciiTheme="minorEastAsia" w:hAnsiTheme="minorEastAsia" w:eastAsiaTheme="minorEastAsia" w:cstheme="minorEastAsia"/>
                <w:sz w:val="18"/>
                <w:szCs w:val="18"/>
                <w:vertAlign w:val="baseline"/>
                <w:lang w:val="en-US" w:eastAsia="zh-CN"/>
              </w:rPr>
            </w:pPr>
            <w:r>
              <w:rPr>
                <w:rFonts w:hint="eastAsia" w:asciiTheme="minorEastAsia" w:hAnsiTheme="minorEastAsia" w:cstheme="minorEastAsia"/>
                <w:sz w:val="18"/>
                <w:szCs w:val="18"/>
                <w:vertAlign w:val="baseline"/>
                <w:lang w:val="en-US" w:eastAsia="zh-CN"/>
              </w:rPr>
              <w:t>10</w:t>
            </w:r>
          </w:p>
        </w:tc>
        <w:tc>
          <w:tcPr>
            <w:tcW w:w="1328" w:type="dxa"/>
            <w:vAlign w:val="center"/>
          </w:tcPr>
          <w:p>
            <w:pPr>
              <w:jc w:val="both"/>
              <w:rPr>
                <w:rFonts w:hint="eastAsia" w:asciiTheme="minorEastAsia" w:hAnsiTheme="minorEastAsia" w:eastAsiaTheme="minorEastAsia" w:cstheme="minorEastAsia"/>
                <w:sz w:val="18"/>
                <w:szCs w:val="18"/>
                <w:vertAlign w:val="baseline"/>
                <w:lang w:val="en-US" w:eastAsia="zh-CN"/>
              </w:rPr>
            </w:pPr>
            <w:r>
              <w:rPr>
                <w:rFonts w:hint="eastAsia" w:asciiTheme="minorEastAsia" w:hAnsiTheme="minorEastAsia" w:eastAsiaTheme="minorEastAsia" w:cstheme="minorEastAsia"/>
                <w:sz w:val="18"/>
                <w:szCs w:val="18"/>
                <w:vertAlign w:val="baseline"/>
                <w:lang w:val="en-US" w:eastAsia="zh-CN"/>
              </w:rPr>
              <w:t>本项目不接受联合体响应，不允许分包</w:t>
            </w:r>
          </w:p>
        </w:tc>
        <w:tc>
          <w:tcPr>
            <w:tcW w:w="4916" w:type="dxa"/>
          </w:tcPr>
          <w:p>
            <w:pPr>
              <w:rPr>
                <w:rFonts w:hint="eastAsia" w:asciiTheme="minorEastAsia" w:hAnsiTheme="minorEastAsia" w:eastAsiaTheme="minorEastAsia" w:cstheme="minorEastAsia"/>
                <w:sz w:val="18"/>
                <w:szCs w:val="18"/>
                <w:vertAlign w:val="baseline"/>
                <w:lang w:val="en-US" w:eastAsia="zh-CN"/>
              </w:rPr>
            </w:pPr>
            <w:r>
              <w:rPr>
                <w:rFonts w:hint="eastAsia" w:asciiTheme="minorEastAsia" w:hAnsiTheme="minorEastAsia" w:eastAsiaTheme="minorEastAsia" w:cstheme="minorEastAsia"/>
                <w:sz w:val="18"/>
                <w:szCs w:val="18"/>
                <w:vertAlign w:val="baseline"/>
                <w:lang w:val="en-US" w:eastAsia="zh-CN"/>
              </w:rPr>
              <w:t>供应商应提供《非联合体不分包投标声明》，视为独立响应，不分包。</w:t>
            </w:r>
          </w:p>
        </w:tc>
        <w:tc>
          <w:tcPr>
            <w:tcW w:w="794" w:type="dxa"/>
          </w:tcPr>
          <w:p>
            <w:pPr>
              <w:rPr>
                <w:rFonts w:hint="eastAsia" w:asciiTheme="minorEastAsia" w:hAnsiTheme="minorEastAsia" w:cstheme="minorEastAsia"/>
                <w:sz w:val="24"/>
                <w:szCs w:val="24"/>
                <w:vertAlign w:val="baseline"/>
                <w:lang w:val="en-US" w:eastAsia="zh-CN"/>
              </w:rPr>
            </w:pPr>
          </w:p>
        </w:tc>
        <w:tc>
          <w:tcPr>
            <w:tcW w:w="793" w:type="dxa"/>
          </w:tcPr>
          <w:p>
            <w:pPr>
              <w:rPr>
                <w:rFonts w:hint="eastAsia" w:asciiTheme="minorEastAsia" w:hAnsiTheme="minorEastAsia" w:cstheme="minorEastAsia"/>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8557" w:type="dxa"/>
            <w:gridSpan w:val="5"/>
          </w:tcPr>
          <w:p>
            <w:pPr>
              <w:rPr>
                <w:rFonts w:hint="eastAsia" w:asciiTheme="minorEastAsia" w:hAnsiTheme="minorEastAsia" w:cstheme="minorEastAsia"/>
                <w:b/>
                <w:bCs/>
                <w:sz w:val="18"/>
                <w:szCs w:val="18"/>
                <w:vertAlign w:val="baseline"/>
                <w:lang w:val="en-US" w:eastAsia="zh-CN"/>
              </w:rPr>
            </w:pPr>
            <w:r>
              <w:rPr>
                <w:rFonts w:hint="eastAsia" w:asciiTheme="minorEastAsia" w:hAnsiTheme="minorEastAsia" w:cstheme="minorEastAsia"/>
                <w:b/>
                <w:bCs/>
                <w:sz w:val="18"/>
                <w:szCs w:val="18"/>
                <w:vertAlign w:val="baseline"/>
                <w:lang w:val="en-US" w:eastAsia="zh-CN"/>
              </w:rPr>
              <w:t>磋商小组成员：（签字或盖章）</w:t>
            </w:r>
          </w:p>
        </w:tc>
      </w:tr>
    </w:tbl>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出现下列情形的，响应文件将被视为无效：</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2" w:firstLineChars="175"/>
        <w:textAlignment w:val="auto"/>
        <w:rPr>
          <w:rFonts w:hint="eastAsia" w:asciiTheme="minorEastAsia" w:hAnsiTheme="minorEastAsia" w:eastAsiaTheme="minorEastAsia" w:cstheme="minorEastAsia"/>
          <w:b/>
          <w:bCs/>
          <w:color w:val="0000FF"/>
          <w:sz w:val="24"/>
          <w:szCs w:val="24"/>
        </w:rPr>
      </w:pPr>
      <w:r>
        <w:rPr>
          <w:rFonts w:hint="eastAsia" w:asciiTheme="minorEastAsia" w:hAnsiTheme="minorEastAsia" w:eastAsiaTheme="minorEastAsia" w:cstheme="minorEastAsia"/>
          <w:b/>
          <w:bCs/>
          <w:color w:val="0000FF"/>
          <w:sz w:val="24"/>
          <w:szCs w:val="24"/>
        </w:rPr>
        <w:t>（1）不具备磋商文件中规定的资格要求的；</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2" w:firstLineChars="175"/>
        <w:textAlignment w:val="auto"/>
        <w:rPr>
          <w:rFonts w:hint="eastAsia" w:asciiTheme="minorEastAsia" w:hAnsiTheme="minorEastAsia" w:eastAsiaTheme="minorEastAsia" w:cstheme="minorEastAsia"/>
          <w:b/>
          <w:bCs/>
          <w:color w:val="0000FF"/>
          <w:sz w:val="24"/>
          <w:szCs w:val="24"/>
        </w:rPr>
      </w:pPr>
      <w:r>
        <w:rPr>
          <w:rFonts w:hint="eastAsia" w:asciiTheme="minorEastAsia" w:hAnsiTheme="minorEastAsia" w:eastAsiaTheme="minorEastAsia" w:cstheme="minorEastAsia"/>
          <w:b/>
          <w:bCs/>
          <w:color w:val="0000FF"/>
          <w:sz w:val="24"/>
          <w:szCs w:val="24"/>
        </w:rPr>
        <w:t>（2）未按磋商文件要求提供资格证明文件，或未按磋商文件要求加盖公章的；</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2" w:firstLineChars="175"/>
        <w:textAlignment w:val="auto"/>
        <w:rPr>
          <w:rFonts w:hint="eastAsia" w:asciiTheme="minorEastAsia" w:hAnsiTheme="minorEastAsia" w:eastAsiaTheme="minorEastAsia" w:cstheme="minorEastAsia"/>
          <w:b/>
          <w:bCs/>
          <w:color w:val="0000FF"/>
          <w:sz w:val="24"/>
          <w:szCs w:val="24"/>
        </w:rPr>
      </w:pPr>
      <w:r>
        <w:rPr>
          <w:rFonts w:hint="eastAsia" w:asciiTheme="minorEastAsia" w:hAnsiTheme="minorEastAsia" w:eastAsiaTheme="minorEastAsia" w:cstheme="minorEastAsia"/>
          <w:b/>
          <w:bCs/>
          <w:color w:val="0000FF"/>
          <w:sz w:val="24"/>
          <w:szCs w:val="24"/>
        </w:rPr>
        <w:t>（3）磋商小组认为供应商的资格证明文件存在疑点，要求供应商通过公共资源交易平台（以下简称“平台”）或电子邮件（在平台无法支持的情况下）等形式提供更清晰有效的证明文件，供应商不能在规定时限内提供符合磋商文件要求的证明文件的。</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资格审查结束后，磋商小组成员应当对审查结果进行签字确认，并告知有关供应商未通过审查的原因。</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2"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color w:val="0000FF"/>
          <w:sz w:val="24"/>
          <w:szCs w:val="24"/>
        </w:rPr>
        <w:t>通过资格审查的供应商不足3家的</w:t>
      </w:r>
      <w:r>
        <w:rPr>
          <w:rFonts w:hint="eastAsia" w:asciiTheme="minorEastAsia" w:hAnsiTheme="minorEastAsia" w:eastAsiaTheme="minorEastAsia" w:cstheme="minorEastAsia"/>
          <w:sz w:val="24"/>
          <w:szCs w:val="24"/>
        </w:rPr>
        <w:t>，不得进行符合性审查，应予以废标。</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2、响应文件的符合性审查</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磋商小组依据磋商文件的规定，对响应文件的有效性、完整性和对磋商文件的响应程度进行审查，以确定是否对磋商文件的全部实质性要求做出响应。</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磋商小组要审查每份响应文件是否实质上响应了磋商文件的要求。</w:t>
      </w:r>
      <w:r>
        <w:rPr>
          <w:rFonts w:hint="eastAsia" w:asciiTheme="minorEastAsia" w:hAnsiTheme="minorEastAsia" w:eastAsiaTheme="minorEastAsia" w:cstheme="minorEastAsia"/>
          <w:b/>
          <w:bCs/>
          <w:color w:val="0000FF"/>
          <w:sz w:val="24"/>
          <w:szCs w:val="24"/>
        </w:rPr>
        <w:t>实质上没有响应磋商文件要求的响应文件作无效响应处理</w:t>
      </w:r>
      <w:r>
        <w:rPr>
          <w:rFonts w:hint="eastAsia" w:asciiTheme="minorEastAsia" w:hAnsiTheme="minorEastAsia" w:eastAsiaTheme="minorEastAsia" w:cstheme="minorEastAsia"/>
          <w:sz w:val="24"/>
          <w:szCs w:val="24"/>
        </w:rPr>
        <w:t>，磋商小组应告知有关供应商未通过审查的原因。供应商不得通过修正或撤销不符之处而使其成为实质上响应。</w:t>
      </w:r>
    </w:p>
    <w:p>
      <w:pPr>
        <w:ind w:left="0" w:leftChars="0" w:firstLine="0" w:firstLineChars="0"/>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符合性审查表</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6"/>
        <w:gridCol w:w="2237"/>
        <w:gridCol w:w="3559"/>
        <w:gridCol w:w="982"/>
        <w:gridCol w:w="10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b/>
                <w:bCs/>
                <w:sz w:val="18"/>
                <w:szCs w:val="18"/>
                <w:vertAlign w:val="baseline"/>
              </w:rPr>
            </w:pPr>
            <w:r>
              <w:rPr>
                <w:rFonts w:hint="eastAsia" w:asciiTheme="minorEastAsia" w:hAnsiTheme="minorEastAsia" w:eastAsiaTheme="minorEastAsia" w:cstheme="minorEastAsia"/>
                <w:b/>
                <w:bCs/>
                <w:sz w:val="18"/>
                <w:szCs w:val="18"/>
                <w:vertAlign w:val="baseline"/>
                <w:lang w:val="en-US" w:eastAsia="zh-CN"/>
              </w:rPr>
              <w:t>序号</w:t>
            </w:r>
          </w:p>
        </w:tc>
        <w:tc>
          <w:tcPr>
            <w:tcW w:w="2237" w:type="dxa"/>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b/>
                <w:bCs/>
                <w:sz w:val="18"/>
                <w:szCs w:val="18"/>
                <w:vertAlign w:val="baseline"/>
              </w:rPr>
            </w:pPr>
            <w:r>
              <w:rPr>
                <w:rFonts w:hint="eastAsia" w:asciiTheme="minorEastAsia" w:hAnsiTheme="minorEastAsia" w:eastAsiaTheme="minorEastAsia" w:cstheme="minorEastAsia"/>
                <w:b/>
                <w:bCs/>
                <w:sz w:val="18"/>
                <w:szCs w:val="18"/>
                <w:vertAlign w:val="baseline"/>
              </w:rPr>
              <w:t>符合性审查项</w:t>
            </w:r>
          </w:p>
        </w:tc>
        <w:tc>
          <w:tcPr>
            <w:tcW w:w="3559" w:type="dxa"/>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b/>
                <w:bCs/>
                <w:sz w:val="18"/>
                <w:szCs w:val="18"/>
                <w:vertAlign w:val="baseline"/>
              </w:rPr>
            </w:pPr>
            <w:r>
              <w:rPr>
                <w:rFonts w:hint="eastAsia" w:asciiTheme="minorEastAsia" w:hAnsiTheme="minorEastAsia" w:eastAsiaTheme="minorEastAsia" w:cstheme="minorEastAsia"/>
                <w:b/>
                <w:bCs/>
                <w:sz w:val="18"/>
                <w:szCs w:val="18"/>
                <w:vertAlign w:val="baseline"/>
              </w:rPr>
              <w:t>通过条件</w:t>
            </w:r>
          </w:p>
        </w:tc>
        <w:tc>
          <w:tcPr>
            <w:tcW w:w="982" w:type="dxa"/>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b/>
                <w:bCs/>
                <w:sz w:val="18"/>
                <w:szCs w:val="18"/>
                <w:vertAlign w:val="baseline"/>
              </w:rPr>
            </w:pPr>
            <w:r>
              <w:rPr>
                <w:rFonts w:hint="eastAsia" w:asciiTheme="minorEastAsia" w:hAnsiTheme="minorEastAsia" w:eastAsiaTheme="minorEastAsia" w:cstheme="minorEastAsia"/>
                <w:b/>
                <w:bCs/>
                <w:sz w:val="18"/>
                <w:szCs w:val="18"/>
                <w:vertAlign w:val="baseline"/>
              </w:rPr>
              <w:t>结论</w:t>
            </w:r>
          </w:p>
        </w:tc>
        <w:tc>
          <w:tcPr>
            <w:tcW w:w="1008" w:type="dxa"/>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b/>
                <w:bCs/>
                <w:sz w:val="18"/>
                <w:szCs w:val="18"/>
                <w:vertAlign w:val="baseline"/>
              </w:rPr>
            </w:pPr>
            <w:r>
              <w:rPr>
                <w:rFonts w:hint="eastAsia" w:asciiTheme="minorEastAsia" w:hAnsiTheme="minorEastAsia" w:eastAsiaTheme="minorEastAsia" w:cstheme="minorEastAsia"/>
                <w:b/>
                <w:bCs/>
                <w:sz w:val="18"/>
                <w:szCs w:val="18"/>
                <w:vertAlign w:val="baseline"/>
              </w:rPr>
              <w:t>未通过</w:t>
            </w:r>
          </w:p>
          <w:p>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b/>
                <w:bCs/>
                <w:sz w:val="18"/>
                <w:szCs w:val="18"/>
                <w:vertAlign w:val="baseline"/>
              </w:rPr>
            </w:pPr>
            <w:r>
              <w:rPr>
                <w:rFonts w:hint="eastAsia" w:asciiTheme="minorEastAsia" w:hAnsiTheme="minorEastAsia" w:eastAsiaTheme="minorEastAsia" w:cstheme="minorEastAsia"/>
                <w:b/>
                <w:bCs/>
                <w:sz w:val="18"/>
                <w:szCs w:val="18"/>
                <w:vertAlign w:val="baseline"/>
              </w:rPr>
              <w:t>原因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vAlign w:val="center"/>
          </w:tcPr>
          <w:p>
            <w:pPr>
              <w:jc w:val="center"/>
              <w:rPr>
                <w:rFonts w:hint="eastAsia" w:asciiTheme="minorEastAsia" w:hAnsiTheme="minorEastAsia" w:eastAsiaTheme="minorEastAsia" w:cstheme="minorEastAsia"/>
                <w:sz w:val="18"/>
                <w:szCs w:val="18"/>
                <w:vertAlign w:val="baseline"/>
                <w:lang w:val="en-US" w:eastAsia="zh-CN"/>
              </w:rPr>
            </w:pPr>
            <w:r>
              <w:rPr>
                <w:rFonts w:hint="eastAsia" w:asciiTheme="minorEastAsia" w:hAnsiTheme="minorEastAsia" w:cstheme="minorEastAsia"/>
                <w:sz w:val="18"/>
                <w:szCs w:val="18"/>
                <w:vertAlign w:val="baseline"/>
                <w:lang w:val="en-US" w:eastAsia="zh-CN"/>
              </w:rPr>
              <w:t>1</w:t>
            </w:r>
          </w:p>
        </w:tc>
        <w:tc>
          <w:tcPr>
            <w:tcW w:w="2237" w:type="dxa"/>
            <w:vAlign w:val="center"/>
          </w:tcPr>
          <w:p>
            <w:pPr>
              <w:jc w:val="both"/>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响应文件语言及有效期</w:t>
            </w:r>
          </w:p>
        </w:tc>
        <w:tc>
          <w:tcPr>
            <w:tcW w:w="3559" w:type="dxa"/>
            <w:vAlign w:val="center"/>
          </w:tcPr>
          <w:p>
            <w:pPr>
              <w:jc w:val="both"/>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响应文件语言及有效期符合磋商文件要求。</w:t>
            </w:r>
          </w:p>
        </w:tc>
        <w:tc>
          <w:tcPr>
            <w:tcW w:w="982" w:type="dxa"/>
            <w:vAlign w:val="center"/>
          </w:tcPr>
          <w:p>
            <w:pPr>
              <w:jc w:val="center"/>
              <w:rPr>
                <w:rFonts w:hint="eastAsia" w:asciiTheme="minorEastAsia" w:hAnsiTheme="minorEastAsia" w:eastAsiaTheme="minorEastAsia" w:cstheme="minorEastAsia"/>
                <w:sz w:val="18"/>
                <w:szCs w:val="18"/>
                <w:vertAlign w:val="baseline"/>
              </w:rPr>
            </w:pPr>
          </w:p>
        </w:tc>
        <w:tc>
          <w:tcPr>
            <w:tcW w:w="1008" w:type="dxa"/>
            <w:vAlign w:val="center"/>
          </w:tcPr>
          <w:p>
            <w:pPr>
              <w:jc w:val="center"/>
              <w:rPr>
                <w:rFonts w:hint="eastAsia" w:asciiTheme="minorEastAsia" w:hAnsiTheme="minorEastAsia" w:eastAsiaTheme="minorEastAsia" w:cstheme="minorEastAsia"/>
                <w:sz w:val="18"/>
                <w:szCs w:val="1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vAlign w:val="center"/>
          </w:tcPr>
          <w:p>
            <w:pPr>
              <w:jc w:val="center"/>
              <w:rPr>
                <w:rFonts w:hint="eastAsia" w:asciiTheme="minorEastAsia" w:hAnsiTheme="minorEastAsia" w:eastAsiaTheme="minorEastAsia" w:cstheme="minorEastAsia"/>
                <w:sz w:val="18"/>
                <w:szCs w:val="18"/>
                <w:vertAlign w:val="baseline"/>
                <w:lang w:val="en-US" w:eastAsia="zh-CN"/>
              </w:rPr>
            </w:pPr>
            <w:r>
              <w:rPr>
                <w:rFonts w:hint="eastAsia" w:asciiTheme="minorEastAsia" w:hAnsiTheme="minorEastAsia" w:cstheme="minorEastAsia"/>
                <w:sz w:val="18"/>
                <w:szCs w:val="18"/>
                <w:vertAlign w:val="baseline"/>
                <w:lang w:val="en-US" w:eastAsia="zh-CN"/>
              </w:rPr>
              <w:t>2</w:t>
            </w:r>
          </w:p>
        </w:tc>
        <w:tc>
          <w:tcPr>
            <w:tcW w:w="2237" w:type="dxa"/>
            <w:vAlign w:val="center"/>
          </w:tcPr>
          <w:p>
            <w:pPr>
              <w:jc w:val="both"/>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响应文件封面、响应函、法定代表人授权委托书三处的项目名称、项目编号、标段（如有）</w:t>
            </w:r>
          </w:p>
        </w:tc>
        <w:tc>
          <w:tcPr>
            <w:tcW w:w="3559" w:type="dxa"/>
            <w:vAlign w:val="center"/>
          </w:tcPr>
          <w:p>
            <w:pPr>
              <w:jc w:val="both"/>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三处均无遗漏，且与所投项目名称、项目编号、标段（如有）一致。</w:t>
            </w:r>
          </w:p>
        </w:tc>
        <w:tc>
          <w:tcPr>
            <w:tcW w:w="982" w:type="dxa"/>
            <w:vAlign w:val="center"/>
          </w:tcPr>
          <w:p>
            <w:pPr>
              <w:jc w:val="center"/>
              <w:rPr>
                <w:rFonts w:hint="eastAsia" w:asciiTheme="minorEastAsia" w:hAnsiTheme="minorEastAsia" w:eastAsiaTheme="minorEastAsia" w:cstheme="minorEastAsia"/>
                <w:sz w:val="18"/>
                <w:szCs w:val="18"/>
                <w:vertAlign w:val="baseline"/>
              </w:rPr>
            </w:pPr>
          </w:p>
        </w:tc>
        <w:tc>
          <w:tcPr>
            <w:tcW w:w="1008" w:type="dxa"/>
            <w:vAlign w:val="center"/>
          </w:tcPr>
          <w:p>
            <w:pPr>
              <w:jc w:val="center"/>
              <w:rPr>
                <w:rFonts w:hint="eastAsia" w:asciiTheme="minorEastAsia" w:hAnsiTheme="minorEastAsia" w:eastAsiaTheme="minorEastAsia" w:cstheme="minorEastAsia"/>
                <w:sz w:val="18"/>
                <w:szCs w:val="1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vAlign w:val="center"/>
          </w:tcPr>
          <w:p>
            <w:pPr>
              <w:jc w:val="center"/>
              <w:rPr>
                <w:rFonts w:hint="eastAsia" w:asciiTheme="minorEastAsia" w:hAnsiTheme="minorEastAsia" w:eastAsiaTheme="minorEastAsia" w:cstheme="minorEastAsia"/>
                <w:sz w:val="18"/>
                <w:szCs w:val="18"/>
                <w:vertAlign w:val="baseline"/>
                <w:lang w:val="en-US" w:eastAsia="zh-CN"/>
              </w:rPr>
            </w:pPr>
            <w:r>
              <w:rPr>
                <w:rFonts w:hint="eastAsia" w:asciiTheme="minorEastAsia" w:hAnsiTheme="minorEastAsia" w:cstheme="minorEastAsia"/>
                <w:sz w:val="18"/>
                <w:szCs w:val="18"/>
                <w:vertAlign w:val="baseline"/>
                <w:lang w:val="en-US" w:eastAsia="zh-CN"/>
              </w:rPr>
              <w:t>3</w:t>
            </w:r>
          </w:p>
        </w:tc>
        <w:tc>
          <w:tcPr>
            <w:tcW w:w="2237" w:type="dxa"/>
            <w:vAlign w:val="center"/>
          </w:tcPr>
          <w:p>
            <w:pPr>
              <w:jc w:val="both"/>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响应文件签署、盖章</w:t>
            </w:r>
          </w:p>
        </w:tc>
        <w:tc>
          <w:tcPr>
            <w:tcW w:w="3559" w:type="dxa"/>
            <w:vAlign w:val="center"/>
          </w:tcPr>
          <w:p>
            <w:pPr>
              <w:jc w:val="both"/>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均按磋商文件要求签字、盖章（评分标准中要求提供的证明材料除外）。</w:t>
            </w:r>
          </w:p>
        </w:tc>
        <w:tc>
          <w:tcPr>
            <w:tcW w:w="982" w:type="dxa"/>
            <w:vAlign w:val="center"/>
          </w:tcPr>
          <w:p>
            <w:pPr>
              <w:jc w:val="center"/>
              <w:rPr>
                <w:rFonts w:hint="eastAsia" w:asciiTheme="minorEastAsia" w:hAnsiTheme="minorEastAsia" w:eastAsiaTheme="minorEastAsia" w:cstheme="minorEastAsia"/>
                <w:sz w:val="18"/>
                <w:szCs w:val="18"/>
                <w:vertAlign w:val="baseline"/>
              </w:rPr>
            </w:pPr>
          </w:p>
        </w:tc>
        <w:tc>
          <w:tcPr>
            <w:tcW w:w="1008" w:type="dxa"/>
            <w:vAlign w:val="center"/>
          </w:tcPr>
          <w:p>
            <w:pPr>
              <w:jc w:val="center"/>
              <w:rPr>
                <w:rFonts w:hint="eastAsia" w:asciiTheme="minorEastAsia" w:hAnsiTheme="minorEastAsia" w:eastAsiaTheme="minorEastAsia" w:cstheme="minorEastAsia"/>
                <w:sz w:val="18"/>
                <w:szCs w:val="1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vAlign w:val="center"/>
          </w:tcPr>
          <w:p>
            <w:pPr>
              <w:jc w:val="center"/>
              <w:rPr>
                <w:rFonts w:hint="eastAsia" w:asciiTheme="minorEastAsia" w:hAnsiTheme="minorEastAsia" w:eastAsiaTheme="minorEastAsia" w:cstheme="minorEastAsia"/>
                <w:sz w:val="18"/>
                <w:szCs w:val="18"/>
                <w:vertAlign w:val="baseline"/>
                <w:lang w:val="en-US" w:eastAsia="zh-CN"/>
              </w:rPr>
            </w:pPr>
            <w:r>
              <w:rPr>
                <w:rFonts w:hint="eastAsia" w:asciiTheme="minorEastAsia" w:hAnsiTheme="minorEastAsia" w:cstheme="minorEastAsia"/>
                <w:sz w:val="18"/>
                <w:szCs w:val="18"/>
                <w:vertAlign w:val="baseline"/>
                <w:lang w:val="en-US" w:eastAsia="zh-CN"/>
              </w:rPr>
              <w:t>4</w:t>
            </w:r>
          </w:p>
        </w:tc>
        <w:tc>
          <w:tcPr>
            <w:tcW w:w="2237" w:type="dxa"/>
            <w:vAlign w:val="center"/>
          </w:tcPr>
          <w:p>
            <w:pPr>
              <w:jc w:val="both"/>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第一次磋商报价表</w:t>
            </w:r>
          </w:p>
        </w:tc>
        <w:tc>
          <w:tcPr>
            <w:tcW w:w="3559" w:type="dxa"/>
            <w:vAlign w:val="center"/>
          </w:tcPr>
          <w:p>
            <w:pPr>
              <w:jc w:val="both"/>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（1）第一次磋商报价表填写符合要求；</w:t>
            </w:r>
          </w:p>
          <w:p>
            <w:pPr>
              <w:jc w:val="both"/>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（2）计量单位、报价货币均符合磋商文件要求；</w:t>
            </w:r>
          </w:p>
          <w:p>
            <w:pPr>
              <w:jc w:val="both"/>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（3）第一次磋商报价未超出采购预算或磋商文件规定的最高限价。</w:t>
            </w:r>
          </w:p>
        </w:tc>
        <w:tc>
          <w:tcPr>
            <w:tcW w:w="982" w:type="dxa"/>
            <w:vAlign w:val="center"/>
          </w:tcPr>
          <w:p>
            <w:pPr>
              <w:jc w:val="center"/>
              <w:rPr>
                <w:rFonts w:hint="eastAsia" w:asciiTheme="minorEastAsia" w:hAnsiTheme="minorEastAsia" w:eastAsiaTheme="minorEastAsia" w:cstheme="minorEastAsia"/>
                <w:sz w:val="18"/>
                <w:szCs w:val="18"/>
                <w:vertAlign w:val="baseline"/>
              </w:rPr>
            </w:pPr>
          </w:p>
        </w:tc>
        <w:tc>
          <w:tcPr>
            <w:tcW w:w="1008" w:type="dxa"/>
            <w:vAlign w:val="center"/>
          </w:tcPr>
          <w:p>
            <w:pPr>
              <w:jc w:val="center"/>
              <w:rPr>
                <w:rFonts w:hint="eastAsia" w:asciiTheme="minorEastAsia" w:hAnsiTheme="minorEastAsia" w:eastAsiaTheme="minorEastAsia" w:cstheme="minorEastAsia"/>
                <w:sz w:val="18"/>
                <w:szCs w:val="1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vAlign w:val="center"/>
          </w:tcPr>
          <w:p>
            <w:pPr>
              <w:jc w:val="center"/>
              <w:rPr>
                <w:rFonts w:hint="eastAsia" w:asciiTheme="minorEastAsia" w:hAnsiTheme="minorEastAsia" w:eastAsiaTheme="minorEastAsia" w:cstheme="minorEastAsia"/>
                <w:sz w:val="18"/>
                <w:szCs w:val="18"/>
                <w:vertAlign w:val="baseline"/>
                <w:lang w:val="en-US" w:eastAsia="zh-CN"/>
              </w:rPr>
            </w:pPr>
            <w:r>
              <w:rPr>
                <w:rFonts w:hint="eastAsia" w:asciiTheme="minorEastAsia" w:hAnsiTheme="minorEastAsia" w:cstheme="minorEastAsia"/>
                <w:sz w:val="18"/>
                <w:szCs w:val="18"/>
                <w:vertAlign w:val="baseline"/>
                <w:lang w:val="en-US" w:eastAsia="zh-CN"/>
              </w:rPr>
              <w:t>5</w:t>
            </w:r>
          </w:p>
        </w:tc>
        <w:tc>
          <w:tcPr>
            <w:tcW w:w="2237" w:type="dxa"/>
            <w:vAlign w:val="center"/>
          </w:tcPr>
          <w:p>
            <w:pPr>
              <w:jc w:val="both"/>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供应商承诺书</w:t>
            </w:r>
          </w:p>
        </w:tc>
        <w:tc>
          <w:tcPr>
            <w:tcW w:w="3559" w:type="dxa"/>
            <w:vAlign w:val="center"/>
          </w:tcPr>
          <w:p>
            <w:pPr>
              <w:jc w:val="both"/>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完全理解并接受《质量安全责任承诺书》、《拒绝政府采购领域商业贿赂承诺书》。</w:t>
            </w:r>
          </w:p>
        </w:tc>
        <w:tc>
          <w:tcPr>
            <w:tcW w:w="982" w:type="dxa"/>
            <w:vAlign w:val="center"/>
          </w:tcPr>
          <w:p>
            <w:pPr>
              <w:jc w:val="center"/>
              <w:rPr>
                <w:rFonts w:hint="eastAsia" w:asciiTheme="minorEastAsia" w:hAnsiTheme="minorEastAsia" w:eastAsiaTheme="minorEastAsia" w:cstheme="minorEastAsia"/>
                <w:sz w:val="18"/>
                <w:szCs w:val="18"/>
                <w:vertAlign w:val="baseline"/>
              </w:rPr>
            </w:pPr>
          </w:p>
        </w:tc>
        <w:tc>
          <w:tcPr>
            <w:tcW w:w="1008" w:type="dxa"/>
            <w:vAlign w:val="center"/>
          </w:tcPr>
          <w:p>
            <w:pPr>
              <w:jc w:val="center"/>
              <w:rPr>
                <w:rFonts w:hint="eastAsia" w:asciiTheme="minorEastAsia" w:hAnsiTheme="minorEastAsia" w:eastAsiaTheme="minorEastAsia" w:cstheme="minorEastAsia"/>
                <w:sz w:val="18"/>
                <w:szCs w:val="1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vAlign w:val="center"/>
          </w:tcPr>
          <w:p>
            <w:pPr>
              <w:jc w:val="center"/>
              <w:rPr>
                <w:rFonts w:hint="eastAsia" w:asciiTheme="minorEastAsia" w:hAnsiTheme="minorEastAsia" w:eastAsiaTheme="minorEastAsia" w:cstheme="minorEastAsia"/>
                <w:sz w:val="18"/>
                <w:szCs w:val="18"/>
                <w:vertAlign w:val="baseline"/>
                <w:lang w:val="en-US" w:eastAsia="zh-CN"/>
              </w:rPr>
            </w:pPr>
            <w:r>
              <w:rPr>
                <w:rFonts w:hint="eastAsia" w:asciiTheme="minorEastAsia" w:hAnsiTheme="minorEastAsia" w:cstheme="minorEastAsia"/>
                <w:sz w:val="18"/>
                <w:szCs w:val="18"/>
                <w:vertAlign w:val="baseline"/>
                <w:lang w:val="en-US" w:eastAsia="zh-CN"/>
              </w:rPr>
              <w:t>6</w:t>
            </w:r>
          </w:p>
        </w:tc>
        <w:tc>
          <w:tcPr>
            <w:tcW w:w="2237" w:type="dxa"/>
            <w:vAlign w:val="center"/>
          </w:tcPr>
          <w:p>
            <w:pPr>
              <w:jc w:val="both"/>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技术服务要求</w:t>
            </w:r>
          </w:p>
        </w:tc>
        <w:tc>
          <w:tcPr>
            <w:tcW w:w="3559" w:type="dxa"/>
            <w:vAlign w:val="center"/>
          </w:tcPr>
          <w:p>
            <w:pPr>
              <w:jc w:val="both"/>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完全理解并接受对合格供应商、合格的货物、工程或服务要求，根据供应商响应文件《实质性条款响应》，结合磋商文件第三章“★”标识的实质性要求没有负偏离。</w:t>
            </w:r>
          </w:p>
        </w:tc>
        <w:tc>
          <w:tcPr>
            <w:tcW w:w="982" w:type="dxa"/>
            <w:vAlign w:val="center"/>
          </w:tcPr>
          <w:p>
            <w:pPr>
              <w:jc w:val="center"/>
              <w:rPr>
                <w:rFonts w:hint="eastAsia" w:asciiTheme="minorEastAsia" w:hAnsiTheme="minorEastAsia" w:eastAsiaTheme="minorEastAsia" w:cstheme="minorEastAsia"/>
                <w:sz w:val="18"/>
                <w:szCs w:val="18"/>
                <w:vertAlign w:val="baseline"/>
              </w:rPr>
            </w:pPr>
          </w:p>
        </w:tc>
        <w:tc>
          <w:tcPr>
            <w:tcW w:w="1008" w:type="dxa"/>
            <w:vAlign w:val="center"/>
          </w:tcPr>
          <w:p>
            <w:pPr>
              <w:jc w:val="center"/>
              <w:rPr>
                <w:rFonts w:hint="eastAsia" w:asciiTheme="minorEastAsia" w:hAnsiTheme="minorEastAsia" w:eastAsiaTheme="minorEastAsia" w:cstheme="minorEastAsia"/>
                <w:sz w:val="18"/>
                <w:szCs w:val="1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vAlign w:val="center"/>
          </w:tcPr>
          <w:p>
            <w:pPr>
              <w:jc w:val="center"/>
              <w:rPr>
                <w:rFonts w:hint="eastAsia" w:asciiTheme="minorEastAsia" w:hAnsiTheme="minorEastAsia" w:eastAsiaTheme="minorEastAsia" w:cstheme="minorEastAsia"/>
                <w:sz w:val="18"/>
                <w:szCs w:val="18"/>
                <w:vertAlign w:val="baseline"/>
                <w:lang w:val="en-US" w:eastAsia="zh-CN"/>
              </w:rPr>
            </w:pPr>
            <w:r>
              <w:rPr>
                <w:rFonts w:hint="eastAsia" w:asciiTheme="minorEastAsia" w:hAnsiTheme="minorEastAsia" w:cstheme="minorEastAsia"/>
                <w:sz w:val="18"/>
                <w:szCs w:val="18"/>
                <w:vertAlign w:val="baseline"/>
                <w:lang w:val="en-US" w:eastAsia="zh-CN"/>
              </w:rPr>
              <w:t>7</w:t>
            </w:r>
          </w:p>
        </w:tc>
        <w:tc>
          <w:tcPr>
            <w:tcW w:w="2237" w:type="dxa"/>
            <w:vAlign w:val="center"/>
          </w:tcPr>
          <w:p>
            <w:pPr>
              <w:jc w:val="both"/>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合同草案条款响应</w:t>
            </w:r>
          </w:p>
        </w:tc>
        <w:tc>
          <w:tcPr>
            <w:tcW w:w="3559" w:type="dxa"/>
            <w:vAlign w:val="center"/>
          </w:tcPr>
          <w:p>
            <w:pPr>
              <w:jc w:val="both"/>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有完全理解并接受磋商文件合同草案条款要求的描述。</w:t>
            </w:r>
          </w:p>
        </w:tc>
        <w:tc>
          <w:tcPr>
            <w:tcW w:w="982" w:type="dxa"/>
            <w:vAlign w:val="center"/>
          </w:tcPr>
          <w:p>
            <w:pPr>
              <w:jc w:val="center"/>
              <w:rPr>
                <w:rFonts w:hint="eastAsia" w:asciiTheme="minorEastAsia" w:hAnsiTheme="minorEastAsia" w:eastAsiaTheme="minorEastAsia" w:cstheme="minorEastAsia"/>
                <w:sz w:val="18"/>
                <w:szCs w:val="18"/>
                <w:vertAlign w:val="baseline"/>
              </w:rPr>
            </w:pPr>
          </w:p>
        </w:tc>
        <w:tc>
          <w:tcPr>
            <w:tcW w:w="1008" w:type="dxa"/>
            <w:vAlign w:val="center"/>
          </w:tcPr>
          <w:p>
            <w:pPr>
              <w:jc w:val="center"/>
              <w:rPr>
                <w:rFonts w:hint="eastAsia" w:asciiTheme="minorEastAsia" w:hAnsiTheme="minorEastAsia" w:eastAsiaTheme="minorEastAsia" w:cstheme="minorEastAsia"/>
                <w:sz w:val="18"/>
                <w:szCs w:val="1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vAlign w:val="center"/>
          </w:tcPr>
          <w:p>
            <w:pPr>
              <w:jc w:val="center"/>
              <w:rPr>
                <w:rFonts w:hint="eastAsia" w:asciiTheme="minorEastAsia" w:hAnsiTheme="minorEastAsia" w:eastAsiaTheme="minorEastAsia" w:cstheme="minorEastAsia"/>
                <w:sz w:val="18"/>
                <w:szCs w:val="18"/>
                <w:vertAlign w:val="baseline"/>
                <w:lang w:val="en-US" w:eastAsia="zh-CN"/>
              </w:rPr>
            </w:pPr>
            <w:r>
              <w:rPr>
                <w:rFonts w:hint="eastAsia" w:asciiTheme="minorEastAsia" w:hAnsiTheme="minorEastAsia" w:cstheme="minorEastAsia"/>
                <w:sz w:val="18"/>
                <w:szCs w:val="18"/>
                <w:vertAlign w:val="baseline"/>
                <w:lang w:val="en-US" w:eastAsia="zh-CN"/>
              </w:rPr>
              <w:t>8</w:t>
            </w:r>
          </w:p>
        </w:tc>
        <w:tc>
          <w:tcPr>
            <w:tcW w:w="2237" w:type="dxa"/>
            <w:vAlign w:val="center"/>
          </w:tcPr>
          <w:p>
            <w:pPr>
              <w:jc w:val="both"/>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无其他磋商文件或法</w:t>
            </w:r>
          </w:p>
          <w:p>
            <w:pPr>
              <w:jc w:val="both"/>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规明确规定响应无效</w:t>
            </w:r>
          </w:p>
          <w:p>
            <w:pPr>
              <w:jc w:val="both"/>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的事项</w:t>
            </w:r>
          </w:p>
        </w:tc>
        <w:tc>
          <w:tcPr>
            <w:tcW w:w="3559" w:type="dxa"/>
            <w:vAlign w:val="center"/>
          </w:tcPr>
          <w:p>
            <w:pPr>
              <w:jc w:val="both"/>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没有不符合磋商文件规定的被视为无效响应的其他条款。</w:t>
            </w:r>
          </w:p>
        </w:tc>
        <w:tc>
          <w:tcPr>
            <w:tcW w:w="982" w:type="dxa"/>
            <w:vAlign w:val="center"/>
          </w:tcPr>
          <w:p>
            <w:pPr>
              <w:jc w:val="center"/>
              <w:rPr>
                <w:rFonts w:hint="eastAsia" w:asciiTheme="minorEastAsia" w:hAnsiTheme="minorEastAsia" w:eastAsiaTheme="minorEastAsia" w:cstheme="minorEastAsia"/>
                <w:sz w:val="18"/>
                <w:szCs w:val="18"/>
                <w:vertAlign w:val="baseline"/>
              </w:rPr>
            </w:pPr>
          </w:p>
        </w:tc>
        <w:tc>
          <w:tcPr>
            <w:tcW w:w="1008" w:type="dxa"/>
            <w:vAlign w:val="center"/>
          </w:tcPr>
          <w:p>
            <w:pPr>
              <w:jc w:val="center"/>
              <w:rPr>
                <w:rFonts w:hint="eastAsia" w:asciiTheme="minorEastAsia" w:hAnsiTheme="minorEastAsia" w:eastAsiaTheme="minorEastAsia" w:cstheme="minorEastAsia"/>
                <w:sz w:val="18"/>
                <w:szCs w:val="1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5"/>
            <w:vAlign w:val="center"/>
          </w:tcPr>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磋商小组成员：（签字或盖章）</w:t>
            </w:r>
          </w:p>
        </w:tc>
      </w:tr>
    </w:tbl>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3、响应文件的澄清</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（1）磋商小组在对响应文件的有效性、完整性和响应程度进行审查时，可以要求供应商对响应文件中含义不明确、同类问题表述不一致或者有明显文字和计算错误的内容等做出必要的澄清、说明或者更正。</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（2）依照《中华人民共和国民法典》中的过失责任原则，澄清、说明或更正前磋商小组将按最不利于参与本次磋商供应商的原则对响应文件做出评判。</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磋商小组要求供应商澄清、说明或者更正响应文件应当以书面形式做出。供应商应当在规定的澄清时限内通过公共资源交易平台（以下简称“平台”）或电子邮件（在平台无法支持的情况下）等书面形式提交，供应商的澄清、说明或者更正应当由法定代表人或其授权代表签字或者加盖公章。</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（4）供应商的澄清、说明或者更正不得超出响应文件的范围或者改变响应文件的实质性内容。澄清、说明或者更正的内容将作为合同履行的重要依据。</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除采用竞争性磋商方式采购的政府购买服务项目、市场竞争不充分的科研项目以及需要扶持的科技成果转化项目外，通过符合性审查的供应商不足3家的，不得进行后续磋商活动，应予以废标。</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4、进行磋商</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磋商小组所有成员应当集中与单一供应商分别进行磋商，并给予所有参加磋商的供应商平等的磋商机会。需要供应商书面答复磋商内容的，供应商应当按照磋商小组的要求，在磋商小组规定的时限内通过公共资源交易平台（以下简称“平台”）或电子邮件（在平台无法支持的情况下）等书面形式答复磋商的内容，并由法定代表人或其授权代表签字或者加盖公章。</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5、磋商文件的实质性变更</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（1）在磋商过程中，磋商小组可以根据磋商文件和磋商情况实质性变动采购需求中的技术、服务要求以及合同草案条款，但不得变动磋商文件中的其他内容。实质性变动的内容，须经采购人代表确认。</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（2）对磋商文件作出的实质性变动是磋商文件的有效组成部分，磋商小组将通过公共资源交易平台（以下简称“平台”）或电子邮件（在平台无法支持的情况下）等书面形式通知所有参加磋商的供应商。</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（3）供应商应当按照磋商文件的变动情况和磋商小组的要求，在磋商小组规定的时限内重新提交响应文件，并用数字认证证书（CA锁）签章或由法定代表人或其授权代表签字或者加盖公章。</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（4）供应商未能在规定的时间内按照磋商小组的要求通过公共资源交易平台（以下简称“平台”）或电子邮件（在平台无法支持的情况下）等书面形式提交实质性变更响应文件的，视作未实质性响应。</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6、最后报价</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（1）磋商文件能够详细列明采购标的的技术、服务要求的，磋商结束后，磋商小组应当要求所有实质性响应的供应商在规定时间内提交最后报价，提交最后报价的供应商不得少于3家。</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最后报价是供应商响应文件的有效组成部分。符合《政府采购竞争性磋商采购人管理暂行办法》第三条第四项情形的，即市场竞争不充分的科研项目，以及需要扶持的科技成果转化项目，提交最后报价的供应商可以为2家。根据《财政部关于政府采购竞争性磋商采购人管理暂行办法有关问题的补充通知》（财库〔2015〕124号），采购的政府购买服务项目（含政府和社会资本合作项目），在采购过程中符合要求的供应商（社会资本）只有2家的，竞争性磋商采购活动可以继续进行。</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供应商要在电子交易平台中提交最后报价，并用数字认证证书（CA锁）签章。平台系统无法使用时，供应商要按照磋商小组要求，通过电子邮件等书面形式提交最后报价表。最后报价表应由其法定代表人或授权代表签字或者加盖公章。最后报价将作为综合评分法中价格分的计算依据。</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（5）已提交响应文件的供应商，在提交最后报价之前，可以根据磋商情况书面申请退出磋商，书面申请应由其法定代表人或授权代表签字或者加盖公章。</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磋商小组认为供应商的报价明显低于其他通过符合性审查供应商的报价，有可能影响工程、货物、服务质量或者不能诚信履约的，要求供应商在规定时间内通过公共资源交易平台（以下简称“平台”）或电子邮件（在平台无法支持的情况下）等书面形式提供说明（必要时提交相关证明材料），供应商不能证明其报价合理性的，按无效响应对待。</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7、综合比较与评价</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经磋商确定最终采购需求和提交最后报价的供应商后，由磋商小组按“评审要素及分值一览表”中规定的评审方法和标准，对提交最后报价的供应商的响应文件和最后报价进行综合评分。</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评审时，磋商小组各成员应当独立对每个有效响应的文件进行评价、打分，然后汇总每个供应商每项评审因素的得分</w:t>
      </w:r>
      <w:r>
        <w:rPr>
          <w:rFonts w:hint="eastAsia" w:asciiTheme="minorEastAsia" w:hAnsiTheme="minorEastAsia" w:cstheme="minorEastAsia"/>
          <w:sz w:val="24"/>
          <w:szCs w:val="24"/>
          <w:lang w:eastAsia="zh-CN"/>
        </w:rPr>
        <w:t>。</w:t>
      </w:r>
    </w:p>
    <w:p>
      <w:pPr>
        <w:ind w:left="0" w:leftChars="0" w:firstLine="0" w:firstLineChars="0"/>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评审要素及分值一览表</w:t>
      </w:r>
    </w:p>
    <w:tbl>
      <w:tblPr>
        <w:tblStyle w:val="10"/>
        <w:tblW w:w="874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00"/>
        <w:gridCol w:w="1159"/>
        <w:gridCol w:w="63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0" w:type="dxa"/>
          </w:tcPr>
          <w:p>
            <w:pPr>
              <w:jc w:val="center"/>
              <w:rPr>
                <w:rFonts w:hint="eastAsia" w:asciiTheme="minorEastAsia" w:hAnsiTheme="minorEastAsia" w:eastAsiaTheme="minorEastAsia" w:cstheme="minorEastAsia"/>
                <w:b/>
                <w:bCs/>
                <w:sz w:val="18"/>
                <w:szCs w:val="18"/>
                <w:vertAlign w:val="baseline"/>
              </w:rPr>
            </w:pPr>
            <w:r>
              <w:rPr>
                <w:rFonts w:hint="eastAsia" w:asciiTheme="minorEastAsia" w:hAnsiTheme="minorEastAsia" w:eastAsiaTheme="minorEastAsia" w:cstheme="minorEastAsia"/>
                <w:b/>
                <w:bCs/>
                <w:sz w:val="18"/>
                <w:szCs w:val="18"/>
                <w:vertAlign w:val="baseline"/>
              </w:rPr>
              <w:t>名称</w:t>
            </w:r>
          </w:p>
        </w:tc>
        <w:tc>
          <w:tcPr>
            <w:tcW w:w="1159" w:type="dxa"/>
          </w:tcPr>
          <w:p>
            <w:pPr>
              <w:jc w:val="center"/>
              <w:rPr>
                <w:rFonts w:hint="eastAsia" w:asciiTheme="minorEastAsia" w:hAnsiTheme="minorEastAsia" w:eastAsiaTheme="minorEastAsia" w:cstheme="minorEastAsia"/>
                <w:b/>
                <w:bCs/>
                <w:sz w:val="18"/>
                <w:szCs w:val="18"/>
                <w:vertAlign w:val="baseline"/>
              </w:rPr>
            </w:pPr>
            <w:r>
              <w:rPr>
                <w:rFonts w:hint="eastAsia" w:asciiTheme="minorEastAsia" w:hAnsiTheme="minorEastAsia" w:eastAsiaTheme="minorEastAsia" w:cstheme="minorEastAsia"/>
                <w:b/>
                <w:bCs/>
                <w:sz w:val="18"/>
                <w:szCs w:val="18"/>
                <w:vertAlign w:val="baseline"/>
              </w:rPr>
              <w:t>最高分值</w:t>
            </w:r>
          </w:p>
        </w:tc>
        <w:tc>
          <w:tcPr>
            <w:tcW w:w="6382" w:type="dxa"/>
          </w:tcPr>
          <w:p>
            <w:pPr>
              <w:jc w:val="center"/>
              <w:rPr>
                <w:rFonts w:hint="eastAsia" w:asciiTheme="minorEastAsia" w:hAnsiTheme="minorEastAsia" w:eastAsiaTheme="minorEastAsia" w:cstheme="minorEastAsia"/>
                <w:b/>
                <w:bCs/>
                <w:sz w:val="18"/>
                <w:szCs w:val="18"/>
                <w:vertAlign w:val="baseline"/>
              </w:rPr>
            </w:pPr>
            <w:r>
              <w:rPr>
                <w:rFonts w:hint="eastAsia" w:asciiTheme="minorEastAsia" w:hAnsiTheme="minorEastAsia" w:eastAsiaTheme="minorEastAsia" w:cstheme="minorEastAsia"/>
                <w:b/>
                <w:bCs/>
                <w:sz w:val="18"/>
                <w:szCs w:val="18"/>
                <w:vertAlign w:val="baseline"/>
              </w:rPr>
              <w:t>评审要素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0" w:type="dxa"/>
            <w:vAlign w:val="center"/>
          </w:tcPr>
          <w:p>
            <w:pPr>
              <w:jc w:val="center"/>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磋商报价</w:t>
            </w:r>
          </w:p>
        </w:tc>
        <w:tc>
          <w:tcPr>
            <w:tcW w:w="1159" w:type="dxa"/>
            <w:vAlign w:val="center"/>
          </w:tcPr>
          <w:p>
            <w:pPr>
              <w:jc w:val="center"/>
              <w:rPr>
                <w:rFonts w:hint="default" w:asciiTheme="minorEastAsia" w:hAnsiTheme="minorEastAsia" w:eastAsiaTheme="minorEastAsia" w:cstheme="minorEastAsia"/>
                <w:sz w:val="18"/>
                <w:szCs w:val="18"/>
                <w:vertAlign w:val="baseline"/>
                <w:lang w:val="en-US" w:eastAsia="zh-CN"/>
              </w:rPr>
            </w:pPr>
            <w:r>
              <w:rPr>
                <w:rFonts w:hint="eastAsia" w:asciiTheme="minorEastAsia" w:hAnsiTheme="minorEastAsia" w:cstheme="minorEastAsia"/>
                <w:sz w:val="18"/>
                <w:szCs w:val="18"/>
                <w:vertAlign w:val="baseline"/>
                <w:lang w:val="en-US" w:eastAsia="zh-CN"/>
              </w:rPr>
              <w:t>10</w:t>
            </w:r>
          </w:p>
        </w:tc>
        <w:tc>
          <w:tcPr>
            <w:tcW w:w="6382" w:type="dxa"/>
          </w:tcPr>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满足磋商文件要求且最后报价最低的供应商的价格（落实政府采购政策进行价格调整的，以调整后的价格计算）为磋商基准价得10分，其他各供应商的最后磋商报价得分按下列公式计算：（磋商基准价/最后磋商报价）×10%×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0" w:type="dxa"/>
            <w:vAlign w:val="center"/>
          </w:tcPr>
          <w:p>
            <w:pPr>
              <w:jc w:val="center"/>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总体方案</w:t>
            </w:r>
          </w:p>
        </w:tc>
        <w:tc>
          <w:tcPr>
            <w:tcW w:w="1159" w:type="dxa"/>
            <w:vAlign w:val="center"/>
          </w:tcPr>
          <w:p>
            <w:pPr>
              <w:jc w:val="center"/>
              <w:rPr>
                <w:rFonts w:hint="eastAsia" w:asciiTheme="minorEastAsia" w:hAnsiTheme="minorEastAsia" w:eastAsiaTheme="minorEastAsia" w:cstheme="minorEastAsia"/>
                <w:sz w:val="18"/>
                <w:szCs w:val="18"/>
                <w:vertAlign w:val="baseline"/>
                <w:lang w:val="en-US" w:eastAsia="zh-CN"/>
              </w:rPr>
            </w:pPr>
            <w:r>
              <w:rPr>
                <w:rFonts w:hint="eastAsia" w:asciiTheme="minorEastAsia" w:hAnsiTheme="minorEastAsia" w:cstheme="minorEastAsia"/>
                <w:sz w:val="18"/>
                <w:szCs w:val="18"/>
                <w:vertAlign w:val="baseline"/>
                <w:lang w:val="en-US" w:eastAsia="zh-CN"/>
              </w:rPr>
              <w:t>6</w:t>
            </w:r>
          </w:p>
        </w:tc>
        <w:tc>
          <w:tcPr>
            <w:tcW w:w="6382" w:type="dxa"/>
          </w:tcPr>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一、评审内容</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供应商提出针对于本项目的总体方案，方案内容包含：①服务目标②服务计划③服务理念及特色④重难点分析及保障措施。</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二、评审标准</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1、完整性：方案须全面，对评审内容中的各项要求有详细描述；</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2、可实施性：切合本项目实际情况，实施步骤清晰、合理；</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3、针对性：方案能够紧扣项目实际情况，内容科学合理。</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三、赋分标准（满分6分）</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①服务目标：每完全满足一个评审标准得0.5分，满分1.5分；</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②服务计划:每完全满足一个评审标准得0.5分，满分1.5分；</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③服务理念及特色:每完全满足一个评审标准得0.5分，满分1.5分；</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④重难点分析及保障措施：每完全满足一个评审标准得0.5分，满分1.5分。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0" w:type="dxa"/>
            <w:vAlign w:val="center"/>
          </w:tcPr>
          <w:p>
            <w:pPr>
              <w:jc w:val="center"/>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安全</w:t>
            </w:r>
          </w:p>
          <w:p>
            <w:pPr>
              <w:jc w:val="center"/>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管理</w:t>
            </w:r>
          </w:p>
          <w:p>
            <w:pPr>
              <w:jc w:val="center"/>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服务</w:t>
            </w:r>
          </w:p>
          <w:p>
            <w:pPr>
              <w:jc w:val="center"/>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方案</w:t>
            </w:r>
          </w:p>
        </w:tc>
        <w:tc>
          <w:tcPr>
            <w:tcW w:w="1159" w:type="dxa"/>
            <w:vAlign w:val="center"/>
          </w:tcPr>
          <w:p>
            <w:pPr>
              <w:jc w:val="center"/>
              <w:rPr>
                <w:rFonts w:hint="default" w:asciiTheme="minorEastAsia" w:hAnsiTheme="minorEastAsia" w:eastAsiaTheme="minorEastAsia" w:cstheme="minorEastAsia"/>
                <w:sz w:val="18"/>
                <w:szCs w:val="18"/>
                <w:vertAlign w:val="baseline"/>
                <w:lang w:val="en-US" w:eastAsia="zh-CN"/>
              </w:rPr>
            </w:pPr>
            <w:r>
              <w:rPr>
                <w:rFonts w:hint="eastAsia" w:asciiTheme="minorEastAsia" w:hAnsiTheme="minorEastAsia" w:cstheme="minorEastAsia"/>
                <w:sz w:val="18"/>
                <w:szCs w:val="18"/>
                <w:vertAlign w:val="baseline"/>
                <w:lang w:val="en-US" w:eastAsia="zh-CN"/>
              </w:rPr>
              <w:t>4.5</w:t>
            </w:r>
          </w:p>
        </w:tc>
        <w:tc>
          <w:tcPr>
            <w:tcW w:w="6382" w:type="dxa"/>
          </w:tcPr>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一、评审内容</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供应商提出针对于本项目的安全管理服务方案，方案内容包含：①车辆登记管理制度②突发事件应急处理预案③安全管理人员巡逻方案。</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二、评审标准</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1、完整性：方案须全面，对评审内容中的各项要求有详细描述；</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2、可实施性：切合本项目实际情况，实施步骤清晰、合理；</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3、针对性：方案能够紧扣项目实际情况，内容科学合理。</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三、赋分标准（满分4.5分）</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①车辆登记管理制度：每完全满足一个评审标准得0.5分，满分1.5分；</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②突发事件应急处理预案:每完全满足一个评审标准得0.5分，满分1.5分；</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③安全管理人员巡逻方案:每完全满足一个评审标准得0.5分，满分1.5分。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0" w:type="dxa"/>
            <w:vAlign w:val="center"/>
          </w:tcPr>
          <w:p>
            <w:pPr>
              <w:jc w:val="center"/>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保洁</w:t>
            </w:r>
          </w:p>
          <w:p>
            <w:pPr>
              <w:jc w:val="center"/>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服务</w:t>
            </w:r>
          </w:p>
          <w:p>
            <w:pPr>
              <w:jc w:val="center"/>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方案</w:t>
            </w:r>
          </w:p>
        </w:tc>
        <w:tc>
          <w:tcPr>
            <w:tcW w:w="1159" w:type="dxa"/>
            <w:vAlign w:val="center"/>
          </w:tcPr>
          <w:p>
            <w:pPr>
              <w:jc w:val="center"/>
              <w:rPr>
                <w:rFonts w:hint="eastAsia" w:asciiTheme="minorEastAsia" w:hAnsiTheme="minorEastAsia" w:eastAsiaTheme="minorEastAsia" w:cstheme="minorEastAsia"/>
                <w:sz w:val="18"/>
                <w:szCs w:val="18"/>
                <w:vertAlign w:val="baseline"/>
                <w:lang w:val="en-US" w:eastAsia="zh-CN"/>
              </w:rPr>
            </w:pPr>
            <w:r>
              <w:rPr>
                <w:rFonts w:hint="eastAsia" w:asciiTheme="minorEastAsia" w:hAnsiTheme="minorEastAsia" w:cstheme="minorEastAsia"/>
                <w:sz w:val="18"/>
                <w:szCs w:val="18"/>
                <w:vertAlign w:val="baseline"/>
                <w:lang w:val="en-US" w:eastAsia="zh-CN"/>
              </w:rPr>
              <w:t>3</w:t>
            </w:r>
          </w:p>
        </w:tc>
        <w:tc>
          <w:tcPr>
            <w:tcW w:w="6382" w:type="dxa"/>
          </w:tcPr>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一、评审内容</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供应商针对本项目提供保洁服务方案，内容包含：①室内保洁服务②室外卫生保洁服务。</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二、评审标准</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1、完整性：方案须全面，对评审内容中的各项要求有详细描述；</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2、可实施性：切合本项目实际情况，实施步骤清晰、合理；</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3、针对性：方案能够紧扣项目实际情况，内容科学合理。</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三、赋分标准（满分3分）</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①室内保洁服务：每完全满足一项评审标准得0.5分，满分1.5分；</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②室外卫生保洁服务：每完全满足一项评审标准得0.5分，满分1.5分。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0" w:hRule="atLeast"/>
        </w:trPr>
        <w:tc>
          <w:tcPr>
            <w:tcW w:w="1200" w:type="dxa"/>
            <w:vAlign w:val="center"/>
          </w:tcPr>
          <w:p>
            <w:pPr>
              <w:jc w:val="center"/>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校园</w:t>
            </w:r>
          </w:p>
          <w:p>
            <w:pPr>
              <w:jc w:val="center"/>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绿化</w:t>
            </w:r>
          </w:p>
          <w:p>
            <w:pPr>
              <w:jc w:val="center"/>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养护</w:t>
            </w:r>
          </w:p>
          <w:p>
            <w:pPr>
              <w:jc w:val="center"/>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方案</w:t>
            </w:r>
          </w:p>
        </w:tc>
        <w:tc>
          <w:tcPr>
            <w:tcW w:w="1159" w:type="dxa"/>
            <w:vAlign w:val="center"/>
          </w:tcPr>
          <w:p>
            <w:pPr>
              <w:jc w:val="center"/>
              <w:rPr>
                <w:rFonts w:hint="eastAsia" w:asciiTheme="minorEastAsia" w:hAnsiTheme="minorEastAsia" w:eastAsiaTheme="minorEastAsia" w:cstheme="minorEastAsia"/>
                <w:sz w:val="18"/>
                <w:szCs w:val="18"/>
                <w:vertAlign w:val="baseline"/>
                <w:lang w:val="en-US" w:eastAsia="zh-CN"/>
              </w:rPr>
            </w:pPr>
            <w:r>
              <w:rPr>
                <w:rFonts w:hint="eastAsia" w:asciiTheme="minorEastAsia" w:hAnsiTheme="minorEastAsia" w:cstheme="minorEastAsia"/>
                <w:sz w:val="18"/>
                <w:szCs w:val="18"/>
                <w:vertAlign w:val="baseline"/>
                <w:lang w:val="en-US" w:eastAsia="zh-CN"/>
              </w:rPr>
              <w:t>6</w:t>
            </w:r>
          </w:p>
        </w:tc>
        <w:tc>
          <w:tcPr>
            <w:tcW w:w="6382" w:type="dxa"/>
          </w:tcPr>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一、评审内容</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供应商针对本项目提出校园绿化养护服务方案，方案内容包含：①绿化日常管护：对服务区域内的草坪、树木、植物进行修剪、浇灌、除草和病虫害防治、屋顶绿化②其他管理：枯死植物更换、活动保障、花卉摆放及养护管理。</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二、评审标准</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1、完整性：方案须全面，对评审内容中的各项要求有详细描述及说明；</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2、可实施性：切合本项目实际情况，实施步骤清晰、合理；</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3、针对性：方案能够紧扣项目实际情况，内容科学合理。</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三、赋分标准（满分6分）</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①绿化日常管护：每完全满足一项评审标准得1分，满分3分；</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②其他管理：每完全满足一项评审标准得1分，满分3分。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0" w:type="dxa"/>
            <w:vAlign w:val="center"/>
          </w:tcPr>
          <w:p>
            <w:pPr>
              <w:jc w:val="center"/>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工程</w:t>
            </w:r>
          </w:p>
          <w:p>
            <w:pPr>
              <w:jc w:val="center"/>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维修</w:t>
            </w:r>
          </w:p>
          <w:p>
            <w:pPr>
              <w:jc w:val="center"/>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服务</w:t>
            </w:r>
          </w:p>
          <w:p>
            <w:pPr>
              <w:jc w:val="center"/>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方案</w:t>
            </w:r>
          </w:p>
        </w:tc>
        <w:tc>
          <w:tcPr>
            <w:tcW w:w="1159" w:type="dxa"/>
            <w:vAlign w:val="center"/>
          </w:tcPr>
          <w:p>
            <w:pPr>
              <w:jc w:val="center"/>
              <w:rPr>
                <w:rFonts w:hint="default" w:asciiTheme="minorEastAsia" w:hAnsiTheme="minorEastAsia" w:cstheme="minorEastAsia"/>
                <w:sz w:val="18"/>
                <w:szCs w:val="18"/>
                <w:vertAlign w:val="baseline"/>
                <w:lang w:val="en-US" w:eastAsia="zh-CN"/>
              </w:rPr>
            </w:pPr>
            <w:r>
              <w:rPr>
                <w:rFonts w:hint="eastAsia" w:asciiTheme="minorEastAsia" w:hAnsiTheme="minorEastAsia" w:cstheme="minorEastAsia"/>
                <w:sz w:val="18"/>
                <w:szCs w:val="18"/>
                <w:vertAlign w:val="baseline"/>
                <w:lang w:val="en-US" w:eastAsia="zh-CN"/>
              </w:rPr>
              <w:t>6</w:t>
            </w:r>
          </w:p>
        </w:tc>
        <w:tc>
          <w:tcPr>
            <w:tcW w:w="6382" w:type="dxa"/>
          </w:tcPr>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一、评审内容</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供应商针对本项目工程维修服务方案，方案内容包含：①校园设备维修：低压变配电设施、设备的日常管理、使用和一般性维修等方案②建筑主体及内外装饰的日常管理方案③东区设施维修：物业共用设施和附属建筑物、构筑物的一般性维修、养护和管理方案④教学楼设施维修：教学楼所有水、电、供暖设备设施，全部机电设备设施的日常管理、保养和一般性维修工作。</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二、评审标准</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1、完整性：方案须全面，对评审内容中的各项要求有详细描述及说明；</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2、可实施性：切合本项目实际情况，实施步骤清晰、合理；</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3、针对性：方案能够紧扣项目实际情况，内容科学合理</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三、赋分标准（满分6分）</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①校园设备维修:每完全满足一项评审标准得0.5分，满分1.5分；</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②建筑主体及内外装饰的日常管理方案：每完全满足一项评审标准得0.5分，满分1.5分；</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③东区设施维修：每完全满足一项评审标准得0.5分，满分1.5分；</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④教学楼设施维修：每完全满足一项评审标准得0.5分，满分1.5分。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0" w:type="dxa"/>
            <w:vAlign w:val="center"/>
          </w:tcPr>
          <w:p>
            <w:pPr>
              <w:jc w:val="center"/>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特种</w:t>
            </w:r>
          </w:p>
          <w:p>
            <w:pPr>
              <w:jc w:val="center"/>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设备</w:t>
            </w:r>
          </w:p>
          <w:p>
            <w:pPr>
              <w:jc w:val="center"/>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设施</w:t>
            </w:r>
          </w:p>
          <w:p>
            <w:pPr>
              <w:jc w:val="center"/>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管理</w:t>
            </w:r>
          </w:p>
          <w:p>
            <w:pPr>
              <w:jc w:val="center"/>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方案</w:t>
            </w:r>
          </w:p>
        </w:tc>
        <w:tc>
          <w:tcPr>
            <w:tcW w:w="1159" w:type="dxa"/>
            <w:vAlign w:val="center"/>
          </w:tcPr>
          <w:p>
            <w:pPr>
              <w:jc w:val="center"/>
              <w:rPr>
                <w:rFonts w:hint="default" w:asciiTheme="minorEastAsia" w:hAnsiTheme="minorEastAsia" w:cstheme="minorEastAsia"/>
                <w:sz w:val="18"/>
                <w:szCs w:val="18"/>
                <w:vertAlign w:val="baseline"/>
                <w:lang w:val="en-US" w:eastAsia="zh-CN"/>
              </w:rPr>
            </w:pPr>
            <w:r>
              <w:rPr>
                <w:rFonts w:hint="eastAsia" w:asciiTheme="minorEastAsia" w:hAnsiTheme="minorEastAsia" w:cstheme="minorEastAsia"/>
                <w:sz w:val="18"/>
                <w:szCs w:val="18"/>
                <w:vertAlign w:val="baseline"/>
                <w:lang w:val="en-US" w:eastAsia="zh-CN"/>
              </w:rPr>
              <w:t>6</w:t>
            </w:r>
          </w:p>
        </w:tc>
        <w:tc>
          <w:tcPr>
            <w:tcW w:w="6382" w:type="dxa"/>
          </w:tcPr>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一、评审内容</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供应商针对本项目特种设备设施管理方案，方案内容包含：①电梯日常管理②消防设施管理③锅炉设备管理④监控设备管理。</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二、评审标准</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1、完整性：方案须全面，对评审内容中的各项要求有详细描述及说明；</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2、可实施性：切合本项目实际情况，实施步骤清晰、合理；</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3、针对性：方案能够紧扣项目实际情况，内容科学合理</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三、赋分标准（满分6分）</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①电梯日常管理:每完全满足一项评审标准得0.5分，满分1.5分；</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②消防设施管理：每完全满足一项评审标准得0.5分，满分1.5分；</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③锅炉设备管理：每完全满足一项评审标准得0.5分，满分1.5分；</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④监控设备管理：每完全满足一项评审标准得0.5分，满分1.5分。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0" w:type="dxa"/>
            <w:vAlign w:val="center"/>
          </w:tcPr>
          <w:p>
            <w:pPr>
              <w:jc w:val="center"/>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校园</w:t>
            </w:r>
          </w:p>
          <w:p>
            <w:pPr>
              <w:jc w:val="center"/>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活动</w:t>
            </w:r>
          </w:p>
          <w:p>
            <w:pPr>
              <w:jc w:val="center"/>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服务</w:t>
            </w:r>
          </w:p>
          <w:p>
            <w:pPr>
              <w:jc w:val="center"/>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方案</w:t>
            </w:r>
          </w:p>
        </w:tc>
        <w:tc>
          <w:tcPr>
            <w:tcW w:w="1159" w:type="dxa"/>
            <w:vAlign w:val="center"/>
          </w:tcPr>
          <w:p>
            <w:pPr>
              <w:jc w:val="center"/>
              <w:rPr>
                <w:rFonts w:hint="default" w:asciiTheme="minorEastAsia" w:hAnsiTheme="minorEastAsia" w:cstheme="minorEastAsia"/>
                <w:sz w:val="18"/>
                <w:szCs w:val="18"/>
                <w:vertAlign w:val="baseline"/>
                <w:lang w:val="en-US" w:eastAsia="zh-CN"/>
              </w:rPr>
            </w:pPr>
            <w:r>
              <w:rPr>
                <w:rFonts w:hint="eastAsia" w:asciiTheme="minorEastAsia" w:hAnsiTheme="minorEastAsia" w:cstheme="minorEastAsia"/>
                <w:sz w:val="18"/>
                <w:szCs w:val="18"/>
                <w:vertAlign w:val="baseline"/>
                <w:lang w:val="en-US" w:eastAsia="zh-CN"/>
              </w:rPr>
              <w:t>3</w:t>
            </w:r>
          </w:p>
        </w:tc>
        <w:tc>
          <w:tcPr>
            <w:tcW w:w="6382" w:type="dxa"/>
          </w:tcPr>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一、评审内容</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供应商针对本项目提出校园活动服务方案，方案内容包含：①大型活动会场布置方案②大型活动应急保障服务。</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二、评审标准</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1、完整性：方案须全面，对评审内容中的各项要求有详细描述及说明；</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2、可实施性：切合本项目实际情况，实施步骤清晰、合理；</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3、针对性：方案能够紧扣项目实际情况，内容科学合理</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三、赋分标准（满分3分）</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①大型活动会场布置方案:每完全满足一项评审标准得0.5分，满分1.5分；</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②大型活动应急保障服务：每完全满足一项评审标准得0.5分，满分1.5分。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0" w:type="dxa"/>
            <w:vAlign w:val="center"/>
          </w:tcPr>
          <w:p>
            <w:pPr>
              <w:jc w:val="center"/>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机构</w:t>
            </w:r>
          </w:p>
          <w:p>
            <w:pPr>
              <w:jc w:val="center"/>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建设</w:t>
            </w:r>
          </w:p>
          <w:p>
            <w:pPr>
              <w:jc w:val="center"/>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方案</w:t>
            </w:r>
          </w:p>
        </w:tc>
        <w:tc>
          <w:tcPr>
            <w:tcW w:w="1159" w:type="dxa"/>
            <w:vAlign w:val="center"/>
          </w:tcPr>
          <w:p>
            <w:pPr>
              <w:jc w:val="center"/>
              <w:rPr>
                <w:rFonts w:hint="default" w:asciiTheme="minorEastAsia" w:hAnsiTheme="minorEastAsia" w:cstheme="minorEastAsia"/>
                <w:sz w:val="18"/>
                <w:szCs w:val="18"/>
                <w:vertAlign w:val="baseline"/>
                <w:lang w:val="en-US" w:eastAsia="zh-CN"/>
              </w:rPr>
            </w:pPr>
            <w:r>
              <w:rPr>
                <w:rFonts w:hint="eastAsia" w:asciiTheme="minorEastAsia" w:hAnsiTheme="minorEastAsia" w:cstheme="minorEastAsia"/>
                <w:sz w:val="18"/>
                <w:szCs w:val="18"/>
                <w:vertAlign w:val="baseline"/>
                <w:lang w:val="en-US" w:eastAsia="zh-CN"/>
              </w:rPr>
              <w:t>3</w:t>
            </w:r>
          </w:p>
        </w:tc>
        <w:tc>
          <w:tcPr>
            <w:tcW w:w="6382" w:type="dxa"/>
          </w:tcPr>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一、评审内容</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针对本项目制定机构建设方案，方案内容包含：①管理机构组建方案②专业服务团队的职能分工方案。</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二、评审标准</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1、完整性：方案须全面，对评审内容中的各项要求有详细描述及说明；</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2、可实施性：切合本项目实际情况，实施步骤清晰、合理；</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3、针对性：方案能够紧扣项目实际情况，内容科学合理。</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三、赋分标准（满分3分）</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①管理机构组建方案：每完全满足一项评审标准得0.5分，满分1.5分；</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②专业服务团队的职能分工方案：每完全满足一项评审标准得0.5分，满分1.5分。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0" w:type="dxa"/>
            <w:vAlign w:val="center"/>
          </w:tcPr>
          <w:p>
            <w:pPr>
              <w:jc w:val="center"/>
              <w:rPr>
                <w:rFonts w:hint="eastAsia" w:asciiTheme="minorEastAsia" w:hAnsiTheme="minorEastAsia" w:eastAsiaTheme="minorEastAsia" w:cstheme="minorEastAsia"/>
                <w:sz w:val="18"/>
                <w:szCs w:val="18"/>
                <w:vertAlign w:val="baseline"/>
                <w:lang w:val="en-US" w:eastAsia="zh-CN"/>
              </w:rPr>
            </w:pPr>
            <w:r>
              <w:rPr>
                <w:rFonts w:hint="eastAsia" w:asciiTheme="minorEastAsia" w:hAnsiTheme="minorEastAsia" w:eastAsiaTheme="minorEastAsia" w:cstheme="minorEastAsia"/>
                <w:sz w:val="18"/>
                <w:szCs w:val="18"/>
                <w:vertAlign w:val="baseline"/>
              </w:rPr>
              <w:t>应急</w:t>
            </w:r>
            <w:r>
              <w:rPr>
                <w:rFonts w:hint="eastAsia" w:asciiTheme="minorEastAsia" w:hAnsiTheme="minorEastAsia" w:cstheme="minorEastAsia"/>
                <w:sz w:val="18"/>
                <w:szCs w:val="18"/>
                <w:vertAlign w:val="baseline"/>
                <w:lang w:val="en-US" w:eastAsia="zh-CN"/>
              </w:rPr>
              <w:t>管理</w:t>
            </w:r>
          </w:p>
          <w:p>
            <w:pPr>
              <w:jc w:val="center"/>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预案</w:t>
            </w:r>
          </w:p>
        </w:tc>
        <w:tc>
          <w:tcPr>
            <w:tcW w:w="1159" w:type="dxa"/>
            <w:vAlign w:val="center"/>
          </w:tcPr>
          <w:p>
            <w:pPr>
              <w:jc w:val="center"/>
              <w:rPr>
                <w:rFonts w:hint="default" w:asciiTheme="minorEastAsia" w:hAnsiTheme="minorEastAsia" w:cstheme="minorEastAsia"/>
                <w:sz w:val="18"/>
                <w:szCs w:val="18"/>
                <w:vertAlign w:val="baseline"/>
                <w:lang w:val="en-US" w:eastAsia="zh-CN"/>
              </w:rPr>
            </w:pPr>
            <w:r>
              <w:rPr>
                <w:rFonts w:hint="eastAsia" w:asciiTheme="minorEastAsia" w:hAnsiTheme="minorEastAsia" w:cstheme="minorEastAsia"/>
                <w:sz w:val="18"/>
                <w:szCs w:val="18"/>
                <w:vertAlign w:val="baseline"/>
                <w:lang w:val="en-US" w:eastAsia="zh-CN"/>
              </w:rPr>
              <w:t>9</w:t>
            </w:r>
          </w:p>
        </w:tc>
        <w:tc>
          <w:tcPr>
            <w:tcW w:w="6382" w:type="dxa"/>
          </w:tcPr>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一、评审内容</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针对本项目特点提供应急预案，预案内容包含：①突发紧急事件：火灾、水灾、用气、用电、防汛、消防、地震的应急预案②违法事件：防盗、打架斗殴、寻衅滋事、上访的应急预案③其他：重要活动、迎检活动、大型节庆及各类检查。</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二、评审标准</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1、完整性：方案须全面，对评审内容中的各项要求有详细描述及说明；</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2、可实施性：切合本项目实际情况，步骤清晰、合理，操作性强；</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3、针对性：方案能够紧扣项目实际情况，内容科学合理。</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三、赋分标准（满分9分）</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①突发紧急事件：每完全满足一项评审标准得1分，满分3分；</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②违法事件:每完全满足一项评审标准得1分，满分3分；</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③其他：每完全满足一项评审标准得1分，满分3分。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0" w:type="dxa"/>
            <w:vAlign w:val="center"/>
          </w:tcPr>
          <w:p>
            <w:pPr>
              <w:jc w:val="center"/>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能源</w:t>
            </w:r>
          </w:p>
          <w:p>
            <w:pPr>
              <w:jc w:val="center"/>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节约</w:t>
            </w:r>
          </w:p>
          <w:p>
            <w:pPr>
              <w:jc w:val="center"/>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方案</w:t>
            </w:r>
          </w:p>
        </w:tc>
        <w:tc>
          <w:tcPr>
            <w:tcW w:w="1159" w:type="dxa"/>
            <w:vAlign w:val="center"/>
          </w:tcPr>
          <w:p>
            <w:pPr>
              <w:jc w:val="center"/>
              <w:rPr>
                <w:rFonts w:hint="default" w:asciiTheme="minorEastAsia" w:hAnsiTheme="minorEastAsia" w:cstheme="minorEastAsia"/>
                <w:sz w:val="18"/>
                <w:szCs w:val="18"/>
                <w:vertAlign w:val="baseline"/>
                <w:lang w:val="en-US" w:eastAsia="zh-CN"/>
              </w:rPr>
            </w:pPr>
            <w:r>
              <w:rPr>
                <w:rFonts w:hint="eastAsia" w:asciiTheme="minorEastAsia" w:hAnsiTheme="minorEastAsia" w:cstheme="minorEastAsia"/>
                <w:sz w:val="18"/>
                <w:szCs w:val="18"/>
                <w:vertAlign w:val="baseline"/>
                <w:lang w:val="en-US" w:eastAsia="zh-CN"/>
              </w:rPr>
              <w:t>6</w:t>
            </w:r>
          </w:p>
        </w:tc>
        <w:tc>
          <w:tcPr>
            <w:tcW w:w="6382" w:type="dxa"/>
          </w:tcPr>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一、评审内容</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针对本项目提供能源节约方案，方案内容包含：①节能降耗原则②节能降耗的具体措施。</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二、评审标准</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1、完整性：方案须全面，对评审内容中的各项要求有详细描述及说明；</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2、可实施性：切合本项目实际情况，实施步骤清晰、合理；</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3、针对性：方案能够紧扣项目实际情况，内容科学合理。</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三、赋分标准（满分6分）</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①节能降耗原则：每完全满足一项评审标准得1分，满分3分；</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②节能降耗的具体措施：每完全满足一项评审标准得1分，满分3分。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0" w:type="dxa"/>
            <w:vAlign w:val="center"/>
          </w:tcPr>
          <w:p>
            <w:pPr>
              <w:jc w:val="center"/>
              <w:rPr>
                <w:rFonts w:hint="eastAsia" w:asciiTheme="minorEastAsia" w:hAnsiTheme="minorEastAsia" w:cstheme="minorEastAsia"/>
                <w:sz w:val="18"/>
                <w:szCs w:val="18"/>
                <w:vertAlign w:val="baseline"/>
                <w:lang w:val="en-US" w:eastAsia="zh-CN"/>
              </w:rPr>
            </w:pPr>
            <w:r>
              <w:rPr>
                <w:rFonts w:hint="eastAsia" w:asciiTheme="minorEastAsia" w:hAnsiTheme="minorEastAsia" w:eastAsiaTheme="minorEastAsia" w:cstheme="minorEastAsia"/>
                <w:sz w:val="18"/>
                <w:szCs w:val="18"/>
                <w:vertAlign w:val="baseline"/>
              </w:rPr>
              <w:t>管理</w:t>
            </w:r>
            <w:r>
              <w:rPr>
                <w:rFonts w:hint="eastAsia" w:asciiTheme="minorEastAsia" w:hAnsiTheme="minorEastAsia" w:cstheme="minorEastAsia"/>
                <w:sz w:val="18"/>
                <w:szCs w:val="18"/>
                <w:vertAlign w:val="baseline"/>
                <w:lang w:val="en-US" w:eastAsia="zh-CN"/>
              </w:rPr>
              <w:t>制度、</w:t>
            </w:r>
          </w:p>
          <w:p>
            <w:pPr>
              <w:jc w:val="center"/>
              <w:rPr>
                <w:rFonts w:hint="eastAsia" w:asciiTheme="minorEastAsia" w:hAnsiTheme="minorEastAsia" w:eastAsiaTheme="minorEastAsia" w:cstheme="minorEastAsia"/>
                <w:sz w:val="18"/>
                <w:szCs w:val="18"/>
                <w:vertAlign w:val="baseline"/>
                <w:lang w:val="en-US" w:eastAsia="zh-CN"/>
              </w:rPr>
            </w:pPr>
            <w:r>
              <w:rPr>
                <w:rFonts w:hint="eastAsia" w:asciiTheme="minorEastAsia" w:hAnsiTheme="minorEastAsia" w:cstheme="minorEastAsia"/>
                <w:sz w:val="18"/>
                <w:szCs w:val="18"/>
                <w:vertAlign w:val="baseline"/>
                <w:lang w:val="en-US" w:eastAsia="zh-CN"/>
              </w:rPr>
              <w:t>培训方案</w:t>
            </w:r>
          </w:p>
        </w:tc>
        <w:tc>
          <w:tcPr>
            <w:tcW w:w="1159" w:type="dxa"/>
            <w:vAlign w:val="center"/>
          </w:tcPr>
          <w:p>
            <w:pPr>
              <w:jc w:val="center"/>
              <w:rPr>
                <w:rFonts w:hint="default" w:asciiTheme="minorEastAsia" w:hAnsiTheme="minorEastAsia" w:cstheme="minorEastAsia"/>
                <w:sz w:val="18"/>
                <w:szCs w:val="18"/>
                <w:vertAlign w:val="baseline"/>
                <w:lang w:val="en-US" w:eastAsia="zh-CN"/>
              </w:rPr>
            </w:pPr>
            <w:r>
              <w:rPr>
                <w:rFonts w:hint="eastAsia" w:asciiTheme="minorEastAsia" w:hAnsiTheme="minorEastAsia" w:cstheme="minorEastAsia"/>
                <w:sz w:val="18"/>
                <w:szCs w:val="18"/>
                <w:vertAlign w:val="baseline"/>
                <w:lang w:val="en-US" w:eastAsia="zh-CN"/>
              </w:rPr>
              <w:t>6</w:t>
            </w:r>
          </w:p>
        </w:tc>
        <w:tc>
          <w:tcPr>
            <w:tcW w:w="6382" w:type="dxa"/>
          </w:tcPr>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一、评审内容</w:t>
            </w:r>
          </w:p>
          <w:p>
            <w:pPr>
              <w:ind w:firstLine="360" w:firstLineChars="200"/>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cstheme="minorEastAsia"/>
                <w:sz w:val="18"/>
                <w:szCs w:val="18"/>
                <w:vertAlign w:val="baseline"/>
                <w:lang w:val="en-US" w:eastAsia="zh-CN"/>
              </w:rPr>
              <w:t>1、</w:t>
            </w:r>
            <w:r>
              <w:rPr>
                <w:rFonts w:hint="eastAsia" w:asciiTheme="minorEastAsia" w:hAnsiTheme="minorEastAsia" w:eastAsiaTheme="minorEastAsia" w:cstheme="minorEastAsia"/>
                <w:sz w:val="18"/>
                <w:szCs w:val="18"/>
                <w:vertAlign w:val="baseline"/>
              </w:rPr>
              <w:t>针对本项目具有良好的管理制度，制度内容包含：①岗位职责：具有岗位工作标准、服务质量标准、作业流程及作业记录②内控制度：具有管理组织机构、问责机制、监督机制、自查制度③人员管理制度：具有员工日常管理办法、请销假制度、奖惩措施、激励机制④作息制度：物业作息时间必须围绕学校师生及教学作息进行保障。</w:t>
            </w:r>
          </w:p>
          <w:p>
            <w:pPr>
              <w:ind w:firstLine="360" w:firstLineChars="200"/>
              <w:jc w:val="left"/>
              <w:rPr>
                <w:rFonts w:hint="eastAsia" w:asciiTheme="minorEastAsia" w:hAnsiTheme="minorEastAsia" w:eastAsiaTheme="minorEastAsia" w:cstheme="minorEastAsia"/>
                <w:sz w:val="18"/>
                <w:szCs w:val="18"/>
                <w:highlight w:val="none"/>
                <w:vertAlign w:val="baseline"/>
              </w:rPr>
            </w:pPr>
            <w:r>
              <w:rPr>
                <w:rFonts w:hint="eastAsia" w:asciiTheme="minorEastAsia" w:hAnsiTheme="minorEastAsia" w:cstheme="minorEastAsia"/>
                <w:sz w:val="18"/>
                <w:szCs w:val="18"/>
                <w:highlight w:val="none"/>
                <w:vertAlign w:val="baseline"/>
                <w:lang w:val="en-US" w:eastAsia="zh-CN"/>
              </w:rPr>
              <w:t>2、</w:t>
            </w:r>
            <w:r>
              <w:rPr>
                <w:rFonts w:hint="eastAsia" w:asciiTheme="minorEastAsia" w:hAnsiTheme="minorEastAsia" w:eastAsiaTheme="minorEastAsia" w:cstheme="minorEastAsia"/>
                <w:sz w:val="18"/>
                <w:szCs w:val="18"/>
                <w:highlight w:val="none"/>
                <w:vertAlign w:val="baseline"/>
              </w:rPr>
              <w:t>针对本项目制定培训考核方案，方案内容包含：①培训：针对不同</w:t>
            </w:r>
          </w:p>
          <w:p>
            <w:pPr>
              <w:pStyle w:val="3"/>
              <w:rPr>
                <w:rFonts w:hint="eastAsia" w:asciiTheme="minorEastAsia" w:hAnsiTheme="minorEastAsia" w:eastAsiaTheme="minorEastAsia" w:cstheme="minorEastAsia"/>
                <w:sz w:val="18"/>
                <w:szCs w:val="18"/>
                <w:highlight w:val="none"/>
                <w:vertAlign w:val="baseline"/>
              </w:rPr>
            </w:pPr>
            <w:r>
              <w:rPr>
                <w:rFonts w:hint="eastAsia" w:asciiTheme="minorEastAsia" w:hAnsiTheme="minorEastAsia" w:eastAsiaTheme="minorEastAsia" w:cstheme="minorEastAsia"/>
                <w:sz w:val="18"/>
                <w:szCs w:val="18"/>
                <w:highlight w:val="none"/>
                <w:vertAlign w:val="baseline"/>
              </w:rPr>
              <w:t>的岗位职责、行为规范、服务礼仪及心理辅导等方面制定培训方案②考核：针对不同的岗位、制度及工作程序制定考核方案。</w:t>
            </w:r>
          </w:p>
          <w:p>
            <w:pPr>
              <w:jc w:val="left"/>
              <w:rPr>
                <w:rFonts w:hint="eastAsia" w:asciiTheme="minorEastAsia" w:hAnsiTheme="minorEastAsia" w:eastAsiaTheme="minorEastAsia" w:cstheme="minorEastAsia"/>
                <w:sz w:val="18"/>
                <w:szCs w:val="18"/>
                <w:vertAlign w:val="baseline"/>
              </w:rPr>
            </w:pP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二、评审标准</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1、完整性：方案须全面，对评审内容中的各项要求有详细描述及说明；</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2、可实施性：切合本项目实际情况，步骤清晰、合理，操作性强；</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3、针对性：方案能够紧扣项目实际情况，内容科学合理。</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三、赋分标准（满分6分）</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①岗位职责：每完全满足一项评审标准得0.5分，满分1.5分；</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②内控制度:每完全满足一项评审标准得0.5分，满分1.5分；</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③人员管理</w:t>
            </w:r>
            <w:r>
              <w:rPr>
                <w:rFonts w:hint="eastAsia" w:asciiTheme="minorEastAsia" w:hAnsiTheme="minorEastAsia" w:cstheme="minorEastAsia"/>
                <w:sz w:val="18"/>
                <w:szCs w:val="18"/>
                <w:vertAlign w:val="baseline"/>
                <w:lang w:eastAsia="zh-CN"/>
              </w:rPr>
              <w:t>、</w:t>
            </w:r>
            <w:r>
              <w:rPr>
                <w:rFonts w:hint="eastAsia" w:asciiTheme="minorEastAsia" w:hAnsiTheme="minorEastAsia" w:cstheme="minorEastAsia"/>
                <w:sz w:val="18"/>
                <w:szCs w:val="18"/>
                <w:vertAlign w:val="baseline"/>
                <w:lang w:val="en-US" w:eastAsia="zh-CN"/>
              </w:rPr>
              <w:t>培训</w:t>
            </w:r>
            <w:r>
              <w:rPr>
                <w:rFonts w:hint="eastAsia" w:asciiTheme="minorEastAsia" w:hAnsiTheme="minorEastAsia" w:eastAsiaTheme="minorEastAsia" w:cstheme="minorEastAsia"/>
                <w:sz w:val="18"/>
                <w:szCs w:val="18"/>
                <w:vertAlign w:val="baseline"/>
              </w:rPr>
              <w:t>制度：每完全满足一项评审标准得0.5分，满分1.5分；</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④作息</w:t>
            </w:r>
            <w:r>
              <w:rPr>
                <w:rFonts w:hint="eastAsia" w:asciiTheme="minorEastAsia" w:hAnsiTheme="minorEastAsia" w:cstheme="minorEastAsia"/>
                <w:sz w:val="18"/>
                <w:szCs w:val="18"/>
                <w:vertAlign w:val="baseline"/>
                <w:lang w:eastAsia="zh-CN"/>
              </w:rPr>
              <w:t>、</w:t>
            </w:r>
            <w:r>
              <w:rPr>
                <w:rFonts w:hint="eastAsia" w:asciiTheme="minorEastAsia" w:hAnsiTheme="minorEastAsia" w:cstheme="minorEastAsia"/>
                <w:sz w:val="18"/>
                <w:szCs w:val="18"/>
                <w:vertAlign w:val="baseline"/>
                <w:lang w:val="en-US" w:eastAsia="zh-CN"/>
              </w:rPr>
              <w:t>考核</w:t>
            </w:r>
            <w:r>
              <w:rPr>
                <w:rFonts w:hint="eastAsia" w:asciiTheme="minorEastAsia" w:hAnsiTheme="minorEastAsia" w:eastAsiaTheme="minorEastAsia" w:cstheme="minorEastAsia"/>
                <w:sz w:val="18"/>
                <w:szCs w:val="18"/>
                <w:vertAlign w:val="baseline"/>
              </w:rPr>
              <w:t>制度：每完全满足一项评审标准得0.5分，满分1.5分。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0" w:type="dxa"/>
            <w:vAlign w:val="center"/>
          </w:tcPr>
          <w:p>
            <w:pPr>
              <w:jc w:val="center"/>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档案</w:t>
            </w:r>
          </w:p>
          <w:p>
            <w:pPr>
              <w:jc w:val="center"/>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管理</w:t>
            </w:r>
          </w:p>
          <w:p>
            <w:pPr>
              <w:jc w:val="center"/>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方案</w:t>
            </w:r>
          </w:p>
        </w:tc>
        <w:tc>
          <w:tcPr>
            <w:tcW w:w="1159" w:type="dxa"/>
            <w:vAlign w:val="center"/>
          </w:tcPr>
          <w:p>
            <w:pPr>
              <w:jc w:val="center"/>
              <w:rPr>
                <w:rFonts w:hint="default" w:asciiTheme="minorEastAsia" w:hAnsiTheme="minorEastAsia" w:cstheme="minorEastAsia"/>
                <w:sz w:val="18"/>
                <w:szCs w:val="18"/>
                <w:vertAlign w:val="baseline"/>
                <w:lang w:val="en-US" w:eastAsia="zh-CN"/>
              </w:rPr>
            </w:pPr>
            <w:r>
              <w:rPr>
                <w:rFonts w:hint="eastAsia" w:asciiTheme="minorEastAsia" w:hAnsiTheme="minorEastAsia" w:cstheme="minorEastAsia"/>
                <w:sz w:val="18"/>
                <w:szCs w:val="18"/>
                <w:vertAlign w:val="baseline"/>
                <w:lang w:val="en-US" w:eastAsia="zh-CN"/>
              </w:rPr>
              <w:t>4.5</w:t>
            </w:r>
          </w:p>
        </w:tc>
        <w:tc>
          <w:tcPr>
            <w:tcW w:w="6382" w:type="dxa"/>
          </w:tcPr>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一、评审内容</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针对本项目制定档案管理方案，方案内容包含：①档案资料的收集及分类②归档资料的使用、销毁及移交。</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二、评审标准</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1、完整性：方案须全面，对评审内容中的各项要求有详细描述及说明；</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2、可实施性：切合本项目实际情况，实施步骤清晰、合理；</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3、针对性：方案能够紧扣项目实际情况，内容科学合理。</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三、赋分标准（满分4.5分）</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①档案资料的收集及分类：每完全满足一项评审标准得1分，满分3分；</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②归档资料的使用、销毁及移交：每完全满足一项评审标准得0.5分，满分1.5分。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0" w:type="dxa"/>
            <w:vAlign w:val="center"/>
          </w:tcPr>
          <w:p>
            <w:pPr>
              <w:jc w:val="center"/>
              <w:rPr>
                <w:rFonts w:hint="eastAsia" w:asciiTheme="minorEastAsia" w:hAnsiTheme="minorEastAsia" w:eastAsiaTheme="minorEastAsia" w:cstheme="minorEastAsia"/>
                <w:sz w:val="18"/>
                <w:szCs w:val="18"/>
                <w:highlight w:val="none"/>
                <w:vertAlign w:val="baseline"/>
              </w:rPr>
            </w:pPr>
          </w:p>
          <w:p>
            <w:pPr>
              <w:jc w:val="center"/>
              <w:rPr>
                <w:rFonts w:hint="eastAsia" w:asciiTheme="minorEastAsia" w:hAnsiTheme="minorEastAsia" w:eastAsiaTheme="minorEastAsia" w:cstheme="minorEastAsia"/>
                <w:sz w:val="18"/>
                <w:szCs w:val="18"/>
                <w:highlight w:val="none"/>
                <w:vertAlign w:val="baseline"/>
                <w:lang w:val="en-US" w:eastAsia="zh-CN"/>
              </w:rPr>
            </w:pPr>
            <w:r>
              <w:rPr>
                <w:rFonts w:hint="eastAsia" w:asciiTheme="minorEastAsia" w:hAnsiTheme="minorEastAsia" w:eastAsiaTheme="minorEastAsia" w:cstheme="minorEastAsia"/>
                <w:sz w:val="18"/>
                <w:szCs w:val="18"/>
                <w:highlight w:val="none"/>
                <w:vertAlign w:val="baseline"/>
              </w:rPr>
              <w:t>工具</w:t>
            </w:r>
            <w:r>
              <w:rPr>
                <w:rFonts w:hint="eastAsia" w:asciiTheme="minorEastAsia" w:hAnsiTheme="minorEastAsia" w:cstheme="minorEastAsia"/>
                <w:sz w:val="18"/>
                <w:szCs w:val="18"/>
                <w:highlight w:val="none"/>
                <w:vertAlign w:val="baseline"/>
                <w:lang w:eastAsia="zh-CN"/>
              </w:rPr>
              <w:t>、</w:t>
            </w:r>
            <w:r>
              <w:rPr>
                <w:rFonts w:hint="eastAsia" w:asciiTheme="minorEastAsia" w:hAnsiTheme="minorEastAsia" w:cstheme="minorEastAsia"/>
                <w:sz w:val="18"/>
                <w:szCs w:val="18"/>
                <w:highlight w:val="none"/>
                <w:vertAlign w:val="baseline"/>
                <w:lang w:val="en-US" w:eastAsia="zh-CN"/>
              </w:rPr>
              <w:t>设施设备</w:t>
            </w:r>
          </w:p>
          <w:p>
            <w:pPr>
              <w:jc w:val="center"/>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highlight w:val="none"/>
                <w:vertAlign w:val="baseline"/>
              </w:rPr>
              <w:t>保障</w:t>
            </w:r>
          </w:p>
        </w:tc>
        <w:tc>
          <w:tcPr>
            <w:tcW w:w="1159" w:type="dxa"/>
            <w:vAlign w:val="center"/>
          </w:tcPr>
          <w:p>
            <w:pPr>
              <w:jc w:val="center"/>
              <w:rPr>
                <w:rFonts w:hint="default" w:asciiTheme="minorEastAsia" w:hAnsiTheme="minorEastAsia" w:cstheme="minorEastAsia"/>
                <w:sz w:val="18"/>
                <w:szCs w:val="18"/>
                <w:vertAlign w:val="baseline"/>
                <w:lang w:val="en-US" w:eastAsia="zh-CN"/>
              </w:rPr>
            </w:pPr>
            <w:r>
              <w:rPr>
                <w:rFonts w:hint="eastAsia" w:asciiTheme="minorEastAsia" w:hAnsiTheme="minorEastAsia" w:cstheme="minorEastAsia"/>
                <w:sz w:val="18"/>
                <w:szCs w:val="18"/>
                <w:vertAlign w:val="baseline"/>
                <w:lang w:val="en-US" w:eastAsia="zh-CN"/>
              </w:rPr>
              <w:t>6</w:t>
            </w:r>
          </w:p>
        </w:tc>
        <w:tc>
          <w:tcPr>
            <w:tcW w:w="6382" w:type="dxa"/>
          </w:tcPr>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一、评审内容</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针对本项目特点提供设备工具配置清单，内容包含：①工作服装和</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清洁工具②劳保用品和消耗品③安保工具④维修用品。</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二、评审标准</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1、完整性：工具配置清单齐全完整，能完全满足并提供评审内容中的各项要求；</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2、实用性：设备工具质量有保障、使用率高、安全性能强、服装统一；</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3、针对性：设备工具能紧扣项目实际情况，配置合理科学。</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三、赋分标准（满分6分）</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①工作服装和清洁工具：每完全满足一项评审标准得0.5分，满分1.5分；</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②劳保用品和消耗品：每完全满足一项评审标准得0.5分，满分1.5分；</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③安保工具：每完全满足一项评审标准得0.5分，满分1.5分；</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④维修用品：每完全满足一项评审标准得0.5分，满分1.5分。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0" w:type="dxa"/>
            <w:vAlign w:val="center"/>
          </w:tcPr>
          <w:p>
            <w:pPr>
              <w:jc w:val="center"/>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项目</w:t>
            </w:r>
          </w:p>
          <w:p>
            <w:pPr>
              <w:jc w:val="center"/>
              <w:rPr>
                <w:rFonts w:hint="default" w:asciiTheme="minorEastAsia" w:hAnsiTheme="minorEastAsia" w:eastAsiaTheme="minorEastAsia" w:cstheme="minorEastAsia"/>
                <w:sz w:val="18"/>
                <w:szCs w:val="18"/>
                <w:vertAlign w:val="baseline"/>
                <w:lang w:val="en-US" w:eastAsia="zh-CN"/>
              </w:rPr>
            </w:pPr>
            <w:r>
              <w:rPr>
                <w:rFonts w:hint="eastAsia" w:asciiTheme="minorEastAsia" w:hAnsiTheme="minorEastAsia" w:eastAsiaTheme="minorEastAsia" w:cstheme="minorEastAsia"/>
                <w:sz w:val="18"/>
                <w:szCs w:val="18"/>
                <w:vertAlign w:val="baseline"/>
              </w:rPr>
              <w:t>经理</w:t>
            </w:r>
            <w:r>
              <w:rPr>
                <w:rFonts w:hint="eastAsia" w:asciiTheme="minorEastAsia" w:hAnsiTheme="minorEastAsia" w:cstheme="minorEastAsia"/>
                <w:sz w:val="18"/>
                <w:szCs w:val="18"/>
                <w:vertAlign w:val="baseline"/>
                <w:lang w:val="en-US" w:eastAsia="zh-CN"/>
              </w:rPr>
              <w:t>及人员组成</w:t>
            </w:r>
          </w:p>
        </w:tc>
        <w:tc>
          <w:tcPr>
            <w:tcW w:w="1159" w:type="dxa"/>
            <w:vAlign w:val="center"/>
          </w:tcPr>
          <w:p>
            <w:pPr>
              <w:jc w:val="center"/>
              <w:rPr>
                <w:rFonts w:hint="default" w:asciiTheme="minorEastAsia" w:hAnsiTheme="minorEastAsia" w:cstheme="minorEastAsia"/>
                <w:sz w:val="18"/>
                <w:szCs w:val="18"/>
                <w:vertAlign w:val="baseline"/>
                <w:lang w:val="en-US" w:eastAsia="zh-CN"/>
              </w:rPr>
            </w:pPr>
            <w:r>
              <w:rPr>
                <w:rFonts w:hint="eastAsia" w:asciiTheme="minorEastAsia" w:hAnsiTheme="minorEastAsia" w:cstheme="minorEastAsia"/>
                <w:sz w:val="18"/>
                <w:szCs w:val="18"/>
                <w:vertAlign w:val="baseline"/>
                <w:lang w:val="en-US" w:eastAsia="zh-CN"/>
              </w:rPr>
              <w:t>9</w:t>
            </w:r>
          </w:p>
        </w:tc>
        <w:tc>
          <w:tcPr>
            <w:tcW w:w="6382" w:type="dxa"/>
          </w:tcPr>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1、</w:t>
            </w:r>
            <w:r>
              <w:rPr>
                <w:rFonts w:hint="eastAsia" w:asciiTheme="minorEastAsia" w:hAnsiTheme="minorEastAsia" w:cstheme="minorEastAsia"/>
                <w:sz w:val="18"/>
                <w:szCs w:val="18"/>
                <w:vertAlign w:val="baseline"/>
                <w:lang w:val="en-US" w:eastAsia="zh-CN"/>
              </w:rPr>
              <w:t>项目经理</w:t>
            </w:r>
            <w:r>
              <w:rPr>
                <w:rFonts w:hint="eastAsia" w:asciiTheme="minorEastAsia" w:hAnsiTheme="minorEastAsia" w:eastAsiaTheme="minorEastAsia" w:cstheme="minorEastAsia"/>
                <w:sz w:val="18"/>
                <w:szCs w:val="18"/>
                <w:vertAlign w:val="baseline"/>
              </w:rPr>
              <w:t>学历要求（2分）</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具有大专学历得1分；具有本科及以上学历得2分（取最高学历计分，不重复计分）。</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赋分依据：需提供学信网经查证的《教育部学历证书电子注册备案表》，不提供或缺漏项不得分。</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2、</w:t>
            </w:r>
            <w:r>
              <w:rPr>
                <w:rFonts w:hint="eastAsia" w:asciiTheme="minorEastAsia" w:hAnsiTheme="minorEastAsia" w:cstheme="minorEastAsia"/>
                <w:sz w:val="18"/>
                <w:szCs w:val="18"/>
                <w:vertAlign w:val="baseline"/>
                <w:lang w:val="en-US" w:eastAsia="zh-CN"/>
              </w:rPr>
              <w:t>项目经理</w:t>
            </w:r>
            <w:r>
              <w:rPr>
                <w:rFonts w:hint="eastAsia" w:asciiTheme="minorEastAsia" w:hAnsiTheme="minorEastAsia" w:eastAsiaTheme="minorEastAsia" w:cstheme="minorEastAsia"/>
                <w:sz w:val="18"/>
                <w:szCs w:val="18"/>
                <w:vertAlign w:val="baseline"/>
              </w:rPr>
              <w:t>经验要求（4分）</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物业经理具有3年类似项目管理经验得2分，每增加一年物业服务管理经验额外加1分，最多加2分。满分4分。</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赋分依据：须提供被服务单位加盖公章的证明材料，不提供或缺漏项不得分。</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备注：除上述赋分依据外，还须同时提供供应商为项目经理缴纳的近六个月内至少连续三个月的社保缴纳证明材料（成立时间至提交响应文件截止时间不足六个月的供应商，可提供成立后任意一个月的社保缴纳证明材料），不提供或缺漏项本大项(6分)不得分。</w:t>
            </w:r>
          </w:p>
          <w:p>
            <w:pPr>
              <w:jc w:val="left"/>
              <w:rPr>
                <w:rFonts w:hint="default" w:asciiTheme="minorEastAsia" w:hAnsiTheme="minorEastAsia" w:eastAsiaTheme="minorEastAsia" w:cstheme="minorEastAsia"/>
                <w:sz w:val="18"/>
                <w:szCs w:val="18"/>
                <w:vertAlign w:val="baseline"/>
                <w:lang w:val="en-US" w:eastAsia="zh-CN"/>
              </w:rPr>
            </w:pPr>
            <w:r>
              <w:rPr>
                <w:rFonts w:hint="eastAsia" w:asciiTheme="minorEastAsia" w:hAnsiTheme="minorEastAsia" w:cstheme="minorEastAsia"/>
                <w:sz w:val="18"/>
                <w:szCs w:val="18"/>
                <w:vertAlign w:val="baseline"/>
                <w:lang w:val="en-US" w:eastAsia="zh-CN"/>
              </w:rPr>
              <w:t>3、人员组成（0—3）根据人数配备数量、结构合理性、提供证件数据实际情况赋分。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0" w:type="dxa"/>
            <w:vAlign w:val="center"/>
          </w:tcPr>
          <w:p>
            <w:pPr>
              <w:jc w:val="center"/>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业绩</w:t>
            </w:r>
          </w:p>
        </w:tc>
        <w:tc>
          <w:tcPr>
            <w:tcW w:w="1159" w:type="dxa"/>
            <w:vAlign w:val="center"/>
          </w:tcPr>
          <w:p>
            <w:pPr>
              <w:jc w:val="center"/>
              <w:rPr>
                <w:rFonts w:hint="default" w:asciiTheme="minorEastAsia" w:hAnsiTheme="minorEastAsia" w:cstheme="minorEastAsia"/>
                <w:sz w:val="18"/>
                <w:szCs w:val="18"/>
                <w:vertAlign w:val="baseline"/>
                <w:lang w:val="en-US" w:eastAsia="zh-CN"/>
              </w:rPr>
            </w:pPr>
            <w:r>
              <w:rPr>
                <w:rFonts w:hint="eastAsia" w:asciiTheme="minorEastAsia" w:hAnsiTheme="minorEastAsia" w:cstheme="minorEastAsia"/>
                <w:sz w:val="18"/>
                <w:szCs w:val="18"/>
                <w:vertAlign w:val="baseline"/>
                <w:lang w:val="en-US" w:eastAsia="zh-CN"/>
              </w:rPr>
              <w:t>8</w:t>
            </w:r>
          </w:p>
        </w:tc>
        <w:tc>
          <w:tcPr>
            <w:tcW w:w="6382" w:type="dxa"/>
          </w:tcPr>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1、</w:t>
            </w:r>
            <w:r>
              <w:rPr>
                <w:rFonts w:hint="eastAsia" w:asciiTheme="minorEastAsia" w:hAnsiTheme="minorEastAsia" w:eastAsiaTheme="minorEastAsia" w:cstheme="minorEastAsia"/>
                <w:sz w:val="18"/>
                <w:szCs w:val="18"/>
                <w:highlight w:val="none"/>
                <w:vertAlign w:val="baseline"/>
              </w:rPr>
              <w:t>提供202</w:t>
            </w:r>
            <w:r>
              <w:rPr>
                <w:rFonts w:hint="eastAsia" w:asciiTheme="minorEastAsia" w:hAnsiTheme="minorEastAsia" w:cstheme="minorEastAsia"/>
                <w:sz w:val="18"/>
                <w:szCs w:val="18"/>
                <w:highlight w:val="none"/>
                <w:vertAlign w:val="baseline"/>
                <w:lang w:val="en-US" w:eastAsia="zh-CN"/>
              </w:rPr>
              <w:t>3</w:t>
            </w:r>
            <w:r>
              <w:rPr>
                <w:rFonts w:hint="eastAsia" w:asciiTheme="minorEastAsia" w:hAnsiTheme="minorEastAsia" w:eastAsiaTheme="minorEastAsia" w:cstheme="minorEastAsia"/>
                <w:sz w:val="18"/>
                <w:szCs w:val="18"/>
                <w:highlight w:val="none"/>
                <w:vertAlign w:val="baseline"/>
              </w:rPr>
              <w:t>年1月1日以来类似项目业绩（以合同签订日期为准），</w:t>
            </w:r>
            <w:r>
              <w:rPr>
                <w:rFonts w:hint="eastAsia" w:asciiTheme="minorEastAsia" w:hAnsiTheme="minorEastAsia" w:eastAsiaTheme="minorEastAsia" w:cstheme="minorEastAsia"/>
                <w:sz w:val="18"/>
                <w:szCs w:val="18"/>
                <w:vertAlign w:val="baseline"/>
              </w:rPr>
              <w:t>每份合格业绩合同计1分，满分4分。</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备注：须提供完整合同业绩及对应发票复印件（发票可提供服务期内任意一张），并加盖供应商公章，以上两种证明材料同时提供方可得分，否则不得分。</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2、每提供一份对应合格业绩的服务好评（以被服务单位加盖公章的好评证明材料为计分依据，格式自拟），得1分，满分4分。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0" w:type="dxa"/>
            <w:vAlign w:val="center"/>
          </w:tcPr>
          <w:p>
            <w:pPr>
              <w:jc w:val="center"/>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服务</w:t>
            </w:r>
          </w:p>
          <w:p>
            <w:pPr>
              <w:jc w:val="center"/>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承诺</w:t>
            </w:r>
          </w:p>
        </w:tc>
        <w:tc>
          <w:tcPr>
            <w:tcW w:w="1159" w:type="dxa"/>
            <w:vAlign w:val="center"/>
          </w:tcPr>
          <w:p>
            <w:pPr>
              <w:jc w:val="center"/>
              <w:rPr>
                <w:rFonts w:hint="default" w:asciiTheme="minorEastAsia" w:hAnsiTheme="minorEastAsia" w:cstheme="minorEastAsia"/>
                <w:sz w:val="18"/>
                <w:szCs w:val="18"/>
                <w:vertAlign w:val="baseline"/>
                <w:lang w:val="en-US" w:eastAsia="zh-CN"/>
              </w:rPr>
            </w:pPr>
            <w:r>
              <w:rPr>
                <w:rFonts w:hint="eastAsia" w:asciiTheme="minorEastAsia" w:hAnsiTheme="minorEastAsia" w:cstheme="minorEastAsia"/>
                <w:sz w:val="18"/>
                <w:szCs w:val="18"/>
                <w:vertAlign w:val="baseline"/>
                <w:lang w:val="en-US" w:eastAsia="zh-CN"/>
              </w:rPr>
              <w:t>3</w:t>
            </w:r>
          </w:p>
        </w:tc>
        <w:tc>
          <w:tcPr>
            <w:tcW w:w="6382" w:type="dxa"/>
          </w:tcPr>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1、承诺：接受采购人对本项目服务的考核、监督及管理，定期调研采购人对服务质量的满意度并加以改进，确保服务工作的优质高效，得1分。无承诺不得分。</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2、承诺：上岗人员固定，不随意更换，若出现服务人员因事、病等不能工作的，能及时调整其他服务人员补充，确保服务工作的正常进行，得1分。无承诺不得分。</w:t>
            </w:r>
          </w:p>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3、承诺：储备有可调度人员，调度人员可保障临时性工作需要及突发事件处置，得1分。无承诺不得分。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0" w:type="dxa"/>
            <w:vAlign w:val="center"/>
          </w:tcPr>
          <w:p>
            <w:pPr>
              <w:jc w:val="center"/>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合理</w:t>
            </w:r>
          </w:p>
          <w:p>
            <w:pPr>
              <w:jc w:val="center"/>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化建</w:t>
            </w:r>
          </w:p>
          <w:p>
            <w:pPr>
              <w:jc w:val="center"/>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议</w:t>
            </w:r>
          </w:p>
        </w:tc>
        <w:tc>
          <w:tcPr>
            <w:tcW w:w="1159" w:type="dxa"/>
            <w:vAlign w:val="center"/>
          </w:tcPr>
          <w:p>
            <w:pPr>
              <w:jc w:val="center"/>
              <w:rPr>
                <w:rFonts w:hint="default" w:asciiTheme="minorEastAsia" w:hAnsiTheme="minorEastAsia" w:cstheme="minorEastAsia"/>
                <w:sz w:val="18"/>
                <w:szCs w:val="18"/>
                <w:vertAlign w:val="baseline"/>
                <w:lang w:val="en-US" w:eastAsia="zh-CN"/>
              </w:rPr>
            </w:pPr>
            <w:r>
              <w:rPr>
                <w:rFonts w:hint="eastAsia" w:asciiTheme="minorEastAsia" w:hAnsiTheme="minorEastAsia" w:cstheme="minorEastAsia"/>
                <w:sz w:val="18"/>
                <w:szCs w:val="18"/>
                <w:vertAlign w:val="baseline"/>
                <w:lang w:val="en-US" w:eastAsia="zh-CN"/>
              </w:rPr>
              <w:t>1</w:t>
            </w:r>
          </w:p>
        </w:tc>
        <w:tc>
          <w:tcPr>
            <w:tcW w:w="6382" w:type="dxa"/>
          </w:tcPr>
          <w:p>
            <w:pPr>
              <w:jc w:val="left"/>
              <w:rPr>
                <w:rFonts w:hint="eastAsia" w:asciiTheme="minorEastAsia" w:hAnsiTheme="minorEastAsia" w:eastAsiaTheme="minorEastAsia" w:cstheme="minorEastAsia"/>
                <w:sz w:val="18"/>
                <w:szCs w:val="18"/>
                <w:vertAlign w:val="baseline"/>
              </w:rPr>
            </w:pPr>
            <w:r>
              <w:rPr>
                <w:rFonts w:hint="eastAsia" w:asciiTheme="minorEastAsia" w:hAnsiTheme="minorEastAsia" w:eastAsiaTheme="minorEastAsia" w:cstheme="minorEastAsia"/>
                <w:sz w:val="18"/>
                <w:szCs w:val="18"/>
                <w:vertAlign w:val="baseline"/>
              </w:rPr>
              <w:t>针对物业安保服务工作中的常见问题进行梳理，具有的良好的解决方案并向采购人提出合理化建议，每提供一条有效且合理的建议得0.5分，满分1分。不提供或建议不被采纳不得分。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0" w:type="dxa"/>
            <w:vAlign w:val="center"/>
          </w:tcPr>
          <w:p>
            <w:pPr>
              <w:jc w:val="center"/>
              <w:rPr>
                <w:rFonts w:hint="eastAsia" w:asciiTheme="minorEastAsia" w:hAnsiTheme="minorEastAsia" w:eastAsiaTheme="minorEastAsia" w:cstheme="minorEastAsia"/>
                <w:sz w:val="18"/>
                <w:szCs w:val="18"/>
                <w:vertAlign w:val="baseline"/>
              </w:rPr>
            </w:pPr>
          </w:p>
        </w:tc>
        <w:tc>
          <w:tcPr>
            <w:tcW w:w="1159" w:type="dxa"/>
            <w:vAlign w:val="center"/>
          </w:tcPr>
          <w:p>
            <w:pPr>
              <w:jc w:val="center"/>
              <w:rPr>
                <w:rFonts w:hint="default" w:asciiTheme="minorEastAsia" w:hAnsiTheme="minorEastAsia" w:cstheme="minorEastAsia"/>
                <w:sz w:val="18"/>
                <w:szCs w:val="18"/>
                <w:vertAlign w:val="baseline"/>
                <w:lang w:val="en-US" w:eastAsia="zh-CN"/>
              </w:rPr>
            </w:pPr>
          </w:p>
        </w:tc>
        <w:tc>
          <w:tcPr>
            <w:tcW w:w="6382" w:type="dxa"/>
          </w:tcPr>
          <w:p>
            <w:pPr>
              <w:jc w:val="left"/>
              <w:rPr>
                <w:rFonts w:hint="eastAsia" w:asciiTheme="minorEastAsia" w:hAnsiTheme="minorEastAsia" w:eastAsiaTheme="minorEastAsia" w:cstheme="minorEastAsia"/>
                <w:sz w:val="18"/>
                <w:szCs w:val="18"/>
                <w:vertAlign w:val="baseline"/>
              </w:rPr>
            </w:pPr>
          </w:p>
        </w:tc>
      </w:tr>
    </w:tbl>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8、推荐成交候选供应商</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磋商小组应当根据综合评分情况，按照评审得分由高到低顺序推荐3名以上成交候选供应商（有效供应商不足三家时以实际数量推荐）。评审得分相同的，按照最后报价由低到高的顺序推荐。评审得分且最后报价相同的，按照技术指标优劣顺序推荐。</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9、编写评审报告</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highlight w:val="none"/>
        </w:rPr>
        <w:t>评审报告应当由磋商小组全体人员签字认可。磋商小组成员对</w:t>
      </w:r>
      <w:r>
        <w:rPr>
          <w:rFonts w:hint="eastAsia" w:asciiTheme="minorEastAsia" w:hAnsiTheme="minorEastAsia" w:eastAsiaTheme="minorEastAsia" w:cstheme="minorEastAsia"/>
          <w:sz w:val="24"/>
          <w:szCs w:val="24"/>
        </w:rPr>
        <w:t>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同按评审报告推荐的顺序确定成交供应商。对拒绝说明理由的，须报政府采购监管部门处理，并将其评审情况如实计入考核表。</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采购人书面授权磋商小组直接确定成交供应商的，磋商小组应在评审报告中明确成交供应商及成交金额。</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除下列情形外，任何人不得以任何理由组织重新评审：</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（1）资格性检查认定错误的；</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（2）分值汇总计算错误的；</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（3）分项评分超出评分标准范围的；</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（4）客观分评分不一致的；</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（5）经磋商小组一致认定评分畸高、畸低的情形。</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（六）有下列情况之一的，视为供应商串通投标，其投标无效：</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1、不同供应商的响应文件由同一单位或者个人编制；</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2、不同供应商的响应文件由同一台电脑编制；</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3、不同供应商委托同一单位或者个人办理投标事宜；</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4、不同供应商的响应文件载明的项目管理成员或者联系人员为同一人；</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5、不同供应商的响应文件异常一致或者磋商报价呈规律性差异；</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6、不同供应商的响应文件相互混装；</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7、政府采购法律法规及磋商文件规定的其他情形。</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八、成交</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（一）本项目采用第1种方式确定成交供应商：</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1、采购人根据磋商小组评审结果确认。</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咸阳市秦都区政府采购中心</w:t>
      </w:r>
      <w:r>
        <w:rPr>
          <w:rFonts w:hint="eastAsia" w:asciiTheme="minorEastAsia" w:hAnsiTheme="minorEastAsia" w:eastAsiaTheme="minorEastAsia" w:cstheme="minorEastAsia"/>
          <w:sz w:val="24"/>
          <w:szCs w:val="24"/>
        </w:rPr>
        <w:t>在评审结束后2个工作日内将评审报告送采购人确认。采购人在收到评审报告之日起5个工作日内，从评审报告提出的成交候选供应商中，按照排序由高到低的原则确定成交供应商。采购人逾期未确定成交供应商且不提出异议的，视同按评审报告提出的排序第一的供应商为成交供应商。</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2、采购人书面授权磋商小组直接确定成交供应商。</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采购人在评审前提供《委托评审小组定标授权书》，磋商小组将根据采购人授权直接确定成交供应商。</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w:t>
      </w:r>
      <w:r>
        <w:rPr>
          <w:rFonts w:hint="eastAsia" w:asciiTheme="minorEastAsia" w:hAnsiTheme="minorEastAsia" w:eastAsiaTheme="minorEastAsia" w:cstheme="minorEastAsia"/>
          <w:sz w:val="24"/>
          <w:szCs w:val="24"/>
          <w:lang w:eastAsia="zh-CN"/>
        </w:rPr>
        <w:t>咸阳市秦都区政府采购中心</w:t>
      </w:r>
      <w:r>
        <w:rPr>
          <w:rFonts w:hint="eastAsia" w:asciiTheme="minorEastAsia" w:hAnsiTheme="minorEastAsia" w:eastAsiaTheme="minorEastAsia" w:cstheme="minorEastAsia"/>
          <w:sz w:val="24"/>
          <w:szCs w:val="24"/>
        </w:rPr>
        <w:t>将在成交供应商确定之日起2个工作日内，</w:t>
      </w:r>
      <w:r>
        <w:rPr>
          <w:rFonts w:hint="default" w:ascii="Times New Roman" w:hAnsi="Times New Roman" w:cs="Times New Roman"/>
          <w:color w:val="auto"/>
          <w:sz w:val="24"/>
          <w:szCs w:val="24"/>
          <w:highlight w:val="none"/>
        </w:rPr>
        <w:t>在陕西省政府采购网</w:t>
      </w:r>
      <w:r>
        <w:rPr>
          <w:rFonts w:hint="eastAsia"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陕西省公共资源交易网</w:t>
      </w:r>
      <w:r>
        <w:rPr>
          <w:rFonts w:hint="eastAsia" w:ascii="Times New Roman" w:hAnsi="Times New Roman" w:cs="Times New Roman"/>
          <w:color w:val="auto"/>
          <w:sz w:val="24"/>
          <w:szCs w:val="24"/>
          <w:highlight w:val="none"/>
          <w:lang w:val="en-US" w:eastAsia="zh-CN"/>
        </w:rPr>
        <w:t>及秦都区政府网站</w:t>
      </w:r>
      <w:r>
        <w:rPr>
          <w:rFonts w:hint="default" w:ascii="Times New Roman" w:hAnsi="Times New Roman" w:cs="Times New Roman"/>
          <w:color w:val="auto"/>
          <w:sz w:val="24"/>
          <w:szCs w:val="24"/>
          <w:highlight w:val="none"/>
        </w:rPr>
        <w:t>上公布中标结果</w:t>
      </w:r>
      <w:r>
        <w:rPr>
          <w:rFonts w:hint="eastAsia" w:asciiTheme="minorEastAsia" w:hAnsiTheme="minorEastAsia" w:eastAsiaTheme="minorEastAsia" w:cstheme="minorEastAsia"/>
          <w:sz w:val="24"/>
          <w:szCs w:val="24"/>
        </w:rPr>
        <w:t>，成交公告期限为1个工作日。同时，</w:t>
      </w:r>
      <w:r>
        <w:rPr>
          <w:rFonts w:hint="eastAsia" w:asciiTheme="minorEastAsia" w:hAnsiTheme="minorEastAsia" w:eastAsiaTheme="minorEastAsia" w:cstheme="minorEastAsia"/>
          <w:sz w:val="24"/>
          <w:szCs w:val="24"/>
          <w:lang w:eastAsia="zh-CN"/>
        </w:rPr>
        <w:t>咸阳市秦都区政府采购中心</w:t>
      </w:r>
      <w:r>
        <w:rPr>
          <w:rFonts w:hint="eastAsia" w:asciiTheme="minorEastAsia" w:hAnsiTheme="minorEastAsia" w:eastAsiaTheme="minorEastAsia" w:cstheme="minorEastAsia"/>
          <w:sz w:val="24"/>
          <w:szCs w:val="24"/>
        </w:rPr>
        <w:t>向成交供应商发出“成交通知书”，并将磋商文件随成交结果同时公告。</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成交结果公告应当包括以下内容：</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1、采购人和采购代理机构的名称、地址和联系方式；</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2、项目名称和项目编号；</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3、成交供应商名称、地址和成交金额；</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4、主要成交标的的名称、规格型号、数量、单价、服务要求；</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5、磋商小组成员名单。</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采用书面推荐供应商参加采购活动的，还应当公告采购人和评审专家的推荐意见。</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九、签订政府采购合同</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（一）采购人与成交供应商应当在成交通知书发出之日起25日内，按照磋商文件确定的合同文本以及采购标的、规格型号、采购金额、采购数量、技术和服务要求等事项协商签订政府采购合同。</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采购人不得向成交供应商提出超出磋商文件以外的任何要求作为签订合同的条件，不得与成交供应商订立背离磋商文件确定的合同文本以及采购标的、规格型号、采购金额、采购数量、技术和服务要求等实质性内容的协议。</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三）成交供应商拒绝与采购人签订合同的，采购人可以按照评审报告推荐的成交候选人名单排序，确定下一候选人为成交供应商，也可以重新开展政府采购活动。拒绝签订政府采购合同的成交供应商不得参加对该项目重新开展的采购活动。</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（四）磋商文件、成交供应商的响应文件、《成交通知书》及其澄清、说明文件、承诺等，均为签订采购合同的依据，作为采购合同的组成部分。</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（五）政府采购合同应当包括采购人与成交供应商的名称和住所、标的、数量、质量、价款或者报酬、履行期限及地点和方式、验收要求、违约责任、解决争议的方法等内容。</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（六）采购人与成交供应商应当根据合同的约定依法履行合同义务。</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政府采购合同的履行、违约责任和解决争议的方法等适用《中华人民共和国民法典》。</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（七）采购人应当及时对采购项目进行验收。采购人可以邀请参加本项目的其他投标供应商或者第三方机构参与验收。参与验收的投标供应商或者第三方机构的意见作为验收书的参考资料一并存档。</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（八）采购人应当加强对成交供应商的履约管理，并按照采购合同约定，及时向成交供应商支付采购资金。对于成交供应商违反采购合同约定的行为，采购人应当及时处理，依法追究其违约责任。</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十、其他</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（一）磋商小组发现磋商文件存在歧义、重大缺陷导致评审工作无法进行，或者磋商文件内容违反国家有关强制性规定的，应当停止评审工作，与采购人或者</w:t>
      </w:r>
      <w:r>
        <w:rPr>
          <w:rFonts w:hint="eastAsia" w:asciiTheme="minorEastAsia" w:hAnsiTheme="minorEastAsia" w:eastAsiaTheme="minorEastAsia" w:cstheme="minorEastAsia"/>
          <w:sz w:val="24"/>
          <w:szCs w:val="24"/>
          <w:lang w:eastAsia="zh-CN"/>
        </w:rPr>
        <w:t>咸阳市秦都区政府采购中心</w:t>
      </w:r>
      <w:r>
        <w:rPr>
          <w:rFonts w:hint="eastAsia" w:asciiTheme="minorEastAsia" w:hAnsiTheme="minorEastAsia" w:eastAsiaTheme="minorEastAsia" w:cstheme="minorEastAsia"/>
          <w:sz w:val="24"/>
          <w:szCs w:val="24"/>
        </w:rPr>
        <w:t>沟通并作书面记录。采购人或者</w:t>
      </w:r>
      <w:r>
        <w:rPr>
          <w:rFonts w:hint="eastAsia" w:asciiTheme="minorEastAsia" w:hAnsiTheme="minorEastAsia" w:eastAsiaTheme="minorEastAsia" w:cstheme="minorEastAsia"/>
          <w:sz w:val="24"/>
          <w:szCs w:val="24"/>
          <w:lang w:eastAsia="zh-CN"/>
        </w:rPr>
        <w:t>咸阳市秦都区政府采购中心</w:t>
      </w:r>
      <w:r>
        <w:rPr>
          <w:rFonts w:hint="eastAsia" w:asciiTheme="minorEastAsia" w:hAnsiTheme="minorEastAsia" w:eastAsiaTheme="minorEastAsia" w:cstheme="minorEastAsia"/>
          <w:sz w:val="24"/>
          <w:szCs w:val="24"/>
        </w:rPr>
        <w:t>确认后，应当修改磋商文件，重新组织采购活动。</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（二）根据《政府采购法》第三十六条规定，在磋商采购中，出现下列情形之一的，本项目按废标处理：</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1、出现影响采购公正的违法、违规行为的；</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2、供应商的报价均超过了采购预算，采购人不能支付的；</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3、因重大变故，采购任务取消的。</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废标后，由</w:t>
      </w:r>
      <w:r>
        <w:rPr>
          <w:rFonts w:hint="eastAsia" w:asciiTheme="minorEastAsia" w:hAnsiTheme="minorEastAsia" w:eastAsiaTheme="minorEastAsia" w:cstheme="minorEastAsia"/>
          <w:sz w:val="24"/>
          <w:szCs w:val="24"/>
          <w:lang w:eastAsia="zh-CN"/>
        </w:rPr>
        <w:t>咸阳市秦都区政府采购中心</w:t>
      </w:r>
      <w:r>
        <w:rPr>
          <w:rFonts w:hint="eastAsia" w:asciiTheme="minorEastAsia" w:hAnsiTheme="minorEastAsia" w:eastAsiaTheme="minorEastAsia" w:cstheme="minorEastAsia"/>
          <w:sz w:val="24"/>
          <w:szCs w:val="24"/>
        </w:rPr>
        <w:t>发布废标公告。除采购任务取消外，本项目将重新组织采购活动。</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（三）在递交响应文件阶段、资格审查阶段以及符合性审查阶段，当出现有效投标供应商不足3家时，除采购任务取消外，按照以下方式处理：</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1、磋商文件存在不合理条款或者磋商程序不符合规定的，采购人、</w:t>
      </w:r>
      <w:r>
        <w:rPr>
          <w:rFonts w:hint="eastAsia" w:asciiTheme="minorEastAsia" w:hAnsiTheme="minorEastAsia" w:eastAsiaTheme="minorEastAsia" w:cstheme="minorEastAsia"/>
          <w:sz w:val="24"/>
          <w:szCs w:val="24"/>
          <w:lang w:eastAsia="zh-CN"/>
        </w:rPr>
        <w:t>咸阳市秦都区政府采购中心</w:t>
      </w:r>
      <w:r>
        <w:rPr>
          <w:rFonts w:hint="eastAsia" w:asciiTheme="minorEastAsia" w:hAnsiTheme="minorEastAsia" w:eastAsiaTheme="minorEastAsia" w:cstheme="minorEastAsia"/>
          <w:sz w:val="24"/>
          <w:szCs w:val="24"/>
        </w:rPr>
        <w:t>改正后依法重新开展采购活动；</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2、磋商文件没有不合理条款、磋商程序符合规定，需要采用其他采购式采购的，采购人应当依法报财政部门批准。</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（四）</w:t>
      </w:r>
      <w:r>
        <w:rPr>
          <w:rFonts w:hint="eastAsia" w:asciiTheme="minorEastAsia" w:hAnsiTheme="minorEastAsia" w:eastAsiaTheme="minorEastAsia" w:cstheme="minorEastAsia"/>
          <w:sz w:val="24"/>
          <w:szCs w:val="24"/>
          <w:lang w:eastAsia="zh-CN"/>
        </w:rPr>
        <w:t>咸阳市秦都区政府采购中心</w:t>
      </w:r>
      <w:r>
        <w:rPr>
          <w:rFonts w:hint="eastAsia" w:asciiTheme="minorEastAsia" w:hAnsiTheme="minorEastAsia" w:eastAsiaTheme="minorEastAsia" w:cstheme="minorEastAsia"/>
          <w:sz w:val="24"/>
          <w:szCs w:val="24"/>
        </w:rPr>
        <w:t>应当采取必要措施，保证评审在严格保密的情况下进行。除采购人代表、评审现场组织人员外，采购人的其他工作人员以及与评审工作无关的人员不得进入评审现场。</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有关人员对评审情况以及在评审过程中获悉的国家秘密、商业秘密负有保密责任。</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（五）磋商文件未明确的其他事项，按《政府采购法》及其相关法律法规执行。</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（六）</w:t>
      </w:r>
      <w:r>
        <w:rPr>
          <w:rFonts w:hint="eastAsia" w:asciiTheme="minorEastAsia" w:hAnsiTheme="minorEastAsia" w:eastAsiaTheme="minorEastAsia" w:cstheme="minorEastAsia"/>
          <w:sz w:val="24"/>
          <w:szCs w:val="24"/>
          <w:lang w:eastAsia="zh-CN"/>
        </w:rPr>
        <w:t>咸阳市秦都区政府采购中心</w:t>
      </w:r>
      <w:r>
        <w:rPr>
          <w:rFonts w:hint="eastAsia" w:asciiTheme="minorEastAsia" w:hAnsiTheme="minorEastAsia" w:eastAsiaTheme="minorEastAsia" w:cstheme="minorEastAsia"/>
          <w:sz w:val="24"/>
          <w:szCs w:val="24"/>
        </w:rPr>
        <w:t>应当建立真实完整的招标采购档案，妥善保存每项采购活动的采购文件。</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十一、采购代理服务费：免费。</w:t>
      </w:r>
    </w:p>
    <w:p>
      <w:pPr>
        <w:rPr>
          <w:rFonts w:hint="eastAsia" w:asciiTheme="minorEastAsia" w:hAnsiTheme="minorEastAsia" w:eastAsiaTheme="minorEastAsia" w:cstheme="minorEastAsia"/>
          <w:sz w:val="24"/>
          <w:szCs w:val="24"/>
        </w:rPr>
      </w:pPr>
    </w:p>
    <w:p>
      <w:pPr>
        <w:keepNext w:val="0"/>
        <w:keepLines w:val="0"/>
        <w:pageBreakBefore w:val="0"/>
        <w:widowControl w:val="0"/>
        <w:kinsoku/>
        <w:wordWrap/>
        <w:overflowPunct/>
        <w:topLinePunct w:val="0"/>
        <w:autoSpaceDE/>
        <w:autoSpaceDN/>
        <w:bidi w:val="0"/>
        <w:adjustRightInd/>
        <w:snapToGrid/>
        <w:spacing w:line="570" w:lineRule="exact"/>
        <w:jc w:val="center"/>
        <w:textAlignment w:val="auto"/>
        <w:outlineLvl w:val="0"/>
        <w:rPr>
          <w:rFonts w:hint="eastAsia" w:ascii="方正小标宋简体" w:hAnsi="方正小标宋简体" w:eastAsia="方正小标宋简体" w:cs="方正小标宋简体"/>
          <w:sz w:val="24"/>
          <w:szCs w:val="24"/>
          <w:highlight w:val="none"/>
        </w:rPr>
      </w:pPr>
      <w:bookmarkStart w:id="2" w:name="_Toc13641"/>
    </w:p>
    <w:p>
      <w:pPr>
        <w:keepNext w:val="0"/>
        <w:keepLines w:val="0"/>
        <w:pageBreakBefore w:val="0"/>
        <w:widowControl w:val="0"/>
        <w:kinsoku/>
        <w:wordWrap/>
        <w:overflowPunct/>
        <w:topLinePunct w:val="0"/>
        <w:autoSpaceDE/>
        <w:autoSpaceDN/>
        <w:bidi w:val="0"/>
        <w:adjustRightInd/>
        <w:snapToGrid/>
        <w:spacing w:line="570" w:lineRule="exact"/>
        <w:jc w:val="center"/>
        <w:textAlignment w:val="auto"/>
        <w:outlineLvl w:val="0"/>
        <w:rPr>
          <w:rFonts w:hint="eastAsia" w:ascii="方正小标宋简体" w:hAnsi="方正小标宋简体" w:eastAsia="方正小标宋简体" w:cs="方正小标宋简体"/>
          <w:sz w:val="24"/>
          <w:szCs w:val="24"/>
          <w:highlight w:val="none"/>
        </w:rPr>
      </w:pPr>
    </w:p>
    <w:p>
      <w:pPr>
        <w:keepNext w:val="0"/>
        <w:keepLines w:val="0"/>
        <w:pageBreakBefore w:val="0"/>
        <w:widowControl w:val="0"/>
        <w:kinsoku/>
        <w:wordWrap/>
        <w:overflowPunct/>
        <w:topLinePunct w:val="0"/>
        <w:autoSpaceDE/>
        <w:autoSpaceDN/>
        <w:bidi w:val="0"/>
        <w:adjustRightInd/>
        <w:snapToGrid/>
        <w:spacing w:line="570" w:lineRule="exact"/>
        <w:jc w:val="center"/>
        <w:textAlignment w:val="auto"/>
        <w:outlineLvl w:val="0"/>
        <w:rPr>
          <w:rFonts w:hint="eastAsia" w:ascii="方正小标宋简体" w:hAnsi="方正小标宋简体" w:eastAsia="方正小标宋简体" w:cs="方正小标宋简体"/>
          <w:sz w:val="24"/>
          <w:szCs w:val="24"/>
          <w:highlight w:val="none"/>
        </w:rPr>
      </w:pPr>
    </w:p>
    <w:p>
      <w:pPr>
        <w:keepNext w:val="0"/>
        <w:keepLines w:val="0"/>
        <w:pageBreakBefore w:val="0"/>
        <w:widowControl w:val="0"/>
        <w:kinsoku/>
        <w:wordWrap/>
        <w:overflowPunct/>
        <w:topLinePunct w:val="0"/>
        <w:autoSpaceDE/>
        <w:autoSpaceDN/>
        <w:bidi w:val="0"/>
        <w:adjustRightInd/>
        <w:snapToGrid/>
        <w:spacing w:line="570" w:lineRule="exact"/>
        <w:jc w:val="center"/>
        <w:textAlignment w:val="auto"/>
        <w:outlineLvl w:val="0"/>
        <w:rPr>
          <w:rFonts w:hint="eastAsia" w:ascii="方正小标宋简体" w:hAnsi="方正小标宋简体" w:eastAsia="方正小标宋简体" w:cs="方正小标宋简体"/>
          <w:sz w:val="24"/>
          <w:szCs w:val="24"/>
          <w:highlight w:val="none"/>
        </w:rPr>
      </w:pPr>
    </w:p>
    <w:p>
      <w:pPr>
        <w:keepNext w:val="0"/>
        <w:keepLines w:val="0"/>
        <w:pageBreakBefore w:val="0"/>
        <w:widowControl w:val="0"/>
        <w:kinsoku/>
        <w:wordWrap/>
        <w:overflowPunct/>
        <w:topLinePunct w:val="0"/>
        <w:autoSpaceDE/>
        <w:autoSpaceDN/>
        <w:bidi w:val="0"/>
        <w:adjustRightInd/>
        <w:snapToGrid/>
        <w:spacing w:line="570" w:lineRule="exact"/>
        <w:jc w:val="center"/>
        <w:textAlignment w:val="auto"/>
        <w:outlineLvl w:val="0"/>
        <w:rPr>
          <w:rFonts w:hint="eastAsia" w:ascii="方正小标宋简体" w:hAnsi="方正小标宋简体" w:eastAsia="方正小标宋简体" w:cs="方正小标宋简体"/>
          <w:sz w:val="24"/>
          <w:szCs w:val="24"/>
          <w:highlight w:val="none"/>
        </w:rPr>
      </w:pPr>
    </w:p>
    <w:p>
      <w:pPr>
        <w:keepNext w:val="0"/>
        <w:keepLines w:val="0"/>
        <w:pageBreakBefore w:val="0"/>
        <w:widowControl w:val="0"/>
        <w:kinsoku/>
        <w:wordWrap/>
        <w:overflowPunct/>
        <w:topLinePunct w:val="0"/>
        <w:autoSpaceDE/>
        <w:autoSpaceDN/>
        <w:bidi w:val="0"/>
        <w:adjustRightInd/>
        <w:snapToGrid/>
        <w:spacing w:line="570" w:lineRule="exact"/>
        <w:jc w:val="center"/>
        <w:textAlignment w:val="auto"/>
        <w:outlineLvl w:val="0"/>
        <w:rPr>
          <w:rFonts w:hint="eastAsia" w:ascii="方正小标宋简体" w:hAnsi="方正小标宋简体" w:eastAsia="方正小标宋简体" w:cs="方正小标宋简体"/>
          <w:sz w:val="24"/>
          <w:szCs w:val="24"/>
          <w:highlight w:val="none"/>
        </w:rPr>
      </w:pPr>
    </w:p>
    <w:p>
      <w:pPr>
        <w:keepNext w:val="0"/>
        <w:keepLines w:val="0"/>
        <w:pageBreakBefore w:val="0"/>
        <w:widowControl w:val="0"/>
        <w:kinsoku/>
        <w:wordWrap/>
        <w:overflowPunct/>
        <w:topLinePunct w:val="0"/>
        <w:autoSpaceDE/>
        <w:autoSpaceDN/>
        <w:bidi w:val="0"/>
        <w:adjustRightInd/>
        <w:snapToGrid/>
        <w:spacing w:line="570" w:lineRule="exact"/>
        <w:jc w:val="center"/>
        <w:textAlignment w:val="auto"/>
        <w:outlineLvl w:val="0"/>
        <w:rPr>
          <w:rFonts w:hint="eastAsia" w:ascii="方正小标宋简体" w:hAnsi="方正小标宋简体" w:eastAsia="方正小标宋简体" w:cs="方正小标宋简体"/>
          <w:sz w:val="24"/>
          <w:szCs w:val="24"/>
          <w:highlight w:val="none"/>
        </w:rPr>
      </w:pPr>
    </w:p>
    <w:p>
      <w:pPr>
        <w:keepNext w:val="0"/>
        <w:keepLines w:val="0"/>
        <w:pageBreakBefore w:val="0"/>
        <w:widowControl w:val="0"/>
        <w:kinsoku/>
        <w:wordWrap/>
        <w:overflowPunct/>
        <w:topLinePunct w:val="0"/>
        <w:autoSpaceDE/>
        <w:autoSpaceDN/>
        <w:bidi w:val="0"/>
        <w:adjustRightInd/>
        <w:snapToGrid/>
        <w:spacing w:line="570" w:lineRule="exact"/>
        <w:jc w:val="center"/>
        <w:textAlignment w:val="auto"/>
        <w:outlineLvl w:val="0"/>
        <w:rPr>
          <w:rFonts w:hint="eastAsia" w:ascii="方正小标宋简体" w:hAnsi="方正小标宋简体" w:eastAsia="方正小标宋简体" w:cs="方正小标宋简体"/>
          <w:sz w:val="24"/>
          <w:szCs w:val="24"/>
          <w:highlight w:val="none"/>
        </w:rPr>
      </w:pPr>
    </w:p>
    <w:p>
      <w:pPr>
        <w:keepNext w:val="0"/>
        <w:keepLines w:val="0"/>
        <w:pageBreakBefore w:val="0"/>
        <w:widowControl w:val="0"/>
        <w:kinsoku/>
        <w:wordWrap/>
        <w:overflowPunct/>
        <w:topLinePunct w:val="0"/>
        <w:autoSpaceDE/>
        <w:autoSpaceDN/>
        <w:bidi w:val="0"/>
        <w:adjustRightInd/>
        <w:snapToGrid/>
        <w:spacing w:line="570" w:lineRule="exact"/>
        <w:jc w:val="center"/>
        <w:textAlignment w:val="auto"/>
        <w:outlineLvl w:val="0"/>
        <w:rPr>
          <w:rFonts w:hint="eastAsia" w:ascii="方正小标宋简体" w:hAnsi="方正小标宋简体" w:eastAsia="方正小标宋简体" w:cs="方正小标宋简体"/>
          <w:sz w:val="24"/>
          <w:szCs w:val="24"/>
          <w:highlight w:val="none"/>
        </w:rPr>
      </w:pPr>
    </w:p>
    <w:p>
      <w:pPr>
        <w:keepNext w:val="0"/>
        <w:keepLines w:val="0"/>
        <w:pageBreakBefore w:val="0"/>
        <w:widowControl w:val="0"/>
        <w:kinsoku/>
        <w:wordWrap/>
        <w:overflowPunct/>
        <w:topLinePunct w:val="0"/>
        <w:autoSpaceDE/>
        <w:autoSpaceDN/>
        <w:bidi w:val="0"/>
        <w:adjustRightInd/>
        <w:snapToGrid/>
        <w:spacing w:line="570" w:lineRule="exact"/>
        <w:jc w:val="center"/>
        <w:textAlignment w:val="auto"/>
        <w:outlineLvl w:val="0"/>
        <w:rPr>
          <w:rFonts w:hint="eastAsia" w:ascii="方正小标宋简体" w:hAnsi="方正小标宋简体" w:eastAsia="方正小标宋简体" w:cs="方正小标宋简体"/>
          <w:sz w:val="24"/>
          <w:szCs w:val="24"/>
          <w:highlight w:val="none"/>
        </w:rPr>
      </w:pPr>
    </w:p>
    <w:p>
      <w:pPr>
        <w:keepNext w:val="0"/>
        <w:keepLines w:val="0"/>
        <w:pageBreakBefore w:val="0"/>
        <w:widowControl w:val="0"/>
        <w:kinsoku/>
        <w:wordWrap/>
        <w:overflowPunct/>
        <w:topLinePunct w:val="0"/>
        <w:autoSpaceDE/>
        <w:autoSpaceDN/>
        <w:bidi w:val="0"/>
        <w:adjustRightInd/>
        <w:snapToGrid/>
        <w:spacing w:line="570" w:lineRule="exact"/>
        <w:jc w:val="center"/>
        <w:textAlignment w:val="auto"/>
        <w:outlineLvl w:val="0"/>
        <w:rPr>
          <w:rFonts w:hint="eastAsia" w:ascii="方正小标宋简体" w:hAnsi="方正小标宋简体" w:eastAsia="方正小标宋简体" w:cs="方正小标宋简体"/>
          <w:sz w:val="24"/>
          <w:szCs w:val="24"/>
          <w:highlight w:val="none"/>
        </w:rPr>
      </w:pPr>
    </w:p>
    <w:p>
      <w:pPr>
        <w:keepNext w:val="0"/>
        <w:keepLines w:val="0"/>
        <w:pageBreakBefore w:val="0"/>
        <w:widowControl w:val="0"/>
        <w:kinsoku/>
        <w:wordWrap/>
        <w:overflowPunct/>
        <w:topLinePunct w:val="0"/>
        <w:autoSpaceDE/>
        <w:autoSpaceDN/>
        <w:bidi w:val="0"/>
        <w:adjustRightInd/>
        <w:snapToGrid/>
        <w:spacing w:line="570" w:lineRule="exact"/>
        <w:jc w:val="center"/>
        <w:textAlignment w:val="auto"/>
        <w:outlineLvl w:val="0"/>
        <w:rPr>
          <w:rFonts w:hint="eastAsia" w:ascii="方正小标宋简体" w:hAnsi="方正小标宋简体" w:eastAsia="方正小标宋简体" w:cs="方正小标宋简体"/>
          <w:sz w:val="24"/>
          <w:szCs w:val="24"/>
          <w:highlight w:val="none"/>
        </w:rPr>
      </w:pPr>
    </w:p>
    <w:p>
      <w:pPr>
        <w:keepNext w:val="0"/>
        <w:keepLines w:val="0"/>
        <w:pageBreakBefore w:val="0"/>
        <w:widowControl w:val="0"/>
        <w:kinsoku/>
        <w:wordWrap/>
        <w:overflowPunct/>
        <w:topLinePunct w:val="0"/>
        <w:autoSpaceDE/>
        <w:autoSpaceDN/>
        <w:bidi w:val="0"/>
        <w:adjustRightInd/>
        <w:snapToGrid/>
        <w:spacing w:line="570" w:lineRule="exact"/>
        <w:jc w:val="center"/>
        <w:textAlignment w:val="auto"/>
        <w:outlineLvl w:val="0"/>
        <w:rPr>
          <w:rFonts w:hint="eastAsia" w:ascii="方正小标宋简体" w:hAnsi="方正小标宋简体" w:eastAsia="方正小标宋简体" w:cs="方正小标宋简体"/>
          <w:sz w:val="24"/>
          <w:szCs w:val="24"/>
          <w:highlight w:val="none"/>
        </w:rPr>
      </w:pPr>
    </w:p>
    <w:p>
      <w:pPr>
        <w:keepNext w:val="0"/>
        <w:keepLines w:val="0"/>
        <w:pageBreakBefore w:val="0"/>
        <w:widowControl w:val="0"/>
        <w:kinsoku/>
        <w:wordWrap/>
        <w:overflowPunct/>
        <w:topLinePunct w:val="0"/>
        <w:autoSpaceDE/>
        <w:autoSpaceDN/>
        <w:bidi w:val="0"/>
        <w:adjustRightInd/>
        <w:snapToGrid/>
        <w:spacing w:line="570" w:lineRule="exact"/>
        <w:jc w:val="center"/>
        <w:textAlignment w:val="auto"/>
        <w:outlineLvl w:val="0"/>
        <w:rPr>
          <w:rFonts w:hint="eastAsia" w:ascii="方正小标宋简体" w:hAnsi="方正小标宋简体" w:eastAsia="方正小标宋简体" w:cs="方正小标宋简体"/>
          <w:sz w:val="24"/>
          <w:szCs w:val="24"/>
          <w:highlight w:val="none"/>
        </w:rPr>
      </w:pPr>
    </w:p>
    <w:p>
      <w:pPr>
        <w:keepNext w:val="0"/>
        <w:keepLines w:val="0"/>
        <w:pageBreakBefore w:val="0"/>
        <w:widowControl w:val="0"/>
        <w:kinsoku/>
        <w:wordWrap/>
        <w:overflowPunct/>
        <w:topLinePunct w:val="0"/>
        <w:autoSpaceDE/>
        <w:autoSpaceDN/>
        <w:bidi w:val="0"/>
        <w:adjustRightInd/>
        <w:snapToGrid/>
        <w:spacing w:line="570" w:lineRule="exact"/>
        <w:jc w:val="center"/>
        <w:textAlignment w:val="auto"/>
        <w:outlineLvl w:val="0"/>
        <w:rPr>
          <w:rFonts w:hint="eastAsia" w:ascii="方正小标宋简体" w:hAnsi="方正小标宋简体" w:eastAsia="方正小标宋简体" w:cs="方正小标宋简体"/>
          <w:sz w:val="24"/>
          <w:szCs w:val="24"/>
          <w:highlight w:val="none"/>
        </w:rPr>
      </w:pPr>
    </w:p>
    <w:p>
      <w:pPr>
        <w:keepNext w:val="0"/>
        <w:keepLines w:val="0"/>
        <w:pageBreakBefore w:val="0"/>
        <w:widowControl w:val="0"/>
        <w:kinsoku/>
        <w:wordWrap/>
        <w:overflowPunct/>
        <w:topLinePunct w:val="0"/>
        <w:autoSpaceDE/>
        <w:autoSpaceDN/>
        <w:bidi w:val="0"/>
        <w:adjustRightInd/>
        <w:snapToGrid/>
        <w:spacing w:line="570" w:lineRule="exact"/>
        <w:jc w:val="center"/>
        <w:textAlignment w:val="auto"/>
        <w:outlineLvl w:val="0"/>
        <w:rPr>
          <w:rFonts w:hint="eastAsia" w:ascii="方正小标宋简体" w:hAnsi="方正小标宋简体" w:eastAsia="方正小标宋简体" w:cs="方正小标宋简体"/>
          <w:sz w:val="24"/>
          <w:szCs w:val="24"/>
          <w:highlight w:val="none"/>
        </w:rPr>
      </w:pPr>
    </w:p>
    <w:p>
      <w:pPr>
        <w:keepNext w:val="0"/>
        <w:keepLines w:val="0"/>
        <w:pageBreakBefore w:val="0"/>
        <w:widowControl w:val="0"/>
        <w:kinsoku/>
        <w:wordWrap/>
        <w:overflowPunct/>
        <w:topLinePunct w:val="0"/>
        <w:autoSpaceDE/>
        <w:autoSpaceDN/>
        <w:bidi w:val="0"/>
        <w:adjustRightInd/>
        <w:snapToGrid/>
        <w:spacing w:line="570" w:lineRule="exact"/>
        <w:jc w:val="center"/>
        <w:textAlignment w:val="auto"/>
        <w:outlineLvl w:val="0"/>
        <w:rPr>
          <w:rFonts w:hint="eastAsia" w:ascii="方正小标宋简体" w:hAnsi="方正小标宋简体" w:eastAsia="方正小标宋简体" w:cs="方正小标宋简体"/>
          <w:sz w:val="24"/>
          <w:szCs w:val="24"/>
          <w:highlight w:val="none"/>
        </w:rPr>
      </w:pPr>
    </w:p>
    <w:p>
      <w:pPr>
        <w:keepNext w:val="0"/>
        <w:keepLines w:val="0"/>
        <w:pageBreakBefore w:val="0"/>
        <w:widowControl w:val="0"/>
        <w:kinsoku/>
        <w:wordWrap/>
        <w:overflowPunct/>
        <w:topLinePunct w:val="0"/>
        <w:autoSpaceDE/>
        <w:autoSpaceDN/>
        <w:bidi w:val="0"/>
        <w:adjustRightInd/>
        <w:snapToGrid/>
        <w:spacing w:line="570" w:lineRule="exact"/>
        <w:jc w:val="center"/>
        <w:textAlignment w:val="auto"/>
        <w:outlineLvl w:val="0"/>
        <w:rPr>
          <w:rFonts w:hint="eastAsia" w:ascii="方正小标宋简体" w:hAnsi="方正小标宋简体" w:eastAsia="方正小标宋简体" w:cs="方正小标宋简体"/>
          <w:sz w:val="24"/>
          <w:szCs w:val="24"/>
          <w:highlight w:val="none"/>
        </w:rPr>
      </w:pPr>
    </w:p>
    <w:p>
      <w:pPr>
        <w:keepNext w:val="0"/>
        <w:keepLines w:val="0"/>
        <w:pageBreakBefore w:val="0"/>
        <w:widowControl w:val="0"/>
        <w:kinsoku/>
        <w:wordWrap/>
        <w:overflowPunct/>
        <w:topLinePunct w:val="0"/>
        <w:autoSpaceDE/>
        <w:autoSpaceDN/>
        <w:bidi w:val="0"/>
        <w:adjustRightInd/>
        <w:snapToGrid/>
        <w:spacing w:line="570" w:lineRule="exact"/>
        <w:jc w:val="center"/>
        <w:textAlignment w:val="auto"/>
        <w:outlineLvl w:val="0"/>
        <w:rPr>
          <w:rFonts w:hint="eastAsia" w:ascii="方正小标宋简体" w:hAnsi="方正小标宋简体" w:eastAsia="方正小标宋简体" w:cs="方正小标宋简体"/>
          <w:sz w:val="24"/>
          <w:szCs w:val="24"/>
          <w:highlight w:val="none"/>
        </w:rPr>
      </w:pPr>
    </w:p>
    <w:p>
      <w:pPr>
        <w:keepNext w:val="0"/>
        <w:keepLines w:val="0"/>
        <w:pageBreakBefore w:val="0"/>
        <w:widowControl w:val="0"/>
        <w:kinsoku/>
        <w:wordWrap/>
        <w:overflowPunct/>
        <w:topLinePunct w:val="0"/>
        <w:autoSpaceDE/>
        <w:autoSpaceDN/>
        <w:bidi w:val="0"/>
        <w:adjustRightInd/>
        <w:snapToGrid/>
        <w:spacing w:line="570" w:lineRule="exact"/>
        <w:jc w:val="center"/>
        <w:textAlignment w:val="auto"/>
        <w:outlineLvl w:val="0"/>
        <w:rPr>
          <w:rFonts w:hint="eastAsia" w:ascii="方正小标宋简体" w:hAnsi="方正小标宋简体" w:eastAsia="方正小标宋简体" w:cs="方正小标宋简体"/>
          <w:sz w:val="24"/>
          <w:szCs w:val="24"/>
          <w:highlight w:val="none"/>
        </w:rPr>
      </w:pPr>
    </w:p>
    <w:p>
      <w:pPr>
        <w:keepNext w:val="0"/>
        <w:keepLines w:val="0"/>
        <w:pageBreakBefore w:val="0"/>
        <w:widowControl w:val="0"/>
        <w:kinsoku/>
        <w:wordWrap/>
        <w:overflowPunct/>
        <w:topLinePunct w:val="0"/>
        <w:autoSpaceDE/>
        <w:autoSpaceDN/>
        <w:bidi w:val="0"/>
        <w:adjustRightInd/>
        <w:snapToGrid/>
        <w:spacing w:line="570" w:lineRule="exact"/>
        <w:jc w:val="center"/>
        <w:textAlignment w:val="auto"/>
        <w:outlineLvl w:val="0"/>
        <w:rPr>
          <w:rFonts w:hint="eastAsia" w:ascii="方正小标宋简体" w:hAnsi="方正小标宋简体" w:eastAsia="方正小标宋简体" w:cs="方正小标宋简体"/>
          <w:sz w:val="24"/>
          <w:szCs w:val="24"/>
          <w:highlight w:val="none"/>
        </w:rPr>
      </w:pPr>
      <w:r>
        <w:rPr>
          <w:rFonts w:hint="eastAsia" w:ascii="方正小标宋简体" w:hAnsi="方正小标宋简体" w:eastAsia="方正小标宋简体" w:cs="方正小标宋简体"/>
          <w:sz w:val="24"/>
          <w:szCs w:val="24"/>
          <w:highlight w:val="none"/>
        </w:rPr>
        <w:t>第三章</w:t>
      </w:r>
      <w:r>
        <w:rPr>
          <w:rFonts w:hint="eastAsia" w:ascii="方正小标宋简体" w:hAnsi="方正小标宋简体" w:eastAsia="方正小标宋简体" w:cs="方正小标宋简体"/>
          <w:sz w:val="24"/>
          <w:szCs w:val="24"/>
          <w:highlight w:val="none"/>
          <w:lang w:val="en-US" w:eastAsia="zh-CN"/>
        </w:rPr>
        <w:t xml:space="preserve"> </w:t>
      </w:r>
      <w:r>
        <w:rPr>
          <w:rFonts w:hint="eastAsia" w:ascii="方正小标宋简体" w:hAnsi="方正小标宋简体" w:eastAsia="方正小标宋简体" w:cs="方正小标宋简体"/>
          <w:sz w:val="24"/>
          <w:szCs w:val="24"/>
          <w:highlight w:val="none"/>
        </w:rPr>
        <w:t>磋商内容及采购要求</w:t>
      </w:r>
      <w:bookmarkEnd w:id="2"/>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一、项目概况</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本项目为</w:t>
      </w:r>
      <w:r>
        <w:rPr>
          <w:rFonts w:hint="eastAsia" w:asciiTheme="minorEastAsia" w:hAnsiTheme="minorEastAsia" w:eastAsiaTheme="minorEastAsia" w:cstheme="minorEastAsia"/>
          <w:sz w:val="24"/>
          <w:szCs w:val="24"/>
          <w:highlight w:val="none"/>
          <w:lang w:eastAsia="zh-CN"/>
        </w:rPr>
        <w:t>咸阳市秦都区文华学校购买服务政府采购项目</w:t>
      </w:r>
      <w:r>
        <w:rPr>
          <w:rFonts w:hint="eastAsia" w:asciiTheme="minorEastAsia" w:hAnsiTheme="minorEastAsia" w:eastAsiaTheme="minorEastAsia" w:cstheme="minorEastAsia"/>
          <w:sz w:val="24"/>
          <w:szCs w:val="24"/>
          <w:highlight w:val="none"/>
        </w:rPr>
        <w:t>，服务范围包含校内设施设备运行维护、秩序维护、监控管理、环境保洁、绿化维护等物业综合管理服务，供应商对</w:t>
      </w:r>
      <w:r>
        <w:rPr>
          <w:rFonts w:hint="eastAsia" w:asciiTheme="minorEastAsia" w:hAnsiTheme="minorEastAsia" w:eastAsiaTheme="minorEastAsia" w:cstheme="minorEastAsia"/>
          <w:sz w:val="24"/>
          <w:szCs w:val="24"/>
          <w:highlight w:val="none"/>
          <w:lang w:val="en-US" w:eastAsia="zh-CN"/>
        </w:rPr>
        <w:t>校</w:t>
      </w:r>
      <w:r>
        <w:rPr>
          <w:rFonts w:hint="eastAsia" w:asciiTheme="minorEastAsia" w:hAnsiTheme="minorEastAsia" w:eastAsiaTheme="minorEastAsia" w:cstheme="minorEastAsia"/>
          <w:sz w:val="24"/>
          <w:szCs w:val="24"/>
          <w:highlight w:val="none"/>
        </w:rPr>
        <w:t>区进行物业服务管理工作，物业费及相关费用按照国家标准进行收取。</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二、服务范围</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项目位于</w:t>
      </w:r>
      <w:r>
        <w:rPr>
          <w:rFonts w:hint="eastAsia" w:asciiTheme="minorEastAsia" w:hAnsiTheme="minorEastAsia" w:eastAsiaTheme="minorEastAsia" w:cstheme="minorEastAsia"/>
          <w:sz w:val="24"/>
          <w:szCs w:val="24"/>
          <w:highlight w:val="none"/>
          <w:lang w:val="en-US" w:eastAsia="zh-CN"/>
        </w:rPr>
        <w:t>珠泉路与汉仓路交汇东北侧</w:t>
      </w:r>
      <w:r>
        <w:rPr>
          <w:rFonts w:hint="eastAsia" w:asciiTheme="minorEastAsia" w:hAnsiTheme="minorEastAsia" w:eastAsiaTheme="minorEastAsia" w:cstheme="minorEastAsia"/>
          <w:sz w:val="24"/>
          <w:szCs w:val="24"/>
          <w:highlight w:val="none"/>
        </w:rPr>
        <w:t>，是一所</w:t>
      </w:r>
      <w:r>
        <w:rPr>
          <w:rFonts w:hint="eastAsia" w:asciiTheme="minorEastAsia" w:hAnsiTheme="minorEastAsia" w:eastAsiaTheme="minorEastAsia" w:cstheme="minorEastAsia"/>
          <w:sz w:val="24"/>
          <w:szCs w:val="24"/>
          <w:highlight w:val="none"/>
          <w:lang w:val="en-US" w:eastAsia="zh-CN"/>
        </w:rPr>
        <w:t>秦都区直属</w:t>
      </w:r>
      <w:r>
        <w:rPr>
          <w:rFonts w:hint="eastAsia" w:asciiTheme="minorEastAsia" w:hAnsiTheme="minorEastAsia" w:eastAsiaTheme="minorEastAsia" w:cstheme="minorEastAsia"/>
          <w:sz w:val="24"/>
          <w:szCs w:val="24"/>
          <w:highlight w:val="none"/>
        </w:rPr>
        <w:t>公办初中，包含</w:t>
      </w:r>
      <w:r>
        <w:rPr>
          <w:rFonts w:hint="eastAsia" w:asciiTheme="minorEastAsia" w:hAnsiTheme="minorEastAsia" w:eastAsiaTheme="minorEastAsia" w:cstheme="minorEastAsia"/>
          <w:sz w:val="24"/>
          <w:szCs w:val="24"/>
          <w:highlight w:val="none"/>
          <w:lang w:val="en-US" w:eastAsia="zh-CN"/>
        </w:rPr>
        <w:t>6</w:t>
      </w:r>
      <w:r>
        <w:rPr>
          <w:rFonts w:hint="eastAsia" w:asciiTheme="minorEastAsia" w:hAnsiTheme="minorEastAsia" w:eastAsiaTheme="minorEastAsia" w:cstheme="minorEastAsia"/>
          <w:sz w:val="24"/>
          <w:szCs w:val="24"/>
          <w:highlight w:val="none"/>
        </w:rPr>
        <w:t>栋教学楼、1栋综合楼、2栋</w:t>
      </w:r>
      <w:r>
        <w:rPr>
          <w:rFonts w:hint="eastAsia" w:asciiTheme="minorEastAsia" w:hAnsiTheme="minorEastAsia" w:eastAsiaTheme="minorEastAsia" w:cstheme="minorEastAsia"/>
          <w:sz w:val="24"/>
          <w:szCs w:val="24"/>
          <w:highlight w:val="none"/>
          <w:lang w:val="en-US" w:eastAsia="zh-CN"/>
        </w:rPr>
        <w:t>公寓</w:t>
      </w:r>
      <w:r>
        <w:rPr>
          <w:rFonts w:hint="eastAsia" w:asciiTheme="minorEastAsia" w:hAnsiTheme="minorEastAsia" w:eastAsiaTheme="minorEastAsia" w:cstheme="minorEastAsia"/>
          <w:sz w:val="24"/>
          <w:szCs w:val="24"/>
          <w:highlight w:val="none"/>
        </w:rPr>
        <w:t>楼、1栋</w:t>
      </w:r>
      <w:r>
        <w:rPr>
          <w:rFonts w:hint="eastAsia" w:asciiTheme="minorEastAsia" w:hAnsiTheme="minorEastAsia" w:eastAsiaTheme="minorEastAsia" w:cstheme="minorEastAsia"/>
          <w:sz w:val="24"/>
          <w:szCs w:val="24"/>
          <w:highlight w:val="none"/>
          <w:lang w:val="en-US" w:eastAsia="zh-CN"/>
        </w:rPr>
        <w:t>风雨操场</w:t>
      </w:r>
      <w:r>
        <w:rPr>
          <w:rFonts w:hint="eastAsia" w:asciiTheme="minorEastAsia" w:hAnsiTheme="minorEastAsia" w:eastAsiaTheme="minorEastAsia" w:cstheme="minorEastAsia"/>
          <w:sz w:val="24"/>
          <w:szCs w:val="24"/>
          <w:highlight w:val="none"/>
        </w:rPr>
        <w:t>、</w:t>
      </w:r>
      <w:r>
        <w:rPr>
          <w:rFonts w:hint="eastAsia" w:asciiTheme="minorEastAsia" w:hAnsiTheme="minorEastAsia" w:eastAsiaTheme="minorEastAsia" w:cstheme="minorEastAsia"/>
          <w:sz w:val="24"/>
          <w:szCs w:val="24"/>
          <w:highlight w:val="none"/>
          <w:lang w:val="en-US" w:eastAsia="zh-CN"/>
        </w:rPr>
        <w:t>3处室外活动场、1处地下车库及校内绿化</w:t>
      </w:r>
      <w:r>
        <w:rPr>
          <w:rFonts w:hint="eastAsia" w:asciiTheme="minorEastAsia" w:hAnsiTheme="minorEastAsia" w:eastAsiaTheme="minorEastAsia" w:cstheme="minorEastAsia"/>
          <w:sz w:val="24"/>
          <w:szCs w:val="24"/>
          <w:highlight w:val="none"/>
        </w:rPr>
        <w:t>等</w:t>
      </w:r>
      <w:r>
        <w:rPr>
          <w:rFonts w:hint="eastAsia" w:asciiTheme="minorEastAsia" w:hAnsiTheme="minorEastAsia" w:cstheme="minorEastAsia"/>
          <w:sz w:val="24"/>
          <w:szCs w:val="24"/>
          <w:highlight w:val="none"/>
          <w:lang w:eastAsia="zh-CN"/>
        </w:rPr>
        <w:t>，</w:t>
      </w:r>
      <w:r>
        <w:rPr>
          <w:rFonts w:hint="eastAsia" w:asciiTheme="minorEastAsia" w:hAnsiTheme="minorEastAsia" w:cstheme="minorEastAsia"/>
          <w:sz w:val="24"/>
          <w:szCs w:val="24"/>
          <w:highlight w:val="none"/>
          <w:lang w:val="en-US" w:eastAsia="zh-CN"/>
        </w:rPr>
        <w:t>面积约6万平方米。</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三、服务内容及要求</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(一）安全管理服务要求</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1、服务内容</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对学校所有区域进行巡查，对外来人员、车辆做好来访登记。做好特种设备设施的日常巡检，与维保单位做好日常对接，保障设备处于最佳运行状态。</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（1）对校门口实行24小时值班制，建立并严格执行外来人员及车辆询问登记制度和车辆出入管理制度</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严禁无关人员、管制刀具、易燃易爆等危险物品进入校园，筑牢校园第一道安全防线。</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（2）制订突发事件应急处理预案和措施，确保突发事件发生时能得到及时处理，防止事态进一步恶化，并要保护好现场及时上报，必要时报警。</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w:t>
      </w:r>
      <w:r>
        <w:rPr>
          <w:rFonts w:hint="eastAsia" w:asciiTheme="minorEastAsia" w:hAnsiTheme="minorEastAsia" w:eastAsiaTheme="minorEastAsia" w:cstheme="minorEastAsia"/>
          <w:sz w:val="24"/>
          <w:szCs w:val="24"/>
          <w:highlight w:val="none"/>
          <w:lang w:val="en-US" w:eastAsia="zh-CN"/>
        </w:rPr>
        <w:t>实行</w:t>
      </w:r>
      <w:r>
        <w:rPr>
          <w:rFonts w:hint="eastAsia" w:asciiTheme="minorEastAsia" w:hAnsiTheme="minorEastAsia" w:eastAsiaTheme="minorEastAsia" w:cstheme="minorEastAsia"/>
          <w:sz w:val="24"/>
          <w:szCs w:val="24"/>
          <w:highlight w:val="none"/>
        </w:rPr>
        <w:t>24小时安全保卫、消防、监控管理工作，包括公共广场、建筑物等，校内要做到24小时有安全管理人员巡逻。</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①</w:t>
      </w:r>
      <w:r>
        <w:rPr>
          <w:rFonts w:hint="eastAsia" w:asciiTheme="minorEastAsia" w:hAnsiTheme="minorEastAsia" w:eastAsiaTheme="minorEastAsia" w:cstheme="minorEastAsia"/>
          <w:sz w:val="24"/>
          <w:szCs w:val="24"/>
          <w:highlight w:val="none"/>
          <w:lang w:val="en-US" w:eastAsia="zh-CN"/>
        </w:rPr>
        <w:t>巡查校内外</w:t>
      </w:r>
      <w:r>
        <w:rPr>
          <w:rFonts w:hint="eastAsia" w:asciiTheme="minorEastAsia" w:hAnsiTheme="minorEastAsia" w:eastAsiaTheme="minorEastAsia" w:cstheme="minorEastAsia"/>
          <w:sz w:val="24"/>
          <w:szCs w:val="24"/>
          <w:highlight w:val="none"/>
        </w:rPr>
        <w:t>治安、防火、防盗、煤气、水情、交通</w:t>
      </w:r>
      <w:r>
        <w:rPr>
          <w:rFonts w:hint="eastAsia" w:asciiTheme="minorEastAsia" w:hAnsiTheme="minorEastAsia" w:eastAsiaTheme="minorEastAsia" w:cstheme="minorEastAsia"/>
          <w:sz w:val="24"/>
          <w:szCs w:val="24"/>
          <w:highlight w:val="none"/>
          <w:lang w:val="en-US" w:eastAsia="zh-CN"/>
        </w:rPr>
        <w:t>等</w:t>
      </w:r>
      <w:r>
        <w:rPr>
          <w:rFonts w:hint="eastAsia" w:asciiTheme="minorEastAsia" w:hAnsiTheme="minorEastAsia" w:eastAsiaTheme="minorEastAsia" w:cstheme="minorEastAsia"/>
          <w:sz w:val="24"/>
          <w:szCs w:val="24"/>
          <w:highlight w:val="none"/>
        </w:rPr>
        <w:t>情况以及管理服务区域的卫生环境等情况。</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②对“门前三包”进行检查监控。严禁在校园内外乱张贴广告、校园外部摆摊设点或闲坐等现象出现。</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③加强对各出入口和周边环境的监控，严防外来人员翻墙直接进入校园，密切监视可疑人员出入动态。检查可疑人员、闲杂人员的相关证件及携带的物品。</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④对发生的侵犯工作人员事件或者出现扰乱</w:t>
      </w:r>
      <w:r>
        <w:rPr>
          <w:rFonts w:hint="eastAsia" w:asciiTheme="minorEastAsia" w:hAnsiTheme="minorEastAsia" w:eastAsiaTheme="minorEastAsia" w:cstheme="minorEastAsia"/>
          <w:sz w:val="24"/>
          <w:szCs w:val="24"/>
          <w:highlight w:val="none"/>
          <w:lang w:eastAsia="zh-CN"/>
        </w:rPr>
        <w:t>咸阳市秦都区文华学校</w:t>
      </w:r>
      <w:r>
        <w:rPr>
          <w:rFonts w:hint="eastAsia" w:asciiTheme="minorEastAsia" w:hAnsiTheme="minorEastAsia" w:eastAsiaTheme="minorEastAsia" w:cstheme="minorEastAsia"/>
          <w:sz w:val="24"/>
          <w:szCs w:val="24"/>
          <w:highlight w:val="none"/>
        </w:rPr>
        <w:t>正常工作秩序情况时，安全管理人员立即予以制止和保护，并采取救助行动。</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⑤对携带大件行李或物品离开校园的外来人员及车辆要进行检查，内部人员要进行登记。</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⑥协助</w:t>
      </w:r>
      <w:r>
        <w:rPr>
          <w:rFonts w:hint="eastAsia" w:asciiTheme="minorEastAsia" w:hAnsiTheme="minorEastAsia" w:eastAsiaTheme="minorEastAsia" w:cstheme="minorEastAsia"/>
          <w:sz w:val="24"/>
          <w:szCs w:val="24"/>
          <w:highlight w:val="none"/>
          <w:lang w:eastAsia="zh-CN"/>
        </w:rPr>
        <w:t>学校</w:t>
      </w:r>
      <w:r>
        <w:rPr>
          <w:rFonts w:hint="eastAsia" w:asciiTheme="minorEastAsia" w:hAnsiTheme="minorEastAsia" w:eastAsiaTheme="minorEastAsia" w:cstheme="minorEastAsia"/>
          <w:sz w:val="24"/>
          <w:szCs w:val="24"/>
          <w:highlight w:val="none"/>
        </w:rPr>
        <w:t>组织各类活动的开展及临时接待任务的安全保卫工作，随时提供人力支援。根据</w:t>
      </w:r>
      <w:r>
        <w:rPr>
          <w:rFonts w:hint="eastAsia" w:asciiTheme="minorEastAsia" w:hAnsiTheme="minorEastAsia" w:eastAsiaTheme="minorEastAsia" w:cstheme="minorEastAsia"/>
          <w:sz w:val="24"/>
          <w:szCs w:val="24"/>
          <w:highlight w:val="none"/>
          <w:lang w:eastAsia="zh-CN"/>
        </w:rPr>
        <w:t>学校</w:t>
      </w:r>
      <w:r>
        <w:rPr>
          <w:rFonts w:hint="eastAsia" w:asciiTheme="minorEastAsia" w:hAnsiTheme="minorEastAsia" w:eastAsiaTheme="minorEastAsia" w:cstheme="minorEastAsia"/>
          <w:sz w:val="24"/>
          <w:szCs w:val="24"/>
          <w:highlight w:val="none"/>
        </w:rPr>
        <w:t>要求，按照“特殊敏感时期保卫方案”，实施对楼宇的安全、防护、保卫工作。</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⑦检查外围广场车辆、人员以及其它情况。</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⑧检视</w:t>
      </w:r>
      <w:r>
        <w:rPr>
          <w:rFonts w:hint="eastAsia" w:asciiTheme="minorEastAsia" w:hAnsiTheme="minorEastAsia" w:eastAsiaTheme="minorEastAsia" w:cstheme="minorEastAsia"/>
          <w:sz w:val="24"/>
          <w:szCs w:val="24"/>
          <w:highlight w:val="none"/>
          <w:lang w:eastAsia="zh-CN"/>
        </w:rPr>
        <w:t>学校</w:t>
      </w:r>
      <w:r>
        <w:rPr>
          <w:rFonts w:hint="eastAsia" w:asciiTheme="minorEastAsia" w:hAnsiTheme="minorEastAsia" w:eastAsiaTheme="minorEastAsia" w:cstheme="minorEastAsia"/>
          <w:sz w:val="24"/>
          <w:szCs w:val="24"/>
          <w:highlight w:val="none"/>
        </w:rPr>
        <w:t>外墙、门窗玻璃、公共通道建筑等是否完好。</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⑨负责校园重大突发情况和事（案）件的报警及救助工作。</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⑩制定处置突发事件的应急预案，消防应急预案、停电停水应急预案、</w:t>
      </w:r>
      <w:r>
        <w:rPr>
          <w:rFonts w:hint="eastAsia" w:asciiTheme="minorEastAsia" w:hAnsiTheme="minorEastAsia" w:eastAsiaTheme="minorEastAsia" w:cstheme="minorEastAsia"/>
          <w:sz w:val="24"/>
          <w:szCs w:val="24"/>
          <w:highlight w:val="none"/>
          <w:lang w:val="en-US" w:eastAsia="zh-CN"/>
        </w:rPr>
        <w:t>配合</w:t>
      </w:r>
      <w:r>
        <w:rPr>
          <w:rFonts w:hint="eastAsia" w:asciiTheme="minorEastAsia" w:hAnsiTheme="minorEastAsia" w:eastAsiaTheme="minorEastAsia" w:cstheme="minorEastAsia"/>
          <w:sz w:val="24"/>
          <w:szCs w:val="24"/>
          <w:highlight w:val="none"/>
        </w:rPr>
        <w:t>组织</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实施演练。</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备注：遇有突发事件，值班人员应立即按规定报告相关部门，相关人员应在5分钟内赶到现场，</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控制和处理事件，所有安全管理人员必须无条件服从应急指挥中心的指挥和调遣。</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（4）熟练并灵活运用监视控制系统，24小时使用监控系统，全天候对所有监控点进行监视及重要部位的录像保存工作。</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①要求安全管理人员熟悉掌握各种监视控制系统，并灵活运用。</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②安全管理人员在没有顶替岗情况下，不得离开岗位。</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③集中精神注视监控系统情况，发现可疑或异常情况立即报告。</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④按规定要求做好工作登记，交接班登记工作。</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⑤发现监控系统出现异常时，立即向相关部门报告，并在《监控记录本》做好登记。</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2、服务要求</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（1）通过选用高标准、高素质的安全管理人员，配备先进的器材，组建一支思想素质高、业务能力强的专业安全管理团队。</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（2）配备的安全管理人员必须身体健康、精力充沛、遵纪守法、作风优良、技能过硬，文化程度初中及以上，年龄不超过</w:t>
      </w:r>
      <w:r>
        <w:rPr>
          <w:rFonts w:hint="eastAsia" w:asciiTheme="minorEastAsia" w:hAnsiTheme="minorEastAsia" w:eastAsiaTheme="minorEastAsia" w:cstheme="minorEastAsia"/>
          <w:sz w:val="24"/>
          <w:szCs w:val="24"/>
          <w:highlight w:val="none"/>
          <w:lang w:val="en-US" w:eastAsia="zh-CN"/>
        </w:rPr>
        <w:t>60</w:t>
      </w:r>
      <w:r>
        <w:rPr>
          <w:rFonts w:hint="eastAsia" w:asciiTheme="minorEastAsia" w:hAnsiTheme="minorEastAsia" w:eastAsiaTheme="minorEastAsia" w:cstheme="minorEastAsia"/>
          <w:sz w:val="24"/>
          <w:szCs w:val="24"/>
          <w:highlight w:val="none"/>
        </w:rPr>
        <w:t>岁。</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（3）安全管理人员应做到熟悉情况、训练有素、认真负责，言语规范、文明执勤，须配穿统一的服装并配置手电筒、对讲机以及政策许可的工作器械。</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（4）通过充分利用闭路监控系统，合理设置大门值班岗、巡逻岗等岗位，形成一个以“人防为主、技防为辅”的综合立体化、智能化安全防范管理网络。</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（5）统一安全管理人员的着装和标识，并建立出操、交接岗等制度，规范管理，规范其站、坐、行姿势，做到礼貌服务与安全威仪并重，安全与管理服务结合。</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（6）定期组织安全管理人员进行业务培训，培训前提供详细的培训内容及培训计划交</w:t>
      </w:r>
      <w:r>
        <w:rPr>
          <w:rFonts w:hint="eastAsia" w:asciiTheme="minorEastAsia" w:hAnsiTheme="minorEastAsia" w:eastAsiaTheme="minorEastAsia" w:cstheme="minorEastAsia"/>
          <w:sz w:val="24"/>
          <w:szCs w:val="24"/>
          <w:highlight w:val="none"/>
          <w:lang w:val="en-US" w:eastAsia="zh-CN"/>
        </w:rPr>
        <w:t>相关部门</w:t>
      </w:r>
      <w:r>
        <w:rPr>
          <w:rFonts w:hint="eastAsia" w:asciiTheme="minorEastAsia" w:hAnsiTheme="minorEastAsia" w:eastAsiaTheme="minorEastAsia" w:cstheme="minorEastAsia"/>
          <w:sz w:val="24"/>
          <w:szCs w:val="24"/>
          <w:highlight w:val="none"/>
        </w:rPr>
        <w:t>审核通过后方可实施。</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（7）安全管理花名册需上交采购人处备案。未达到校方要求的安全管理人员应立即辞退，安全管理人员的更换需及时上报学校。安全管理人员变动动率每年不得超过30%，并纳入考核写入合同。</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（二）保洁服务要求</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1、室内卫生保洁服务</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（1）服务内容</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包含综合楼、</w:t>
      </w:r>
      <w:r>
        <w:rPr>
          <w:rFonts w:hint="eastAsia" w:asciiTheme="minorEastAsia" w:hAnsiTheme="minorEastAsia" w:eastAsiaTheme="minorEastAsia" w:cstheme="minorEastAsia"/>
          <w:sz w:val="24"/>
          <w:szCs w:val="24"/>
          <w:highlight w:val="none"/>
          <w:lang w:val="en-US" w:eastAsia="zh-CN"/>
        </w:rPr>
        <w:t>教学楼、风雨操场等校内</w:t>
      </w:r>
      <w:r>
        <w:rPr>
          <w:rFonts w:hint="eastAsia" w:asciiTheme="minorEastAsia" w:hAnsiTheme="minorEastAsia" w:eastAsiaTheme="minorEastAsia" w:cstheme="minorEastAsia"/>
          <w:sz w:val="24"/>
          <w:szCs w:val="24"/>
          <w:highlight w:val="none"/>
        </w:rPr>
        <w:t>所有公共区域保洁，服务区域包含校区内所有卫生间。</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（2）标准要求</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工作日每天早晨、中午学生及教职工上班前，各打扫一次卫生，做好正常保洁，特殊情况下增加打扫次数。具体标准要求如下：</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1）教学楼、门、窗、柱、楼梯等高度在2米以下部分，每天用干净毛巾巡回擦拭；2米以上所有部分，要求每月巡回擦拭1次。</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2）走廊地面无污渍、无烟头纸屑、无泥沙等杂物，地面见本色，并保持相应亮度；墙面无污渍、无涂鸦、无灰尘、无鞋印，墙角无蜘蛛网；</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3）楼梯栏杆扶手干净整洁，无灰尘；</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4）门窗无水迹、手迹、污迹，玻璃整洁明亮，门框、窗台无灰尘、污渍、杂物；</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5）卫生间、</w:t>
      </w:r>
      <w:r>
        <w:rPr>
          <w:rFonts w:hint="eastAsia" w:asciiTheme="minorEastAsia" w:hAnsiTheme="minorEastAsia" w:eastAsiaTheme="minorEastAsia" w:cstheme="minorEastAsia"/>
          <w:sz w:val="24"/>
          <w:szCs w:val="24"/>
          <w:highlight w:val="none"/>
          <w:lang w:val="en-US" w:eastAsia="zh-CN"/>
        </w:rPr>
        <w:t>洗手池</w:t>
      </w:r>
      <w:r>
        <w:rPr>
          <w:rFonts w:hint="eastAsia" w:asciiTheme="minorEastAsia" w:hAnsiTheme="minorEastAsia" w:eastAsiaTheme="minorEastAsia" w:cstheme="minorEastAsia"/>
          <w:sz w:val="24"/>
          <w:szCs w:val="24"/>
          <w:highlight w:val="none"/>
        </w:rPr>
        <w:t>内无杂物、无污垢、无积水、无异味、无涂鸦、无长流水现象，保持良好通风。按照要求，制定清洁和消毒工作制度，并定期消毒；</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6）垃圾桶、果皮箱内垃圾及时清理，桶（箱）外表干净无灰尘污渍；</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7）及时清理公共区域堆放的多余物；</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8）卫生工具在指定区域，集中整齐摆放；</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9）遇有雨雪天气，办公楼、教学楼门口及时铺上防滑垫；</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10）发现水电暖等设施出现故障，门窗、墙面、地面损坏，及时报修。</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11）重大活动的临时性保洁工作。</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12）做到校内垃圾日产日清，每天二次清除垃圾箱内垃圾，箱体周边干净，垃圾箱周边无杂物、污物、污迹，并严格按照垃圾分类，做好垃圾外运工作。</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13）箱体内、外壁、顶面无污物、污迹；每周擦洗箱体一次。</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14）垃圾箱基本无损坏；如有损坏及时报修。</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15）桶内垃圾及时清理，表面无污物、粘附物；每周消毒一次。</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16）按照学校安排指导，做好防四害灭蝇灭鼠药品投放工作。</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17）厕所设备设施完好无损，厕所内外做到无纸屑、无果皮（核）、无污水或积水、无粪便、无垃圾、及其它废弃物等。厕所内部要保持完好，无乱刻乱画，做到地面洁净，屋顶及周围无尘土、灰吊、蛛网，无废弃物。</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18）大、小便槽、水池无污垢、无水锈、无堵塞；垃圾桶及时更换；每天至少清扫冲洗二次大、小便槽、水池。</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19）墙面、窗干净明亮，室内无蜘蛛网；每周清理一次墙面、门窗等。</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20）灯、龙头、水箱、门窗、标识牌等无损坏。灯、龙头、水箱、门窗、标识牌等损坏及时报修。</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2、室外卫生保洁服务</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（1）服务内容包括校园公共道路、</w:t>
      </w:r>
      <w:r>
        <w:rPr>
          <w:rFonts w:hint="eastAsia" w:asciiTheme="minorEastAsia" w:hAnsiTheme="minorEastAsia" w:eastAsiaTheme="minorEastAsia" w:cstheme="minorEastAsia"/>
          <w:sz w:val="24"/>
          <w:szCs w:val="24"/>
          <w:highlight w:val="none"/>
          <w:lang w:val="en-US" w:eastAsia="zh-CN"/>
        </w:rPr>
        <w:t>建筑</w:t>
      </w:r>
      <w:r>
        <w:rPr>
          <w:rFonts w:hint="eastAsia" w:asciiTheme="minorEastAsia" w:hAnsiTheme="minorEastAsia" w:eastAsiaTheme="minorEastAsia" w:cstheme="minorEastAsia"/>
          <w:sz w:val="24"/>
          <w:szCs w:val="24"/>
          <w:highlight w:val="none"/>
        </w:rPr>
        <w:t>周边、操场、公用车棚、学校大门及</w:t>
      </w:r>
      <w:r>
        <w:rPr>
          <w:rFonts w:hint="eastAsia" w:asciiTheme="minorEastAsia" w:hAnsiTheme="minorEastAsia" w:eastAsiaTheme="minorEastAsia" w:cstheme="minorEastAsia"/>
          <w:sz w:val="24"/>
          <w:szCs w:val="24"/>
          <w:highlight w:val="none"/>
          <w:lang w:val="en-US" w:eastAsia="zh-CN"/>
        </w:rPr>
        <w:t>车库</w:t>
      </w:r>
      <w:r>
        <w:rPr>
          <w:rFonts w:hint="eastAsia" w:asciiTheme="minorEastAsia" w:hAnsiTheme="minorEastAsia" w:eastAsiaTheme="minorEastAsia" w:cstheme="minorEastAsia"/>
          <w:sz w:val="24"/>
          <w:szCs w:val="24"/>
          <w:highlight w:val="none"/>
        </w:rPr>
        <w:t>区域，具体以实际为准。</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（2）标准要求</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工作日每天早晨、中午学生及教职工上班前，各打扫一次卫生，做好正常保洁，特殊情况下增加打扫次数。具体标准要求如下：</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1）室外地面、台阶、墙面保持干净整洁，地面无杂物、无明显积水、无明显污渍；校园内无卫生死角。</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2）大雨过后，迅速清除主要积水。</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3）人行道基本无落叶、杂物；每月定期清理杂草。</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w:t>
      </w:r>
      <w:r>
        <w:rPr>
          <w:rFonts w:hint="eastAsia" w:asciiTheme="minorEastAsia" w:hAnsiTheme="minorEastAsia" w:eastAsiaTheme="minorEastAsia" w:cstheme="minorEastAsia"/>
          <w:sz w:val="24"/>
          <w:szCs w:val="24"/>
          <w:highlight w:val="none"/>
          <w:lang w:val="en-US" w:eastAsia="zh-CN"/>
        </w:rPr>
        <w:t>定期清理校</w:t>
      </w:r>
      <w:r>
        <w:rPr>
          <w:rFonts w:hint="eastAsia" w:asciiTheme="minorEastAsia" w:hAnsiTheme="minorEastAsia" w:eastAsiaTheme="minorEastAsia" w:cstheme="minorEastAsia"/>
          <w:sz w:val="24"/>
          <w:szCs w:val="24"/>
          <w:highlight w:val="none"/>
        </w:rPr>
        <w:t>内</w:t>
      </w:r>
      <w:r>
        <w:rPr>
          <w:rFonts w:hint="eastAsia" w:asciiTheme="minorEastAsia" w:hAnsiTheme="minorEastAsia" w:eastAsiaTheme="minorEastAsia" w:cstheme="minorEastAsia"/>
          <w:sz w:val="24"/>
          <w:szCs w:val="24"/>
          <w:highlight w:val="none"/>
          <w:lang w:val="en-US" w:eastAsia="zh-CN"/>
        </w:rPr>
        <w:t>道路</w:t>
      </w:r>
      <w:r>
        <w:rPr>
          <w:rFonts w:hint="eastAsia" w:asciiTheme="minorEastAsia" w:hAnsiTheme="minorEastAsia" w:eastAsiaTheme="minorEastAsia" w:cstheme="minorEastAsia"/>
          <w:sz w:val="24"/>
          <w:szCs w:val="24"/>
          <w:highlight w:val="none"/>
        </w:rPr>
        <w:t>，如有重要会议及学校有大型活动需按照要求增加次数。灾害天气、大雨、大雪及时组织人员清理、排除积水及积雪，保证路面学生到校前通畅。</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5）绿化带中无白色垃圾、落叶堆积等污物。</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6）公共座椅、消防设备与其他设备每天用毛巾擦拭一次。做到无污迹、无积灰。</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7）严格落实垃圾分类要求，垃圾箱内垃圾日产日清；每天二次清除垃圾箱内垃圾。箱体周边干净，垃圾箱周边无杂物、污物、污迹；</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8）箱体内、外壁、顶面无污物、污迹；每周擦洗箱体一次。</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9）垃圾箱基本无损坏；如有损坏及时报修。</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10）桶内垃圾及时清理，表面无污物、粘附物；每周消毒一次。</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11）窨井、雨污水沟每月清理一次，及时排除沟内泥沙、污物等垃圾，做好防护网罩。</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12）广告牌及校门区域每天巡回清扫，保持地面清洁无垃圾和烟蒂，墙柱面无海报等纸片清除；广告牌每周清擦一次。</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13）雨雪天及时清理道路、操场等重要场所的积水、积雪，保持畅通；</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14）定期清理过期、超过时限的标语；</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15）及时清理操场的杂草、树叶、塑料袋、废纸等；</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16）及时制止在校内乱张贴乱涂乱画、损坏公共基础设施的行为，发现设施损坏后向</w:t>
      </w:r>
      <w:r>
        <w:rPr>
          <w:rFonts w:hint="eastAsia" w:asciiTheme="minorEastAsia" w:hAnsiTheme="minorEastAsia" w:cstheme="minorEastAsia"/>
          <w:sz w:val="24"/>
          <w:szCs w:val="24"/>
          <w:highlight w:val="none"/>
          <w:lang w:val="en-US" w:eastAsia="zh-CN"/>
        </w:rPr>
        <w:t>后勤</w:t>
      </w:r>
      <w:r>
        <w:rPr>
          <w:rFonts w:hint="eastAsia" w:asciiTheme="minorEastAsia" w:hAnsiTheme="minorEastAsia" w:eastAsiaTheme="minorEastAsia" w:cstheme="minorEastAsia"/>
          <w:sz w:val="24"/>
          <w:szCs w:val="24"/>
          <w:highlight w:val="none"/>
        </w:rPr>
        <w:t>报修。</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（三）绿化养护服务</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1、绿化养护区域</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校园内所有绿化区域及校门外的绿化。校园内草坪、绿篱、树木等所有绿化。</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2、标准要求</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按照行业管理要求，完成全校绿化的日常养护工作。主要包括病虫害防治、清除杂草枯枝烂叶，乔木、灌木、绿篱、草坪的修剪工作，绿化区的保洁、土地的修整等各项工作。具体要求如下：</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（1）草坪养护标准要求</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①草坪生长旺盛，无明显的杂草，杂树、枯枝烂叶、垃圾等杂物；</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②定期防治病虫害，喷洒农药时提前通知，不允许使用刺激性强毒性强的农药；</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③及时</w:t>
      </w:r>
      <w:r>
        <w:rPr>
          <w:rFonts w:hint="eastAsia" w:asciiTheme="minorEastAsia" w:hAnsiTheme="minorEastAsia" w:eastAsiaTheme="minorEastAsia" w:cstheme="minorEastAsia"/>
          <w:sz w:val="24"/>
          <w:szCs w:val="24"/>
          <w:highlight w:val="none"/>
          <w:lang w:val="en-US" w:eastAsia="zh-CN"/>
        </w:rPr>
        <w:t>处理</w:t>
      </w:r>
      <w:r>
        <w:rPr>
          <w:rFonts w:hint="eastAsia" w:asciiTheme="minorEastAsia" w:hAnsiTheme="minorEastAsia" w:eastAsiaTheme="minorEastAsia" w:cstheme="minorEastAsia"/>
          <w:sz w:val="24"/>
          <w:szCs w:val="24"/>
          <w:highlight w:val="none"/>
        </w:rPr>
        <w:t>缺损的草坪，绿化完好率达96%以上；</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④适时修剪草坪，高度控制在10—15公分。</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（2）绿篱及灌木养护标准要求</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①绿篱生长健壮，叶色正常，无杂草；</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②无死株、枯枝，无明显缺株，及时防治病虫害；</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③修剪造型美观，坡度平滑，无明显交接口；</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④宿根花卉管理及时，花期长花色正；</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⑤适时松土、及时清除周围杂草。</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（3）树木养护标准要求</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①树木生长旺盛，修剪合理，保持树形完整美观；</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②及时防治病虫害，做到基本无病害症状，每年冬季刷白一次；</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③及时清理死树、枯枝、病枝、干枝、损坏枝；</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④及时清除树上、地下缠绕植物；</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⑤及时阻止树干订钉拉绳行为，发现后并清理；</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⑥定期清理树木上悬挂的横幅。</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（4）花坛、木箱及盆栽植物养护标准要求</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①植物应花繁叶茂，整体观赏效果好；</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②花坛、木箱、花盆内无残枝烂叶、无杂草杂物，及时清理枯叶败花及其果实；</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③灌木及时修剪，整齐美观；</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④及时浇灌，防治病虫害；</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⑤校内</w:t>
      </w:r>
      <w:r>
        <w:rPr>
          <w:rFonts w:hint="eastAsia" w:asciiTheme="minorEastAsia" w:hAnsiTheme="minorEastAsia" w:eastAsiaTheme="minorEastAsia" w:cstheme="minorEastAsia"/>
          <w:sz w:val="24"/>
          <w:szCs w:val="24"/>
          <w:highlight w:val="none"/>
          <w:lang w:val="en-US" w:eastAsia="zh-CN"/>
        </w:rPr>
        <w:t>花坛</w:t>
      </w:r>
      <w:r>
        <w:rPr>
          <w:rFonts w:hint="eastAsia" w:asciiTheme="minorEastAsia" w:hAnsiTheme="minorEastAsia" w:eastAsiaTheme="minorEastAsia" w:cstheme="minorEastAsia"/>
          <w:sz w:val="24"/>
          <w:szCs w:val="24"/>
          <w:highlight w:val="none"/>
        </w:rPr>
        <w:t>和学校大门口摆放鲜花或绿植，做好养护工作，出现枯萎及时更换；</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⑥协助做好学校内重大活动及特定区域内植物的摆放养护工作。</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3、绿化管理要求</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（1）绿化人员要求</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①有园林绿化养护专业技术的</w:t>
      </w:r>
      <w:r>
        <w:rPr>
          <w:rFonts w:hint="eastAsia" w:asciiTheme="minorEastAsia" w:hAnsiTheme="minorEastAsia" w:eastAsiaTheme="minorEastAsia" w:cstheme="minorEastAsia"/>
          <w:sz w:val="24"/>
          <w:szCs w:val="24"/>
          <w:highlight w:val="none"/>
          <w:lang w:val="en-US" w:eastAsia="zh-CN"/>
        </w:rPr>
        <w:t>工作</w:t>
      </w:r>
      <w:r>
        <w:rPr>
          <w:rFonts w:hint="eastAsia" w:asciiTheme="minorEastAsia" w:hAnsiTheme="minorEastAsia" w:eastAsiaTheme="minorEastAsia" w:cstheme="minorEastAsia"/>
          <w:sz w:val="24"/>
          <w:szCs w:val="24"/>
          <w:highlight w:val="none"/>
        </w:rPr>
        <w:t>人员；</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②绿化人员应规范着装，保持衣冠整齐；</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③绿化人员应规范操作，修剪专业化，修剪后及时清理残枝；</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④对恶意损坏草坪、花木、竹林及乱摘等行为要及时劝阻，对不听劝阻的要及时上报</w:t>
      </w:r>
      <w:r>
        <w:rPr>
          <w:rFonts w:hint="eastAsia" w:asciiTheme="minorEastAsia" w:hAnsiTheme="minorEastAsia" w:eastAsiaTheme="minorEastAsia" w:cstheme="minorEastAsia"/>
          <w:sz w:val="24"/>
          <w:szCs w:val="24"/>
          <w:highlight w:val="none"/>
          <w:lang w:val="en-US" w:eastAsia="zh-CN"/>
        </w:rPr>
        <w:t>相关部门</w:t>
      </w:r>
      <w:r>
        <w:rPr>
          <w:rFonts w:hint="eastAsia" w:asciiTheme="minorEastAsia" w:hAnsiTheme="minorEastAsia" w:eastAsiaTheme="minorEastAsia" w:cstheme="minorEastAsia"/>
          <w:sz w:val="24"/>
          <w:szCs w:val="24"/>
          <w:highlight w:val="none"/>
        </w:rPr>
        <w:t>。</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（2）绿化工具管理要求</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绿化工具应保持整洁并摆放整齐，不得随意堆放；</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（3）农药、燃油等危险品的管理要求</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①绿化过程中所需的农药、燃油由投标人</w:t>
      </w:r>
      <w:r>
        <w:rPr>
          <w:rFonts w:hint="eastAsia" w:asciiTheme="minorEastAsia" w:hAnsiTheme="minorEastAsia" w:eastAsiaTheme="minorEastAsia" w:cstheme="minorEastAsia"/>
          <w:sz w:val="24"/>
          <w:szCs w:val="24"/>
          <w:highlight w:val="none"/>
          <w:lang w:val="en-US" w:eastAsia="zh-CN"/>
        </w:rPr>
        <w:t>负责</w:t>
      </w:r>
      <w:r>
        <w:rPr>
          <w:rFonts w:hint="eastAsia" w:asciiTheme="minorEastAsia" w:hAnsiTheme="minorEastAsia" w:eastAsiaTheme="minorEastAsia" w:cstheme="minorEastAsia"/>
          <w:sz w:val="24"/>
          <w:szCs w:val="24"/>
          <w:highlight w:val="none"/>
        </w:rPr>
        <w:t>存放，因管理使用不善，造成后果负有全部责任；</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②制定相应管理制定并上墙；</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③指定专人负责，规范出入库制度，做好记录。</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（4）其他事项要求</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①校内新增绿化项目，由采购人购买苗木、栽植，投标人负责日常养护；</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②如遇不可抗力因素，新增的大型树木出现死亡，由采购人负责；</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③特殊天气加强巡查检查，发现问题及时向采购人上报，并采取紧急处理措施；</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（四）垃圾清运</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1、清运范围</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（1）教学楼、综合楼的生活垃圾、教学垃圾及各种废弃物；</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（2）公寓的生活垃圾及各种废弃物；</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w:t>
      </w:r>
      <w:r>
        <w:rPr>
          <w:rFonts w:hint="eastAsia" w:asciiTheme="minorEastAsia" w:hAnsiTheme="minorEastAsia" w:eastAsiaTheme="minorEastAsia" w:cstheme="minorEastAsia"/>
          <w:sz w:val="24"/>
          <w:szCs w:val="24"/>
          <w:highlight w:val="none"/>
          <w:lang w:val="en-US" w:eastAsia="zh-CN"/>
        </w:rPr>
        <w:t>餐厅</w:t>
      </w:r>
      <w:r>
        <w:rPr>
          <w:rFonts w:hint="eastAsia" w:asciiTheme="minorEastAsia" w:hAnsiTheme="minorEastAsia" w:eastAsiaTheme="minorEastAsia" w:cstheme="minorEastAsia"/>
          <w:sz w:val="24"/>
          <w:szCs w:val="24"/>
          <w:highlight w:val="none"/>
        </w:rPr>
        <w:t>的生活垃圾及各种废弃物；</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（4）学校</w:t>
      </w:r>
      <w:r>
        <w:rPr>
          <w:rFonts w:hint="eastAsia" w:asciiTheme="minorEastAsia" w:hAnsiTheme="minorEastAsia" w:eastAsiaTheme="minorEastAsia" w:cstheme="minorEastAsia"/>
          <w:sz w:val="24"/>
          <w:szCs w:val="24"/>
          <w:highlight w:val="none"/>
          <w:lang w:val="en-US" w:eastAsia="zh-CN"/>
        </w:rPr>
        <w:t>相关部门</w:t>
      </w:r>
      <w:r>
        <w:rPr>
          <w:rFonts w:hint="eastAsia" w:asciiTheme="minorEastAsia" w:hAnsiTheme="minorEastAsia" w:eastAsiaTheme="minorEastAsia" w:cstheme="minorEastAsia"/>
          <w:sz w:val="24"/>
          <w:szCs w:val="24"/>
          <w:highlight w:val="none"/>
        </w:rPr>
        <w:t>已明确报废的不可回收废弃的资产；</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（5）校内工作人员作业后产生的垃圾。</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2、标准要求</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投标人按照垃圾分类的要求，集中收集校园内办公教学区、产生的生活垃圾、教学垃圾及各种废弃物到固定的4个垃圾收集点，分类外运。外来施工队产生的建筑、装修、改造的垃圾、废弃物、拆除物等，由施工单位负责清运。具体标准要求如下：</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（1）按照政府生活垃圾分类相关政策要求，配备分类垃圾桶，负责垃圾分类的管理工作和宣传工作，分类收集和运输，并有详细实施方案和办法；</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（2）所有垃圾全部分类收集到垃圾台，在垃圾台进行分类装载外运，生活垃圾做到日产日清，杂物、建筑等垃圾堆放不得超过一车装载量，有害垃圾存储规范，定期外运；</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（3）垃圾分类投放点的生活垃圾及时转运到垃圾台，投放点不得出现外溢现象，设施外表干净整洁，垃圾分类标识清晰；</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w:t>
      </w:r>
      <w:r>
        <w:rPr>
          <w:rFonts w:hint="eastAsia" w:asciiTheme="minorEastAsia" w:hAnsiTheme="minorEastAsia" w:eastAsiaTheme="minorEastAsia" w:cstheme="minorEastAsia"/>
          <w:sz w:val="24"/>
          <w:szCs w:val="24"/>
          <w:highlight w:val="none"/>
          <w:lang w:val="en-US" w:eastAsia="zh-CN"/>
        </w:rPr>
        <w:t>要求垃圾</w:t>
      </w:r>
      <w:r>
        <w:rPr>
          <w:rFonts w:hint="eastAsia" w:asciiTheme="minorEastAsia" w:hAnsiTheme="minorEastAsia" w:eastAsiaTheme="minorEastAsia" w:cstheme="minorEastAsia"/>
          <w:sz w:val="24"/>
          <w:szCs w:val="24"/>
          <w:highlight w:val="none"/>
        </w:rPr>
        <w:t>装卸符合作业规范，运输过程做好封闭措施，避免垃圾沿路飘落；</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（5）负责监督校外施工队产生的垃圾规范堆放，并督促其及时清运，因监管不到未及时清运，由投标人自行承担外运；</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（6）雇佣的垃圾清运公司必须有相应的运输资质，并按照要求进行备案；</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（7）在生活垃圾分类工作中出现与相关规定不符而被各级管理部门处罚，产生的所有的责任和费用由投标人承担；</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（8）学校产生的垃圾处理费由采购人承担。</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（五）电动车棚的管理</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1、工作内容</w:t>
      </w:r>
    </w:p>
    <w:p>
      <w:pPr>
        <w:keepNext w:val="0"/>
        <w:keepLines w:val="0"/>
        <w:pageBreakBefore w:val="0"/>
        <w:widowControl w:val="0"/>
        <w:kinsoku/>
        <w:wordWrap/>
        <w:overflowPunct/>
        <w:topLinePunct w:val="0"/>
        <w:autoSpaceDE/>
        <w:autoSpaceDN/>
        <w:bidi w:val="0"/>
        <w:adjustRightInd/>
        <w:snapToGrid/>
        <w:spacing w:line="570" w:lineRule="exact"/>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电动车棚的整体管理。</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2、工作标准</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负责做好电动车棚的管理及巡查工作。具体服务内容质量标准要求如下：</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（1）按照学校关于车棚管理相关制度和规定，做好巡查管理工作；</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（2）做好车棚地面卫生的打扫和保洁工作，保持车棚清洁卫生，无杂物无泥沙；</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（3）做好车棚内车辆停放秩序的管理，做到车辆存放整齐，秩序井然。</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（六）工程维修服务</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1、工作内容</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对校内所有土建、机电设备、外装饰、教室设备等进行日常巡查，重点检查建筑主体结构有无裂缝、渗漏，外装饰面是否松动脱落，特种设备运行是状态，确保各类设施设备处于良好使用状态，关键区域的设施设备管理与维护由采购人指定专业技术人员的指导下进行实施。</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（1）负责低压变配电设施、设备的日常管理、使用和一般性维修。按照变压器、配电柜管理规范和标准每日进行巡查，并做好记录。</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（2）建筑主体及内外装饰的日常管理以及配套设施的日常管理、养护和一般性维修。包括各层办公室、会议室、教室、内外墙面、地面、楼梯走道、走廊、大厅、围栏等。</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（3）物业共用设施和附属建筑物、构筑物的一般性维修、养护和管理。</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（4）教学楼所有水、电、供暖设备设施，全部机电设备设施的日常管理、保养和一般性维修工作。包括：给排水系统、照明等。</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2、工作标准</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（1）给排水系统（大修除外）：雨水管、排污管、给水管等部分水系统的日常管理、保养、一般性维修，每月细查一次，小问题及时维修，大修及疑难问题报采购人找相关单位进行维修。</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（2）照明及动力等电力系统：包括低压配电房末级开关后的电力系统。各楼宇内外照明、开关插座、所有配电房、应急备用供电电源等的一般性保养、检查、维修和更换工作。</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（3）空调系统：做好空调系统管理维护工作。维保期内，需与供货单位及时沟通维修保养事项。</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（4）外饰：夜饰照明系统的日常管理、使用和一般性维修。</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（5）房顶：每年全面检查四次，雨季前必须检查一次，发现问题及时修复。</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（6）明暗沟：每周检查一次，随坏随修。</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（7）水暖：上下水和暖气的保养，水暖设施跑、漏水的止水和修补，水阀、便器具、管道的检修和更换等。</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8）小修30分钟，一般故障2小时，较难故障3天。48小时跟踪检查、验证。采购人申报的维修（以申报起始时间为准）5天内未完成的，采购人可自行维修处理，由此产生的费用在当月物业费中自行扣除。遇到特殊情况需延时的应书面向甲方汇报。</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（9）做好维修记录，明确维修人员，时间，维修情况及耗材使用等。非影响正常使用的小修应在甲方休息时间内进行。需在正常上班时间进行的，维修需要提前通知甲方并做好警示防护措施。</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（七）特种设备设施管理</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1、电梯、消防设施、</w:t>
      </w:r>
      <w:r>
        <w:rPr>
          <w:rFonts w:hint="eastAsia" w:asciiTheme="minorEastAsia" w:hAnsiTheme="minorEastAsia" w:eastAsiaTheme="minorEastAsia" w:cstheme="minorEastAsia"/>
          <w:sz w:val="24"/>
          <w:szCs w:val="24"/>
          <w:highlight w:val="none"/>
          <w:lang w:val="en-US" w:eastAsia="zh-CN"/>
        </w:rPr>
        <w:t>换热站设备</w:t>
      </w:r>
      <w:r>
        <w:rPr>
          <w:rFonts w:hint="eastAsia" w:asciiTheme="minorEastAsia" w:hAnsiTheme="minorEastAsia" w:eastAsiaTheme="minorEastAsia" w:cstheme="minorEastAsia"/>
          <w:sz w:val="24"/>
          <w:szCs w:val="24"/>
          <w:highlight w:val="none"/>
        </w:rPr>
        <w:t>、监控管理及卫生保洁范围校区电梯</w:t>
      </w:r>
      <w:r>
        <w:rPr>
          <w:rFonts w:hint="eastAsia" w:asciiTheme="minorEastAsia" w:hAnsiTheme="minorEastAsia" w:eastAsiaTheme="minorEastAsia" w:cstheme="minorEastAsia"/>
          <w:sz w:val="24"/>
          <w:szCs w:val="24"/>
          <w:highlight w:val="none"/>
          <w:lang w:val="en-US" w:eastAsia="zh-CN"/>
        </w:rPr>
        <w:t>十</w:t>
      </w:r>
      <w:r>
        <w:rPr>
          <w:rFonts w:hint="eastAsia" w:asciiTheme="minorEastAsia" w:hAnsiTheme="minorEastAsia" w:eastAsiaTheme="minorEastAsia" w:cstheme="minorEastAsia"/>
          <w:sz w:val="24"/>
          <w:szCs w:val="24"/>
          <w:highlight w:val="none"/>
        </w:rPr>
        <w:t>部，配电室一个，消防设施一套，</w:t>
      </w:r>
      <w:r>
        <w:rPr>
          <w:rFonts w:hint="eastAsia" w:asciiTheme="minorEastAsia" w:hAnsiTheme="minorEastAsia" w:eastAsiaTheme="minorEastAsia" w:cstheme="minorEastAsia"/>
          <w:sz w:val="24"/>
          <w:szCs w:val="24"/>
          <w:highlight w:val="none"/>
          <w:lang w:val="en-US" w:eastAsia="zh-CN"/>
        </w:rPr>
        <w:t>换热站一</w:t>
      </w:r>
      <w:r>
        <w:rPr>
          <w:rFonts w:hint="eastAsia" w:asciiTheme="minorEastAsia" w:hAnsiTheme="minorEastAsia" w:eastAsiaTheme="minorEastAsia" w:cstheme="minorEastAsia"/>
          <w:sz w:val="24"/>
          <w:szCs w:val="24"/>
          <w:highlight w:val="none"/>
        </w:rPr>
        <w:t>台、监控设施一套。</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2、电梯管理、卫生保洁标准要求</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（1）保持电梯轿厢地面无灰尘、污渍、杂物，电梯门表面、内壁、扶手光洁无灰尘污渍，定期对电梯门及轿厢内壁用不锈钢油擦拭上光。</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（2）负责电梯内标识牌，提示牌等设施的维护与清洁。</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（3）做好电梯日常监管，对于需要年检的电梯提前上报学校联系维保单位。</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（4）日常巡查中发现问题及时联系电梯维保单位进行处理。</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（5）特种设备的维修、维保、年检费用由采购人承担，投标人需与维保单位做好日常对接，按时对设备设施进行年检。</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3、消防设施管理、卫生保洁标准要求</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（1）每日对消防设施进行巡查，保障所有设施设备均在有效期内。</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（2）每月两次设施点检，确保设备均在最佳使用状态。</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（3）对设施设备进行清洁打扫，并每周进行一次全面擦拭。</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（4）特种设备的维保年检费用由采购人承担，投标人需与维保单位做好日常对接，按时对设备设施进行年检。</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4、锅炉设备管理、卫生保洁标准要求</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（1）进入采暖期时，对设备进行保养、测试、检修，保障设备处于最佳状态，保障整个采暖期设备平稳运行。</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（2）非采暖期时，对于存在的非紧急问题进行处理。</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（3）对设备间进行清洁打扫。</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（4）特种设备的维保年检费用由采购人承担，投标人需与维保单位做好日常对接，按时对设备设施进行年检。</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5、监控设备管理、卫生保洁标准要求</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（1）对校园内的所有监控进行日常巡检，保证设备能够覆盖学校重点区域。</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（2）对于日常工作中发现的问题，及时联系维保单位进行维修。</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（3）特种设备的维保年检费用由采购人承担，投标人需与与维保单位做好日常对接，按时对设备设施进行年检。</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（八）校园活动服务</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1、协助学校会场的布置工作，包括但不限于新生接待、毕业典礼、运动会、重要会议等各项活动；</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2、遇学校重要活动，应无条件提供突击性保洁服务工作；</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3、恶劣气候情况下应协助学校做好各项工作；</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4、适时对校内道路广场进行洒水除尘；</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5、完成学校安排的其他临时性工作。</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1"/>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四、服务要求</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1、所有卫生用具用品及耗材、绿化养护用具妥善保管，不得随意乱放。</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2、投标人负责聘用人员的各种福利、人身安全、各种保险、社保等事项，出现任何事故及人员伤害由投标人自行负责，并承担经济和相关法律责任。</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3、学校向投标人提供物业办公用房。</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4、投标人应制定出服务承诺及切实可行惩处措施。</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5、投标人在合同生效前半个月进入校园，与现有物业公司做好交接工作，确保工作平稳过度。（由采购人确定进驻时间）。</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90" w:firstLineChars="175"/>
        <w:textAlignment w:val="auto"/>
        <w:outlineLvl w:val="1"/>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五、人员要求</w:t>
      </w:r>
    </w:p>
    <w:p>
      <w:pPr>
        <w:keepNext w:val="0"/>
        <w:keepLines w:val="0"/>
        <w:pageBreakBefore w:val="0"/>
        <w:widowControl w:val="0"/>
        <w:kinsoku/>
        <w:wordWrap/>
        <w:overflowPunct/>
        <w:topLinePunct w:val="0"/>
        <w:autoSpaceDE/>
        <w:autoSpaceDN/>
        <w:bidi w:val="0"/>
        <w:adjustRightInd/>
        <w:snapToGrid/>
        <w:spacing w:line="570" w:lineRule="exact"/>
        <w:jc w:val="center"/>
        <w:textAlignment w:val="auto"/>
        <w:outlineLvl w:val="1"/>
        <w:rPr>
          <w:rFonts w:hint="eastAsia"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8"/>
          <w:szCs w:val="28"/>
          <w:highlight w:val="none"/>
        </w:rPr>
        <w:t>岗位需求表</w:t>
      </w:r>
    </w:p>
    <w:tbl>
      <w:tblPr>
        <w:tblStyle w:val="10"/>
        <w:tblW w:w="9379" w:type="dxa"/>
        <w:tblInd w:w="-2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69"/>
        <w:gridCol w:w="816"/>
        <w:gridCol w:w="5751"/>
        <w:gridCol w:w="12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1569" w:type="dxa"/>
            <w:vAlign w:val="center"/>
          </w:tcPr>
          <w:p>
            <w:pPr>
              <w:jc w:val="center"/>
              <w:rPr>
                <w:rFonts w:hint="eastAsia" w:asciiTheme="minorEastAsia" w:hAnsiTheme="minorEastAsia" w:eastAsiaTheme="minorEastAsia" w:cstheme="minorEastAsia"/>
                <w:b/>
                <w:bCs/>
                <w:sz w:val="24"/>
                <w:szCs w:val="24"/>
                <w:highlight w:val="none"/>
                <w:vertAlign w:val="baseline"/>
              </w:rPr>
            </w:pPr>
            <w:r>
              <w:rPr>
                <w:rFonts w:hint="eastAsia" w:asciiTheme="minorEastAsia" w:hAnsiTheme="minorEastAsia" w:eastAsiaTheme="minorEastAsia" w:cstheme="minorEastAsia"/>
                <w:b/>
                <w:bCs/>
                <w:sz w:val="24"/>
                <w:szCs w:val="24"/>
                <w:highlight w:val="none"/>
                <w:vertAlign w:val="baseline"/>
              </w:rPr>
              <w:t>岗位</w:t>
            </w:r>
          </w:p>
        </w:tc>
        <w:tc>
          <w:tcPr>
            <w:tcW w:w="816" w:type="dxa"/>
            <w:vAlign w:val="center"/>
          </w:tcPr>
          <w:p>
            <w:pPr>
              <w:jc w:val="center"/>
              <w:rPr>
                <w:rFonts w:hint="eastAsia" w:asciiTheme="minorEastAsia" w:hAnsiTheme="minorEastAsia" w:eastAsiaTheme="minorEastAsia" w:cstheme="minorEastAsia"/>
                <w:b/>
                <w:bCs/>
                <w:sz w:val="24"/>
                <w:szCs w:val="24"/>
                <w:highlight w:val="none"/>
                <w:vertAlign w:val="baseline"/>
              </w:rPr>
            </w:pPr>
            <w:r>
              <w:rPr>
                <w:rFonts w:hint="eastAsia" w:asciiTheme="minorEastAsia" w:hAnsiTheme="minorEastAsia" w:eastAsiaTheme="minorEastAsia" w:cstheme="minorEastAsia"/>
                <w:b/>
                <w:bCs/>
                <w:sz w:val="24"/>
                <w:szCs w:val="24"/>
                <w:highlight w:val="none"/>
                <w:vertAlign w:val="baseline"/>
              </w:rPr>
              <w:t>人数</w:t>
            </w:r>
          </w:p>
        </w:tc>
        <w:tc>
          <w:tcPr>
            <w:tcW w:w="5751" w:type="dxa"/>
            <w:vAlign w:val="center"/>
          </w:tcPr>
          <w:p>
            <w:pPr>
              <w:jc w:val="center"/>
              <w:rPr>
                <w:rFonts w:hint="eastAsia" w:asciiTheme="minorEastAsia" w:hAnsiTheme="minorEastAsia" w:eastAsiaTheme="minorEastAsia" w:cstheme="minorEastAsia"/>
                <w:b/>
                <w:bCs/>
                <w:sz w:val="24"/>
                <w:szCs w:val="24"/>
                <w:highlight w:val="none"/>
                <w:vertAlign w:val="baseline"/>
              </w:rPr>
            </w:pPr>
            <w:r>
              <w:rPr>
                <w:rFonts w:hint="eastAsia" w:asciiTheme="minorEastAsia" w:hAnsiTheme="minorEastAsia" w:eastAsiaTheme="minorEastAsia" w:cstheme="minorEastAsia"/>
                <w:b/>
                <w:bCs/>
                <w:sz w:val="24"/>
                <w:szCs w:val="24"/>
                <w:highlight w:val="none"/>
                <w:vertAlign w:val="baseline"/>
              </w:rPr>
              <w:t>岗位要求</w:t>
            </w:r>
          </w:p>
        </w:tc>
        <w:tc>
          <w:tcPr>
            <w:tcW w:w="1243" w:type="dxa"/>
            <w:vAlign w:val="center"/>
          </w:tcPr>
          <w:p>
            <w:pPr>
              <w:jc w:val="center"/>
              <w:rPr>
                <w:rFonts w:hint="eastAsia" w:asciiTheme="minorEastAsia" w:hAnsiTheme="minorEastAsia" w:eastAsiaTheme="minorEastAsia" w:cstheme="minorEastAsia"/>
                <w:b/>
                <w:bCs/>
                <w:sz w:val="24"/>
                <w:szCs w:val="24"/>
                <w:highlight w:val="none"/>
                <w:vertAlign w:val="baseline"/>
              </w:rPr>
            </w:pPr>
            <w:r>
              <w:rPr>
                <w:rFonts w:hint="eastAsia" w:asciiTheme="minorEastAsia" w:hAnsiTheme="minorEastAsia" w:eastAsiaTheme="minorEastAsia" w:cstheme="minorEastAsia"/>
                <w:b/>
                <w:bCs/>
                <w:sz w:val="24"/>
                <w:szCs w:val="24"/>
                <w:highlight w:val="none"/>
                <w:vertAlign w:val="baseli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3" w:hRule="atLeast"/>
        </w:trPr>
        <w:tc>
          <w:tcPr>
            <w:tcW w:w="1569" w:type="dxa"/>
            <w:vAlign w:val="center"/>
          </w:tcPr>
          <w:p>
            <w:pPr>
              <w:jc w:val="center"/>
              <w:rPr>
                <w:rFonts w:hint="eastAsia" w:asciiTheme="minorEastAsia" w:hAnsiTheme="minorEastAsia" w:eastAsiaTheme="minorEastAsia" w:cstheme="minorEastAsia"/>
                <w:sz w:val="24"/>
                <w:szCs w:val="24"/>
                <w:highlight w:val="none"/>
                <w:vertAlign w:val="baseline"/>
              </w:rPr>
            </w:pPr>
            <w:r>
              <w:rPr>
                <w:rFonts w:hint="eastAsia" w:asciiTheme="minorEastAsia" w:hAnsiTheme="minorEastAsia" w:eastAsiaTheme="minorEastAsia" w:cstheme="minorEastAsia"/>
                <w:sz w:val="24"/>
                <w:szCs w:val="24"/>
                <w:highlight w:val="none"/>
                <w:vertAlign w:val="baseline"/>
              </w:rPr>
              <w:t>项目经理</w:t>
            </w:r>
          </w:p>
        </w:tc>
        <w:tc>
          <w:tcPr>
            <w:tcW w:w="816" w:type="dxa"/>
            <w:vAlign w:val="center"/>
          </w:tcPr>
          <w:p>
            <w:pPr>
              <w:jc w:val="center"/>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1</w:t>
            </w:r>
          </w:p>
        </w:tc>
        <w:tc>
          <w:tcPr>
            <w:tcW w:w="5751" w:type="dxa"/>
            <w:vAlign w:val="center"/>
          </w:tcPr>
          <w:p>
            <w:pPr>
              <w:bidi w:val="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1.大专及以上学历；</w:t>
            </w:r>
          </w:p>
          <w:p>
            <w:pPr>
              <w:bidi w:val="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2.年龄</w:t>
            </w:r>
            <w:r>
              <w:rPr>
                <w:rFonts w:hint="eastAsia" w:asciiTheme="minorEastAsia" w:hAnsiTheme="minorEastAsia" w:eastAsiaTheme="minorEastAsia" w:cstheme="minorEastAsia"/>
                <w:sz w:val="24"/>
                <w:szCs w:val="24"/>
                <w:lang w:val="en-US" w:eastAsia="zh-CN"/>
              </w:rPr>
              <w:t>55</w:t>
            </w:r>
            <w:r>
              <w:rPr>
                <w:rFonts w:hint="eastAsia" w:asciiTheme="minorEastAsia" w:hAnsiTheme="minorEastAsia" w:eastAsiaTheme="minorEastAsia" w:cstheme="minorEastAsia"/>
                <w:sz w:val="24"/>
                <w:szCs w:val="24"/>
              </w:rPr>
              <w:t>岁以内；</w:t>
            </w:r>
          </w:p>
          <w:p>
            <w:pPr>
              <w:bidi w:val="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3.具有三年及以上</w:t>
            </w:r>
            <w:r>
              <w:rPr>
                <w:rFonts w:hint="eastAsia" w:asciiTheme="minorEastAsia" w:hAnsiTheme="minorEastAsia" w:cstheme="minorEastAsia"/>
                <w:sz w:val="24"/>
                <w:szCs w:val="24"/>
                <w:lang w:val="en-US" w:eastAsia="zh-CN"/>
              </w:rPr>
              <w:t>项目</w:t>
            </w:r>
            <w:r>
              <w:rPr>
                <w:rFonts w:hint="eastAsia" w:asciiTheme="minorEastAsia" w:hAnsiTheme="minorEastAsia" w:eastAsiaTheme="minorEastAsia" w:cstheme="minorEastAsia"/>
                <w:sz w:val="24"/>
                <w:szCs w:val="24"/>
              </w:rPr>
              <w:t>管理经验，并提供相应的工作证明材料。</w:t>
            </w:r>
          </w:p>
        </w:tc>
        <w:tc>
          <w:tcPr>
            <w:tcW w:w="1243" w:type="dxa"/>
          </w:tcPr>
          <w:p>
            <w:pPr>
              <w:jc w:val="center"/>
              <w:rPr>
                <w:rFonts w:hint="eastAsia" w:asciiTheme="minorEastAsia" w:hAnsiTheme="minorEastAsia" w:eastAsiaTheme="minorEastAsia" w:cstheme="minorEastAsia"/>
                <w:sz w:val="24"/>
                <w:szCs w:val="24"/>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1569" w:type="dxa"/>
            <w:vAlign w:val="center"/>
          </w:tcPr>
          <w:p>
            <w:pPr>
              <w:jc w:val="center"/>
              <w:rPr>
                <w:rFonts w:hint="eastAsia" w:asciiTheme="minorEastAsia" w:hAnsiTheme="minorEastAsia" w:eastAsiaTheme="minorEastAsia" w:cstheme="minorEastAsia"/>
                <w:sz w:val="24"/>
                <w:szCs w:val="24"/>
                <w:highlight w:val="none"/>
                <w:vertAlign w:val="baseline"/>
              </w:rPr>
            </w:pPr>
            <w:r>
              <w:rPr>
                <w:rFonts w:hint="eastAsia" w:asciiTheme="minorEastAsia" w:hAnsiTheme="minorEastAsia" w:eastAsiaTheme="minorEastAsia" w:cstheme="minorEastAsia"/>
                <w:sz w:val="24"/>
                <w:szCs w:val="24"/>
                <w:highlight w:val="none"/>
                <w:vertAlign w:val="baseline"/>
                <w:lang w:val="en-US" w:eastAsia="zh-CN"/>
              </w:rPr>
              <w:t>保安人员</w:t>
            </w:r>
          </w:p>
        </w:tc>
        <w:tc>
          <w:tcPr>
            <w:tcW w:w="816" w:type="dxa"/>
            <w:vAlign w:val="center"/>
          </w:tcPr>
          <w:p>
            <w:pPr>
              <w:jc w:val="center"/>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2</w:t>
            </w:r>
          </w:p>
        </w:tc>
        <w:tc>
          <w:tcPr>
            <w:tcW w:w="5751" w:type="dxa"/>
            <w:vAlign w:val="center"/>
          </w:tcPr>
          <w:p>
            <w:pPr>
              <w:bidi w:val="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en-US" w:eastAsia="zh-CN"/>
              </w:rPr>
              <w:t>24小时值班。</w:t>
            </w:r>
          </w:p>
          <w:p>
            <w:pPr>
              <w:bidi w:val="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rPr>
              <w:t>负责学校内所有的安全巡查及门岗工作，</w:t>
            </w:r>
            <w:r>
              <w:rPr>
                <w:rFonts w:hint="eastAsia" w:asciiTheme="minorEastAsia" w:hAnsiTheme="minorEastAsia" w:eastAsiaTheme="minorEastAsia" w:cstheme="minorEastAsia"/>
                <w:sz w:val="24"/>
                <w:szCs w:val="24"/>
                <w:highlight w:val="none"/>
              </w:rPr>
              <w:t>年龄</w:t>
            </w:r>
            <w:r>
              <w:rPr>
                <w:rFonts w:hint="eastAsia" w:asciiTheme="minorEastAsia" w:hAnsiTheme="minorEastAsia" w:eastAsiaTheme="minorEastAsia" w:cstheme="minorEastAsia"/>
                <w:sz w:val="24"/>
                <w:szCs w:val="24"/>
                <w:highlight w:val="none"/>
                <w:lang w:val="en-US" w:eastAsia="zh-CN"/>
              </w:rPr>
              <w:t>60</w:t>
            </w:r>
            <w:r>
              <w:rPr>
                <w:rFonts w:hint="eastAsia" w:asciiTheme="minorEastAsia" w:hAnsiTheme="minorEastAsia" w:eastAsiaTheme="minorEastAsia" w:cstheme="minorEastAsia"/>
                <w:sz w:val="24"/>
                <w:szCs w:val="24"/>
                <w:highlight w:val="none"/>
              </w:rPr>
              <w:t>岁以内，</w:t>
            </w:r>
            <w:r>
              <w:rPr>
                <w:rFonts w:hint="eastAsia" w:asciiTheme="minorEastAsia" w:hAnsiTheme="minorEastAsia" w:eastAsiaTheme="minorEastAsia" w:cstheme="minorEastAsia"/>
                <w:sz w:val="24"/>
                <w:szCs w:val="24"/>
                <w:highlight w:val="none"/>
                <w:lang w:val="en-US" w:eastAsia="zh-CN"/>
              </w:rPr>
              <w:t>须持证上岗</w:t>
            </w:r>
            <w:r>
              <w:rPr>
                <w:rFonts w:hint="eastAsia" w:asciiTheme="minorEastAsia" w:hAnsiTheme="minorEastAsia" w:cstheme="minorEastAsia"/>
                <w:sz w:val="24"/>
                <w:szCs w:val="24"/>
                <w:highlight w:val="none"/>
                <w:lang w:val="en-US" w:eastAsia="zh-CN"/>
              </w:rPr>
              <w:t>（保安证）</w:t>
            </w:r>
            <w:r>
              <w:rPr>
                <w:rFonts w:hint="eastAsia" w:asciiTheme="minorEastAsia" w:hAnsiTheme="minorEastAsia" w:eastAsiaTheme="minorEastAsia" w:cstheme="minorEastAsia"/>
                <w:sz w:val="24"/>
                <w:szCs w:val="24"/>
                <w:highlight w:val="none"/>
              </w:rPr>
              <w:t>。</w:t>
            </w:r>
          </w:p>
        </w:tc>
        <w:tc>
          <w:tcPr>
            <w:tcW w:w="1243" w:type="dxa"/>
          </w:tcPr>
          <w:p>
            <w:pPr>
              <w:jc w:val="center"/>
              <w:rPr>
                <w:rFonts w:hint="eastAsia" w:asciiTheme="minorEastAsia" w:hAnsiTheme="minorEastAsia" w:eastAsiaTheme="minorEastAsia" w:cstheme="minorEastAsia"/>
                <w:sz w:val="24"/>
                <w:szCs w:val="24"/>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trPr>
        <w:tc>
          <w:tcPr>
            <w:tcW w:w="1569" w:type="dxa"/>
            <w:vAlign w:val="center"/>
          </w:tcPr>
          <w:p>
            <w:pPr>
              <w:jc w:val="center"/>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rPr>
              <w:t>保洁员</w:t>
            </w:r>
          </w:p>
        </w:tc>
        <w:tc>
          <w:tcPr>
            <w:tcW w:w="816" w:type="dxa"/>
            <w:vAlign w:val="center"/>
          </w:tcPr>
          <w:p>
            <w:pPr>
              <w:jc w:val="center"/>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8</w:t>
            </w:r>
          </w:p>
        </w:tc>
        <w:tc>
          <w:tcPr>
            <w:tcW w:w="5751" w:type="dxa"/>
            <w:vAlign w:val="center"/>
          </w:tcPr>
          <w:p>
            <w:pPr>
              <w:bidi w:val="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1.负责校内卫生保洁工作，年龄 55 岁以内。</w:t>
            </w:r>
          </w:p>
        </w:tc>
        <w:tc>
          <w:tcPr>
            <w:tcW w:w="1243" w:type="dxa"/>
          </w:tcPr>
          <w:p>
            <w:pPr>
              <w:jc w:val="center"/>
              <w:rPr>
                <w:rFonts w:hint="eastAsia" w:asciiTheme="minorEastAsia" w:hAnsiTheme="minorEastAsia" w:eastAsiaTheme="minorEastAsia" w:cstheme="minorEastAsia"/>
                <w:sz w:val="24"/>
                <w:szCs w:val="24"/>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569" w:type="dxa"/>
            <w:vAlign w:val="center"/>
          </w:tcPr>
          <w:p>
            <w:pPr>
              <w:jc w:val="center"/>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宿管</w:t>
            </w:r>
          </w:p>
        </w:tc>
        <w:tc>
          <w:tcPr>
            <w:tcW w:w="816" w:type="dxa"/>
            <w:vAlign w:val="center"/>
          </w:tcPr>
          <w:p>
            <w:pPr>
              <w:jc w:val="center"/>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6</w:t>
            </w:r>
          </w:p>
        </w:tc>
        <w:tc>
          <w:tcPr>
            <w:tcW w:w="5751" w:type="dxa"/>
            <w:vAlign w:val="center"/>
          </w:tcPr>
          <w:p>
            <w:pPr>
              <w:bidi w:val="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1.24小时值班。</w:t>
            </w:r>
          </w:p>
          <w:p>
            <w:pPr>
              <w:bidi w:val="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2.负责住宿学生的安全和卫生及公物管理等。</w:t>
            </w:r>
          </w:p>
        </w:tc>
        <w:tc>
          <w:tcPr>
            <w:tcW w:w="1243" w:type="dxa"/>
          </w:tcPr>
          <w:p>
            <w:pPr>
              <w:jc w:val="center"/>
              <w:rPr>
                <w:rFonts w:hint="eastAsia" w:asciiTheme="minorEastAsia" w:hAnsiTheme="minorEastAsia" w:eastAsiaTheme="minorEastAsia" w:cstheme="minorEastAsia"/>
                <w:sz w:val="24"/>
                <w:szCs w:val="24"/>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569" w:type="dxa"/>
            <w:vAlign w:val="center"/>
          </w:tcPr>
          <w:p>
            <w:pPr>
              <w:jc w:val="center"/>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维修</w:t>
            </w:r>
          </w:p>
        </w:tc>
        <w:tc>
          <w:tcPr>
            <w:tcW w:w="816" w:type="dxa"/>
            <w:vAlign w:val="center"/>
          </w:tcPr>
          <w:p>
            <w:pPr>
              <w:jc w:val="center"/>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kern w:val="2"/>
                <w:sz w:val="24"/>
                <w:szCs w:val="24"/>
                <w:highlight w:val="none"/>
                <w:vertAlign w:val="baseline"/>
                <w:lang w:val="en-US" w:eastAsia="zh-CN" w:bidi="ar-SA"/>
              </w:rPr>
              <w:t>2</w:t>
            </w:r>
          </w:p>
        </w:tc>
        <w:tc>
          <w:tcPr>
            <w:tcW w:w="5751" w:type="dxa"/>
            <w:vAlign w:val="center"/>
          </w:tcPr>
          <w:p>
            <w:pPr>
              <w:bidi w:val="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1.负责校内维修工作，年龄60岁以内，</w:t>
            </w:r>
            <w:r>
              <w:rPr>
                <w:rFonts w:hint="eastAsia" w:asciiTheme="minorEastAsia" w:hAnsiTheme="minorEastAsia" w:eastAsiaTheme="minorEastAsia" w:cstheme="minorEastAsia"/>
                <w:sz w:val="24"/>
                <w:szCs w:val="24"/>
                <w:highlight w:val="none"/>
                <w:lang w:val="en-US" w:eastAsia="zh-CN"/>
              </w:rPr>
              <w:t>须持证上岗</w:t>
            </w:r>
            <w:r>
              <w:rPr>
                <w:rFonts w:hint="eastAsia" w:asciiTheme="minorEastAsia" w:hAnsiTheme="minorEastAsia" w:cstheme="minorEastAsia"/>
                <w:sz w:val="24"/>
                <w:szCs w:val="24"/>
                <w:highlight w:val="none"/>
                <w:lang w:val="en-US" w:eastAsia="zh-CN"/>
              </w:rPr>
              <w:t>（低压电工操作证等相关证件）</w:t>
            </w:r>
            <w:r>
              <w:rPr>
                <w:rFonts w:hint="eastAsia" w:asciiTheme="minorEastAsia" w:hAnsiTheme="minorEastAsia" w:eastAsiaTheme="minorEastAsia" w:cstheme="minorEastAsia"/>
                <w:sz w:val="24"/>
                <w:szCs w:val="24"/>
                <w:highlight w:val="none"/>
                <w:lang w:val="en-US" w:eastAsia="zh-CN"/>
              </w:rPr>
              <w:t>。</w:t>
            </w:r>
          </w:p>
        </w:tc>
        <w:tc>
          <w:tcPr>
            <w:tcW w:w="1243" w:type="dxa"/>
          </w:tcPr>
          <w:p>
            <w:pPr>
              <w:jc w:val="center"/>
              <w:rPr>
                <w:rFonts w:hint="eastAsia" w:asciiTheme="minorEastAsia" w:hAnsiTheme="minorEastAsia" w:eastAsiaTheme="minorEastAsia" w:cstheme="minorEastAsia"/>
                <w:sz w:val="24"/>
                <w:szCs w:val="24"/>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trPr>
        <w:tc>
          <w:tcPr>
            <w:tcW w:w="1569" w:type="dxa"/>
            <w:vAlign w:val="center"/>
          </w:tcPr>
          <w:p>
            <w:pPr>
              <w:jc w:val="center"/>
              <w:rPr>
                <w:rFonts w:hint="eastAsia" w:asciiTheme="minorEastAsia" w:hAnsiTheme="minorEastAsia" w:eastAsiaTheme="minorEastAsia" w:cstheme="minorEastAsia"/>
                <w:b/>
                <w:bCs/>
                <w:sz w:val="24"/>
                <w:szCs w:val="24"/>
                <w:highlight w:val="none"/>
                <w:vertAlign w:val="baseline"/>
                <w:lang w:val="en-US" w:eastAsia="zh-CN"/>
              </w:rPr>
            </w:pPr>
            <w:r>
              <w:rPr>
                <w:rFonts w:hint="eastAsia" w:asciiTheme="minorEastAsia" w:hAnsiTheme="minorEastAsia" w:eastAsiaTheme="minorEastAsia" w:cstheme="minorEastAsia"/>
                <w:b/>
                <w:bCs/>
                <w:sz w:val="24"/>
                <w:szCs w:val="24"/>
                <w:highlight w:val="none"/>
                <w:vertAlign w:val="baseline"/>
                <w:lang w:val="en-US" w:eastAsia="zh-CN"/>
              </w:rPr>
              <w:t>合计</w:t>
            </w:r>
          </w:p>
        </w:tc>
        <w:tc>
          <w:tcPr>
            <w:tcW w:w="816" w:type="dxa"/>
            <w:vAlign w:val="center"/>
          </w:tcPr>
          <w:p>
            <w:pPr>
              <w:jc w:val="center"/>
              <w:rPr>
                <w:rFonts w:hint="eastAsia" w:asciiTheme="minorEastAsia" w:hAnsiTheme="minorEastAsia" w:eastAsiaTheme="minorEastAsia" w:cstheme="minorEastAsia"/>
                <w:b/>
                <w:bCs/>
                <w:sz w:val="24"/>
                <w:szCs w:val="24"/>
                <w:highlight w:val="none"/>
                <w:vertAlign w:val="baseline"/>
                <w:lang w:val="en-US" w:eastAsia="zh-CN"/>
              </w:rPr>
            </w:pPr>
            <w:r>
              <w:rPr>
                <w:rFonts w:hint="eastAsia" w:asciiTheme="minorEastAsia" w:hAnsiTheme="minorEastAsia" w:eastAsiaTheme="minorEastAsia" w:cstheme="minorEastAsia"/>
                <w:b/>
                <w:bCs/>
                <w:sz w:val="24"/>
                <w:szCs w:val="24"/>
                <w:highlight w:val="none"/>
                <w:vertAlign w:val="baseline"/>
                <w:lang w:val="en-US" w:eastAsia="zh-CN"/>
              </w:rPr>
              <w:t>19</w:t>
            </w:r>
          </w:p>
        </w:tc>
        <w:tc>
          <w:tcPr>
            <w:tcW w:w="5751" w:type="dxa"/>
          </w:tcPr>
          <w:p>
            <w:pPr>
              <w:keepNext w:val="0"/>
              <w:keepLines w:val="0"/>
              <w:pageBreakBefore w:val="0"/>
              <w:widowControl w:val="0"/>
              <w:kinsoku/>
              <w:wordWrap/>
              <w:overflowPunct/>
              <w:topLinePunct w:val="0"/>
              <w:autoSpaceDE/>
              <w:autoSpaceDN/>
              <w:bidi w:val="0"/>
              <w:adjustRightInd/>
              <w:snapToGrid/>
              <w:spacing w:line="240" w:lineRule="atLeast"/>
              <w:jc w:val="left"/>
              <w:textAlignment w:val="auto"/>
              <w:rPr>
                <w:rFonts w:hint="eastAsia" w:asciiTheme="minorEastAsia" w:hAnsiTheme="minorEastAsia" w:eastAsiaTheme="minorEastAsia" w:cstheme="minorEastAsia"/>
                <w:b/>
                <w:bCs/>
                <w:sz w:val="24"/>
                <w:szCs w:val="24"/>
                <w:highlight w:val="none"/>
                <w:vertAlign w:val="baseline"/>
                <w:lang w:val="en-US" w:eastAsia="zh-CN"/>
              </w:rPr>
            </w:pPr>
          </w:p>
        </w:tc>
        <w:tc>
          <w:tcPr>
            <w:tcW w:w="1243" w:type="dxa"/>
          </w:tcPr>
          <w:p>
            <w:pPr>
              <w:jc w:val="center"/>
              <w:rPr>
                <w:rFonts w:hint="eastAsia" w:asciiTheme="minorEastAsia" w:hAnsiTheme="minorEastAsia" w:eastAsiaTheme="minorEastAsia" w:cstheme="minorEastAsia"/>
                <w:sz w:val="24"/>
                <w:szCs w:val="24"/>
                <w:highlight w:val="none"/>
                <w:vertAlign w:val="baseline"/>
              </w:rPr>
            </w:pPr>
          </w:p>
        </w:tc>
      </w:tr>
    </w:tbl>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六、其他要求</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（一）总体方案：针对本项目详细列明物业服务总体方案，方案内容包括：①服务目标②服务计划③服务理念及特色④重难点分析及保障措施。</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（二）机构建设：针对项目特点提供管理机构组建方案和专业服务团队的职能分工方案。</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（三）能源节约：针对本项目提供能源节约方案，方案内容包含：①节能降耗原则②节能降耗的具体措施。</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四）应急预案：供应商应积极配合学校接受上级部门的监督、检查，制定切实可行的应急预案，方案内容包括：①突发紧急事件：防汛、消防、地震、用气、用电、电梯困人及上访。②违法事件：防盗、打架斗殴、寻衅滋事等。③其他：重要接待、重大活动、迎检活动、大型节庆、各类检查。</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五）管理制度：为保障学校服务高效运行，结合学校规章制度投标人针对本项目具有良好的管理制度，方案包含：①岗位职责：具有岗位工作标准、服务质量标准、现场质量控制体系。②内控制度：具有保密制度、管理组织机构、问责机制、监督机制、自查制度、投诉处理管理制度。③人员管理制度;具有员工日常管理办法、请销假制度、奖惩措施、激励机制。④作息制度：物业作息时间必须围绕学校师生及教学作息进行保障。</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（六）培训考核方案：针对本项目制定培训考核方案，方案内容包含：①培训：针对不同的岗位职责、行为规范、服务礼仪及心理辅导等方面制定培训方案</w:t>
      </w:r>
      <w:r>
        <w:rPr>
          <w:rFonts w:hint="eastAsia" w:asciiTheme="minorEastAsia" w:hAnsi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②考核：针对不同的岗位、制度及工作程序制定考核方案。</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（七）档案管理方案：针对本项目制定档案管理方案，方案内容包含：①档案资料的收集及分类</w:t>
      </w:r>
      <w:r>
        <w:rPr>
          <w:rFonts w:hint="eastAsia" w:asciiTheme="minorEastAsia" w:hAnsi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②归档资料的使用、销毁及移交。</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（八）设备工具保障：针对本项目特点提供设备工具配置清单，内容包含：①工作服装和清洁工具</w:t>
      </w:r>
      <w:r>
        <w:rPr>
          <w:rFonts w:hint="eastAsia" w:asciiTheme="minorEastAsia" w:hAnsi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②劳保用品和消耗品</w:t>
      </w:r>
      <w:r>
        <w:rPr>
          <w:rFonts w:hint="eastAsia" w:asciiTheme="minorEastAsia" w:hAnsi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③安保工具</w:t>
      </w:r>
      <w:r>
        <w:rPr>
          <w:rFonts w:hint="eastAsia" w:asciiTheme="minorEastAsia" w:hAnsi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④维修用品。</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（九）其他承诺：</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1、接受采购人对本项目服务的考核、监督及管理，定期调研采购人对服务质量的满意度并加以改进，确保服务工作的优质高效。</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2、上岗人员固定，不随意更换，若出现服务人员因事、病等不能工作的，能及时调整其他服务人员补充，确保服务工作的正常进行。</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3、储备有可调度人员，调度人员可保障临时性工作需要及突发事件处置。</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★七、实质性条款要求</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（一）供应商承诺函（须提供承诺函，格式自拟，未提供承诺函则视为无效响应）</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1、供应商须承诺：拟派物业服务人员完全满足磋商文件人数</w:t>
      </w:r>
      <w:r>
        <w:rPr>
          <w:rFonts w:hint="eastAsia" w:asciiTheme="minorEastAsia" w:hAnsiTheme="minorEastAsia" w:cstheme="minorEastAsia"/>
          <w:sz w:val="24"/>
          <w:szCs w:val="24"/>
          <w:highlight w:val="none"/>
          <w:lang w:val="en-US" w:eastAsia="zh-CN"/>
        </w:rPr>
        <w:t>及健康证</w:t>
      </w:r>
      <w:r>
        <w:rPr>
          <w:rFonts w:hint="eastAsia" w:asciiTheme="minorEastAsia" w:hAnsiTheme="minorEastAsia" w:eastAsiaTheme="minorEastAsia" w:cstheme="minorEastAsia"/>
          <w:sz w:val="24"/>
          <w:szCs w:val="24"/>
          <w:highlight w:val="none"/>
        </w:rPr>
        <w:t>要求。</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2、供应商须承诺：物业经理不得同时兼任其他项目的管理岗位，且不得随意更换，如需更换须经采购人同意。</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3、供应商须承诺：拟派的安保人员满足磋商文件人数要求且均持有保安员上岗证。</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（二）人员资格证书要求（提供处于有效期内且经过年审的证书复印件并加盖投标人公章，未提供或缺漏项的视为无效投标）</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1、维修</w:t>
      </w:r>
      <w:r>
        <w:rPr>
          <w:rFonts w:hint="eastAsia" w:asciiTheme="minorEastAsia" w:hAnsiTheme="minorEastAsia" w:eastAsiaTheme="minorEastAsia" w:cstheme="minorEastAsia"/>
          <w:sz w:val="24"/>
          <w:szCs w:val="24"/>
          <w:highlight w:val="none"/>
          <w:lang w:val="en-US" w:eastAsia="zh-CN"/>
        </w:rPr>
        <w:t>人员</w:t>
      </w:r>
      <w:r>
        <w:rPr>
          <w:rFonts w:hint="eastAsia" w:asciiTheme="minorEastAsia" w:hAnsiTheme="minorEastAsia" w:eastAsiaTheme="minorEastAsia" w:cstheme="minorEastAsia"/>
          <w:sz w:val="24"/>
          <w:szCs w:val="24"/>
          <w:highlight w:val="none"/>
        </w:rPr>
        <w:t>须提供特种作业操作证（</w:t>
      </w:r>
      <w:r>
        <w:rPr>
          <w:rFonts w:hint="eastAsia" w:asciiTheme="minorEastAsia" w:hAnsiTheme="minorEastAsia" w:cstheme="minorEastAsia"/>
          <w:sz w:val="24"/>
          <w:szCs w:val="24"/>
          <w:highlight w:val="none"/>
          <w:lang w:val="en-US" w:eastAsia="zh-CN"/>
        </w:rPr>
        <w:t>低压电工操作证等相关证件</w:t>
      </w:r>
      <w:r>
        <w:rPr>
          <w:rFonts w:hint="eastAsia" w:asciiTheme="minorEastAsia" w:hAnsiTheme="minorEastAsia" w:eastAsiaTheme="minorEastAsia" w:cstheme="minorEastAsia"/>
          <w:sz w:val="24"/>
          <w:szCs w:val="24"/>
          <w:highlight w:val="none"/>
        </w:rPr>
        <w:t>）；</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特别提醒:</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（1）如供应商认为以上证书复印件不清晰，可在响应文件中另附证书查询网址。</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（2）如响应文件中所附证书不清晰，且未提供查询网址或所提供的网址查询不到的，视为无效响应。</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2、上岗人员均持有健康证。</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3、服务期限：服务期3年（合同1年一签，合同到期后，采购人可根据成交供应商的服务情况进行考核，考核通过的成交供应商，采购人可与其续签合同）</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4、支付方式：</w:t>
      </w:r>
      <w:r>
        <w:rPr>
          <w:rFonts w:hint="eastAsia" w:asciiTheme="minorEastAsia" w:hAnsiTheme="minorEastAsia" w:eastAsiaTheme="minorEastAsia" w:cstheme="minorEastAsia"/>
          <w:sz w:val="24"/>
          <w:szCs w:val="24"/>
          <w:highlight w:val="none"/>
        </w:rPr>
        <w:t>银行转账</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5、</w:t>
      </w:r>
      <w:r>
        <w:rPr>
          <w:rFonts w:hint="eastAsia" w:asciiTheme="minorEastAsia" w:hAnsiTheme="minorEastAsia" w:eastAsiaTheme="minorEastAsia" w:cstheme="minorEastAsia"/>
          <w:sz w:val="24"/>
          <w:szCs w:val="24"/>
          <w:highlight w:val="none"/>
        </w:rPr>
        <w:t>货币单位：人民币</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6、</w:t>
      </w:r>
      <w:r>
        <w:rPr>
          <w:rFonts w:hint="eastAsia" w:asciiTheme="minorEastAsia" w:hAnsiTheme="minorEastAsia" w:eastAsiaTheme="minorEastAsia" w:cstheme="minorEastAsia"/>
          <w:sz w:val="24"/>
          <w:szCs w:val="24"/>
          <w:highlight w:val="none"/>
        </w:rPr>
        <w:t>结算方式：</w:t>
      </w:r>
      <w:r>
        <w:rPr>
          <w:rFonts w:hint="eastAsia" w:asciiTheme="minorEastAsia" w:hAnsiTheme="minorEastAsia" w:eastAsiaTheme="minorEastAsia" w:cstheme="minorEastAsia"/>
          <w:sz w:val="24"/>
          <w:szCs w:val="24"/>
          <w:highlight w:val="none"/>
          <w:lang w:val="en-US" w:eastAsia="zh-CN"/>
        </w:rPr>
        <w:t>采购人按月考核，按季度支付</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备注：</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“★”内容项为实质性条款，供应商应在第五章“响应文件构成及格式”中的“实质性条款响应”处逐条响应“★”内容项，未逐条响应、有缺漏将被视为无效响应。</w:t>
      </w:r>
    </w:p>
    <w:p>
      <w:pPr>
        <w:keepNext w:val="0"/>
        <w:keepLines w:val="0"/>
        <w:pageBreakBefore w:val="0"/>
        <w:widowControl w:val="0"/>
        <w:kinsoku/>
        <w:wordWrap/>
        <w:overflowPunct/>
        <w:topLinePunct w:val="0"/>
        <w:autoSpaceDE/>
        <w:autoSpaceDN/>
        <w:bidi w:val="0"/>
        <w:adjustRightInd/>
        <w:snapToGrid/>
        <w:spacing w:line="400" w:lineRule="atLeast"/>
        <w:jc w:val="center"/>
        <w:textAlignment w:val="auto"/>
        <w:outlineLvl w:val="0"/>
        <w:rPr>
          <w:rFonts w:hint="eastAsia" w:ascii="方正小标宋简体" w:hAnsi="方正小标宋简体" w:eastAsia="方正小标宋简体" w:cs="方正小标宋简体"/>
          <w:sz w:val="32"/>
          <w:szCs w:val="32"/>
        </w:rPr>
      </w:pPr>
      <w:bookmarkStart w:id="3" w:name="_Toc29880"/>
    </w:p>
    <w:p>
      <w:pPr>
        <w:keepNext w:val="0"/>
        <w:keepLines w:val="0"/>
        <w:pageBreakBefore w:val="0"/>
        <w:widowControl w:val="0"/>
        <w:kinsoku/>
        <w:wordWrap/>
        <w:overflowPunct/>
        <w:topLinePunct w:val="0"/>
        <w:autoSpaceDE/>
        <w:autoSpaceDN/>
        <w:bidi w:val="0"/>
        <w:adjustRightInd/>
        <w:snapToGrid/>
        <w:spacing w:line="400" w:lineRule="atLeast"/>
        <w:jc w:val="center"/>
        <w:textAlignment w:val="auto"/>
        <w:outlineLvl w:val="0"/>
        <w:rPr>
          <w:rFonts w:hint="eastAsia" w:ascii="方正小标宋简体" w:hAnsi="方正小标宋简体" w:eastAsia="方正小标宋简体" w:cs="方正小标宋简体"/>
          <w:sz w:val="32"/>
          <w:szCs w:val="32"/>
        </w:rPr>
      </w:pPr>
    </w:p>
    <w:p>
      <w:pPr>
        <w:keepNext w:val="0"/>
        <w:keepLines w:val="0"/>
        <w:pageBreakBefore w:val="0"/>
        <w:widowControl w:val="0"/>
        <w:kinsoku/>
        <w:wordWrap/>
        <w:overflowPunct/>
        <w:topLinePunct w:val="0"/>
        <w:autoSpaceDE/>
        <w:autoSpaceDN/>
        <w:bidi w:val="0"/>
        <w:adjustRightInd/>
        <w:snapToGrid/>
        <w:spacing w:line="400" w:lineRule="atLeast"/>
        <w:jc w:val="center"/>
        <w:textAlignment w:val="auto"/>
        <w:outlineLvl w:val="0"/>
        <w:rPr>
          <w:rFonts w:hint="eastAsia" w:ascii="方正小标宋简体" w:hAnsi="方正小标宋简体" w:eastAsia="方正小标宋简体" w:cs="方正小标宋简体"/>
          <w:sz w:val="32"/>
          <w:szCs w:val="32"/>
        </w:rPr>
      </w:pPr>
    </w:p>
    <w:p>
      <w:pPr>
        <w:keepNext w:val="0"/>
        <w:keepLines w:val="0"/>
        <w:pageBreakBefore w:val="0"/>
        <w:widowControl w:val="0"/>
        <w:kinsoku/>
        <w:wordWrap/>
        <w:overflowPunct/>
        <w:topLinePunct w:val="0"/>
        <w:autoSpaceDE/>
        <w:autoSpaceDN/>
        <w:bidi w:val="0"/>
        <w:adjustRightInd/>
        <w:snapToGrid/>
        <w:spacing w:line="400" w:lineRule="atLeast"/>
        <w:jc w:val="center"/>
        <w:textAlignment w:val="auto"/>
        <w:outlineLvl w:val="0"/>
        <w:rPr>
          <w:rFonts w:hint="eastAsia" w:ascii="方正小标宋简体" w:hAnsi="方正小标宋简体" w:eastAsia="方正小标宋简体" w:cs="方正小标宋简体"/>
          <w:sz w:val="32"/>
          <w:szCs w:val="32"/>
        </w:rPr>
      </w:pPr>
    </w:p>
    <w:p>
      <w:pPr>
        <w:keepNext w:val="0"/>
        <w:keepLines w:val="0"/>
        <w:pageBreakBefore w:val="0"/>
        <w:widowControl w:val="0"/>
        <w:kinsoku/>
        <w:wordWrap/>
        <w:overflowPunct/>
        <w:topLinePunct w:val="0"/>
        <w:autoSpaceDE/>
        <w:autoSpaceDN/>
        <w:bidi w:val="0"/>
        <w:adjustRightInd/>
        <w:snapToGrid/>
        <w:spacing w:line="400" w:lineRule="atLeast"/>
        <w:jc w:val="center"/>
        <w:textAlignment w:val="auto"/>
        <w:outlineLvl w:val="0"/>
        <w:rPr>
          <w:rFonts w:hint="eastAsia" w:ascii="方正小标宋简体" w:hAnsi="方正小标宋简体" w:eastAsia="方正小标宋简体" w:cs="方正小标宋简体"/>
          <w:sz w:val="32"/>
          <w:szCs w:val="32"/>
        </w:rPr>
      </w:pPr>
    </w:p>
    <w:p>
      <w:pPr>
        <w:keepNext w:val="0"/>
        <w:keepLines w:val="0"/>
        <w:pageBreakBefore w:val="0"/>
        <w:widowControl w:val="0"/>
        <w:kinsoku/>
        <w:wordWrap/>
        <w:overflowPunct/>
        <w:topLinePunct w:val="0"/>
        <w:autoSpaceDE/>
        <w:autoSpaceDN/>
        <w:bidi w:val="0"/>
        <w:adjustRightInd/>
        <w:snapToGrid/>
        <w:spacing w:line="400" w:lineRule="atLeast"/>
        <w:jc w:val="center"/>
        <w:textAlignment w:val="auto"/>
        <w:outlineLvl w:val="0"/>
        <w:rPr>
          <w:rFonts w:hint="eastAsia" w:ascii="方正小标宋简体" w:hAnsi="方正小标宋简体" w:eastAsia="方正小标宋简体" w:cs="方正小标宋简体"/>
          <w:sz w:val="32"/>
          <w:szCs w:val="32"/>
        </w:rPr>
      </w:pPr>
    </w:p>
    <w:p>
      <w:pPr>
        <w:keepNext w:val="0"/>
        <w:keepLines w:val="0"/>
        <w:pageBreakBefore w:val="0"/>
        <w:widowControl w:val="0"/>
        <w:kinsoku/>
        <w:wordWrap/>
        <w:overflowPunct/>
        <w:topLinePunct w:val="0"/>
        <w:autoSpaceDE/>
        <w:autoSpaceDN/>
        <w:bidi w:val="0"/>
        <w:adjustRightInd/>
        <w:snapToGrid/>
        <w:spacing w:line="400" w:lineRule="atLeast"/>
        <w:jc w:val="center"/>
        <w:textAlignment w:val="auto"/>
        <w:outlineLvl w:val="0"/>
        <w:rPr>
          <w:rFonts w:hint="eastAsia" w:ascii="方正小标宋简体" w:hAnsi="方正小标宋简体" w:eastAsia="方正小标宋简体" w:cs="方正小标宋简体"/>
          <w:sz w:val="32"/>
          <w:szCs w:val="32"/>
        </w:rPr>
      </w:pPr>
    </w:p>
    <w:p>
      <w:pPr>
        <w:keepNext w:val="0"/>
        <w:keepLines w:val="0"/>
        <w:pageBreakBefore w:val="0"/>
        <w:widowControl w:val="0"/>
        <w:kinsoku/>
        <w:wordWrap/>
        <w:overflowPunct/>
        <w:topLinePunct w:val="0"/>
        <w:autoSpaceDE/>
        <w:autoSpaceDN/>
        <w:bidi w:val="0"/>
        <w:adjustRightInd/>
        <w:snapToGrid/>
        <w:spacing w:line="400" w:lineRule="atLeast"/>
        <w:jc w:val="center"/>
        <w:textAlignment w:val="auto"/>
        <w:outlineLvl w:val="0"/>
        <w:rPr>
          <w:rFonts w:hint="eastAsia" w:ascii="方正小标宋简体" w:hAnsi="方正小标宋简体" w:eastAsia="方正小标宋简体" w:cs="方正小标宋简体"/>
          <w:sz w:val="32"/>
          <w:szCs w:val="32"/>
        </w:rPr>
      </w:pPr>
    </w:p>
    <w:p>
      <w:pPr>
        <w:keepNext w:val="0"/>
        <w:keepLines w:val="0"/>
        <w:pageBreakBefore w:val="0"/>
        <w:widowControl w:val="0"/>
        <w:kinsoku/>
        <w:wordWrap/>
        <w:overflowPunct/>
        <w:topLinePunct w:val="0"/>
        <w:autoSpaceDE/>
        <w:autoSpaceDN/>
        <w:bidi w:val="0"/>
        <w:adjustRightInd/>
        <w:snapToGrid/>
        <w:spacing w:line="400" w:lineRule="atLeast"/>
        <w:jc w:val="center"/>
        <w:textAlignment w:val="auto"/>
        <w:outlineLvl w:val="0"/>
        <w:rPr>
          <w:rFonts w:hint="eastAsia" w:ascii="方正小标宋简体" w:hAnsi="方正小标宋简体" w:eastAsia="方正小标宋简体" w:cs="方正小标宋简体"/>
          <w:sz w:val="32"/>
          <w:szCs w:val="32"/>
        </w:rPr>
      </w:pPr>
    </w:p>
    <w:p>
      <w:pPr>
        <w:keepNext w:val="0"/>
        <w:keepLines w:val="0"/>
        <w:pageBreakBefore w:val="0"/>
        <w:widowControl w:val="0"/>
        <w:kinsoku/>
        <w:wordWrap/>
        <w:overflowPunct/>
        <w:topLinePunct w:val="0"/>
        <w:autoSpaceDE/>
        <w:autoSpaceDN/>
        <w:bidi w:val="0"/>
        <w:adjustRightInd/>
        <w:snapToGrid/>
        <w:spacing w:line="400" w:lineRule="atLeast"/>
        <w:jc w:val="both"/>
        <w:textAlignment w:val="auto"/>
        <w:outlineLvl w:val="0"/>
        <w:rPr>
          <w:rFonts w:hint="eastAsia" w:ascii="方正小标宋简体" w:hAnsi="方正小标宋简体" w:eastAsia="方正小标宋简体" w:cs="方正小标宋简体"/>
          <w:sz w:val="32"/>
          <w:szCs w:val="32"/>
        </w:rPr>
      </w:pPr>
    </w:p>
    <w:p>
      <w:pPr>
        <w:keepNext w:val="0"/>
        <w:keepLines w:val="0"/>
        <w:pageBreakBefore w:val="0"/>
        <w:widowControl w:val="0"/>
        <w:kinsoku/>
        <w:wordWrap/>
        <w:overflowPunct/>
        <w:topLinePunct w:val="0"/>
        <w:autoSpaceDE/>
        <w:autoSpaceDN/>
        <w:bidi w:val="0"/>
        <w:adjustRightInd/>
        <w:snapToGrid/>
        <w:spacing w:line="400" w:lineRule="atLeast"/>
        <w:jc w:val="center"/>
        <w:textAlignment w:val="auto"/>
        <w:outlineLvl w:val="0"/>
        <w:rPr>
          <w:rFonts w:hint="eastAsia" w:ascii="方正小标宋简体" w:hAnsi="方正小标宋简体" w:eastAsia="方正小标宋简体" w:cs="方正小标宋简体"/>
          <w:sz w:val="32"/>
          <w:szCs w:val="32"/>
        </w:rPr>
      </w:pPr>
    </w:p>
    <w:p>
      <w:pPr>
        <w:keepNext w:val="0"/>
        <w:keepLines w:val="0"/>
        <w:pageBreakBefore w:val="0"/>
        <w:widowControl w:val="0"/>
        <w:kinsoku/>
        <w:wordWrap/>
        <w:overflowPunct/>
        <w:topLinePunct w:val="0"/>
        <w:autoSpaceDE/>
        <w:autoSpaceDN/>
        <w:bidi w:val="0"/>
        <w:adjustRightInd/>
        <w:snapToGrid/>
        <w:spacing w:line="400" w:lineRule="atLeast"/>
        <w:jc w:val="center"/>
        <w:textAlignment w:val="auto"/>
        <w:outlineLvl w:val="0"/>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第四章</w:t>
      </w:r>
      <w:r>
        <w:rPr>
          <w:rFonts w:hint="eastAsia" w:ascii="方正小标宋简体" w:hAnsi="方正小标宋简体" w:eastAsia="方正小标宋简体" w:cs="方正小标宋简体"/>
          <w:sz w:val="32"/>
          <w:szCs w:val="32"/>
          <w:lang w:val="en-US" w:eastAsia="zh-CN"/>
        </w:rPr>
        <w:t xml:space="preserve"> </w:t>
      </w:r>
      <w:r>
        <w:rPr>
          <w:rFonts w:hint="eastAsia" w:ascii="方正小标宋简体" w:hAnsi="方正小标宋简体" w:eastAsia="方正小标宋简体" w:cs="方正小标宋简体"/>
          <w:sz w:val="32"/>
          <w:szCs w:val="32"/>
        </w:rPr>
        <w:t>合同基本条款</w:t>
      </w:r>
      <w:bookmarkEnd w:id="3"/>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一、服务条件</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（一）服务地点：采购人指定的地点</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（二）服务期：合同签订并生效后1年</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根据《财政部关于推进和完善服务项目政府采购有关问题的通知》（财库〔2014〕37号）有关规定，本项目在合同期满前，采购人将对成交供应商进行考核，根据服务满意程度，采购人有权决定是否续签合同，累计合同履行期限不超过3年。</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sz w:val="24"/>
          <w:szCs w:val="24"/>
        </w:rPr>
        <w:t>二、合同价款</w:t>
      </w:r>
    </w:p>
    <w:p>
      <w:pPr>
        <w:pStyle w:val="3"/>
        <w:keepNext w:val="0"/>
        <w:keepLines w:val="0"/>
        <w:pageBreakBefore w:val="0"/>
        <w:widowControl w:val="0"/>
        <w:kinsoku/>
        <w:wordWrap/>
        <w:overflowPunct/>
        <w:topLinePunct w:val="0"/>
        <w:autoSpaceDE/>
        <w:autoSpaceDN/>
        <w:bidi w:val="0"/>
        <w:adjustRightInd/>
        <w:snapToGrid/>
        <w:spacing w:line="570" w:lineRule="exact"/>
        <w:ind w:firstLine="480" w:firstLineChars="200"/>
        <w:textAlignment w:val="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服务期限：服务期3年（合同1年一签，合同到期后，采购人可根据成交供应商的服务情况进行考核，考核通过的成交供应商，采购人可与其续签合同）合同总价一次性包死，不受市场价格变化因素的影响。</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三、款项结算</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（一）支付方式：银行转账</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（二）货币单位：人民币</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default" w:asciiTheme="minorEastAsia" w:hAnsiTheme="minorEastAsia" w:cstheme="minorEastAsia"/>
          <w:sz w:val="24"/>
          <w:szCs w:val="24"/>
          <w:lang w:val="en-US" w:eastAsia="zh-CN"/>
        </w:rPr>
      </w:pPr>
      <w:r>
        <w:rPr>
          <w:rFonts w:hint="eastAsia" w:asciiTheme="minorEastAsia" w:hAnsiTheme="minorEastAsia" w:eastAsiaTheme="minorEastAsia" w:cstheme="minorEastAsia"/>
          <w:sz w:val="24"/>
          <w:szCs w:val="24"/>
        </w:rPr>
        <w:t>（三）结算方式：</w:t>
      </w:r>
      <w:r>
        <w:rPr>
          <w:rFonts w:hint="eastAsia" w:asciiTheme="minorEastAsia" w:hAnsiTheme="minorEastAsia" w:cstheme="minorEastAsia"/>
          <w:sz w:val="24"/>
          <w:szCs w:val="24"/>
          <w:lang w:val="en-US" w:eastAsia="zh-CN"/>
        </w:rPr>
        <w:t>采购人按月考核，按季度支付</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采购人于每个月结束后进行验收，服务验收合格并收到成交供应商开具的正式发票（含税价）后，采购人在10个工作日内支付该月物业服务费用。</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cstheme="minorEastAsia"/>
          <w:sz w:val="24"/>
          <w:szCs w:val="24"/>
          <w:lang w:eastAsia="zh-CN"/>
        </w:rPr>
      </w:pPr>
      <w:r>
        <w:rPr>
          <w:rFonts w:hint="eastAsia" w:asciiTheme="minorEastAsia" w:hAnsiTheme="minorEastAsia" w:eastAsiaTheme="minorEastAsia" w:cstheme="minorEastAsia"/>
          <w:sz w:val="24"/>
          <w:szCs w:val="24"/>
        </w:rPr>
        <w:t>成交供应商提供合法的增值税普通发票（含税价）、</w:t>
      </w:r>
      <w:r>
        <w:rPr>
          <w:rFonts w:hint="eastAsia" w:asciiTheme="minorEastAsia" w:hAnsiTheme="minorEastAsia" w:cstheme="minorEastAsia"/>
          <w:sz w:val="24"/>
          <w:szCs w:val="24"/>
          <w:lang w:val="en-US" w:eastAsia="zh-CN"/>
        </w:rPr>
        <w:t>资金</w:t>
      </w:r>
      <w:r>
        <w:rPr>
          <w:rFonts w:hint="eastAsia" w:asciiTheme="minorEastAsia" w:hAnsiTheme="minorEastAsia" w:eastAsiaTheme="minorEastAsia" w:cstheme="minorEastAsia"/>
          <w:sz w:val="24"/>
          <w:szCs w:val="24"/>
        </w:rPr>
        <w:t>申请单等资料后，采购人在10个工作日内支付</w:t>
      </w:r>
      <w:r>
        <w:rPr>
          <w:rFonts w:hint="eastAsia" w:asciiTheme="minorEastAsia" w:hAnsiTheme="minorEastAsia" w:cstheme="minorEastAsia"/>
          <w:sz w:val="24"/>
          <w:szCs w:val="24"/>
          <w:lang w:eastAsia="zh-CN"/>
        </w:rPr>
        <w:t>。</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成交供应商未按约定开具发票或开具的发票不合法、不合规的，采购人有权延迟付款且不视为违约。</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四）成交供应商负责代缴采购人办公区域产生的水、电、暖、制冷等能源费用。成交供应商须在收到第三方缴费通知后5个工作日内完成缴费，确保不因延迟缴费导致停水、停电、停暖或停冷。若成交供应商未按期代缴上述能源费，采购人有权延期支付物业管理服务费，直至该部分能源费全额缴清。</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四、在签订合同前，成交供应商应按照磋商文件第三章《磋商内容及</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采购要求》中所有承诺事项要求落实，如未在规定时限内按要求完成所承</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诺事项的，则视为主动放弃成交资格。</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五、服务保证</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（一）人员雇佣及工资标准</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1、成交供应商须保障人员待遇不得低于采购人所在地最低工资标准和社保最低缴费额。</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2、成交供应商须与员工签订劳动合同，引起劳动关系问题由成交供应商负责。</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（二）成交供应商提供服务时，服务要求应按不低于国家、省、市有关部门规定的质量标准执行。</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1、成交供应商承诺与拟投入人员均有劳动合同或聘用协议。</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2、成交供应商承诺工作人员按磋商文件落实，具体人员要求与采购人协商确定。</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六、服务承诺</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（一）以响应文件、澄清表（函）、合同和随服务的相关文件为准。</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（二）供应商应制订具体的质量保证措施及质量保证和相关服务承诺。</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投标人所有的工作除应按投标人的内部流程实施外，还应接受采购人随时检查。如因质量未达到目标，采购人有权要求其整改；</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（三）采购人定期和不定期地对供应商管理服务进行检查和抽查，检查记录和整改时限反馈供应商。并每季对物业服务考核标准等内容的检查结果进行考核；</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（四）采购人及其他使用人对供应商的满意率达到90％（提供调查问卷样表），采购人可随时要求投标人在采购人的监督下进行满意率调查；</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（五）供应商提供合同规定的人员、物资、设备，数量符合要求；</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（六）供应商在服务期内，圆满完成合同约定的服务内容；</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（七）供应商在合同期内，圆满完成采购人要求的临时性服务内容；</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（八）维修服务所要求达到的各项技术标准，应当符合国家（强制性）标准、各项规范要求；国家没有相应标准、规范的，可使用行业标准、规定；</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（九）维修服务中非标的项目按双方约定的技术要求和规范。</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七、违约责任</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（一）按《中华人民共和国民法典》中的相关条款执行。</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（二）未按合同要求提供服务或服务质量不能满足合同要求，采购人有权依据《中华人民共和国民法典》有关条款及合同约定终止合同，并要求成交供应商承担违约责任。</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三）成交供应商未按合同要求提供服务或服务质量不能满足合同要求，采购人有权对成交供应商发出整改通知；经采购人通知后15日内，成交供应商仍未按合同要求提供服务或服务质量不合格的，采购人有权终止合同，并要求成交供应商支付合同总金额20%的违约金。</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（四）任何一方无正当理由不得解除本合同，确需解除的应提前一个月通知对方，并赔偿对方一个月服务费。</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五）成交供应商在服务过程中发生任何安全事件或责任事故，均由成交供应商承担所有赔偿责任，且采购人有权单方面解除本合同，如因此对采购人造成任何损失或致使采购人承担任何责任的，采购人有权向成交供应商全额追偿。</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（六）成交供应商或服务人员违反合同所约定之义务，影响合同约定</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区域的安全或导致采购人其他方面损害，经采购人三次警告或仍无整改，采购人有权单方面终止合同，并要求成交供应商支付合同总金额20%的违约金。</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七）成交供应商在受委托服务期内，不得将保洁服务及绿化养护服务、日常维修及管理服务以及采购人未书面许可转让的其他服务整体或部分转让第三方经营，如有违约，采购人有权单方解除合同，并要求成交供应商支付合同总金额20%的违约金。</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八）成交供应商在保洁服务及绿化养护服务、日常维修及管理服务中未达到合同规定的相关质量标准，采购人将有权责令其限期整改，经采购人书面通知整改后仍未达到标准，扣除成交供应商当月服务费的1%-5%。</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（九）成交供应商应当严格管理工作人员，因成交供应商工作人员的行为给采购人或第三人造成损失的，成交供应商应承担连带赔偿责任。</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（十）在采购人没有违约的情况下，成交供应商若中途停止服务，不能履行合同给采购人造成损失的，成交供应商应向采购人支付合同总金额的20%违约金，并赔偿给采购人造成的一切损失，采购人有权终止合同。</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八、争议解决</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执行本合同中产生纠纷，由采购人与成交供应商双方协商解决；协商不成，向采购人所在地有管辖权的人民法院提起诉讼。</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九、解除合同</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如发生下列任意一项，采购人有权责令整改并向上级主管部门报备解除合同，并要求成交供应商赔偿相关损失及承担相关法律责任。</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（一）考核不合格，拒不改正、影响服务质量或损害国家利益的。</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（二）因成交供应商原因导致重大火灾、伤亡、档案丢失等。</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（三）发生重大安全事件隐瞒不报。</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（四）其他违反法律、法规和规章制度行为，造成恶劣影响的。</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十、采购人和成交供应商的权利义务</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（一）采购人的权利与义务</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1、代表和维护产权人、使用人的合法权益；</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2、审定成交供应商拟定的物业管理制度；</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3、检查监督成交供应商管理工作的实施及制度的执行情况；</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4、审定成交供应商提出的物业管理服务年度计划、财务预算及决算；</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5、负责收集、整理物业管理所需全部图纸、档案、资料，根据管理需要向成交供应商提供房屋相关资料和设备、设施的安装、使用和维护保养技术资料；</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6、按期支付物业管理费用；</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7、在不可预见的情况下，如发生煤气泄漏、漏电、火灾、救助人命、协助公安机关执行任务等突发事件的，采购人应积极配合成交供应商采取必要的紧急避险措施；</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8、提供成交供应商所需的水、电供给，必要的管理办公用房、工具、材料存放库房。采购人不提供成交供应商员工宿舍，员工住宿由成交供应商自行解决；</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采购人监督成交供应商依照本合同规定内容所进行的管理和服务活动，组织对成交供应商工作综合考评，如出现成交供应商管理不善造成采购人重大经济损失的情况，采购人有权终止合同并要求成交供应商给予赔偿;</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10、采购人有权在成交供应商出现以下问题时，单方解除合同：</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（1）经查实因成交供应商原因造成重大安全事件或安全事故；</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（2）连续三个月考核不合格的；</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（3）本磋商文件涉及单方解除合同的其他情形。</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（二）成交供应商的权利与义务</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1、根据有关法律法规、投标文件及本合同的约定，制订物业管理制度、方案，根据采购人核定的物业管理制度、方案自主开展物业日常管理服务活动；</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2、按采购人要求及时如实向采购人报告物业管理服务实施情况；</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3、征得采购人同意可选聘专营公司承担本物业的专项管理业务，但不得将本物业的管理责任转让给第三方；如因选聘的专营公司服务造成任何损害后果的，成交供应商与专营公司承担连带责任；</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4、负责编制年度计划、方案，经双方议定后由成交供应商组织实施；</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5、向采购人工作人员和其他使用人告知物业使用的有关规定，并负责监督；</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6、建立、妥善保管和正确使用本物业相关的管理档案，并负责及时记载有关变更情况；</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7、对本物业的公用设施不得擅自占用和改变使用功能；</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8、因成交供应商在管理中的过错或违反本合同的约定进行管理造成采购人或第三人损失的，成交供应商应依法承担赔偿责任；</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9、成交供应商自行承担办公桌、电脑、打印机、文件柜等自身使用的办公用品，自行承担所有人员服装费用，但服装样式需经过采购人认可；</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10、本合同终止时，成交供应商必须向采购人移交全部管理用房及物业管理的全部档案资料，确保移交的资料和设备、设施完好无缺;</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成交供应商在委托服务期间，应建立三级检查制度，即保洁员绿化员自查、保洁绿化主管日常检查和管理人员重点抽查，确保整个院落及办公楼内外公共服务区域及时清扫、绿化养护区域养护及采购人时，所产生的环卫垃圾及绿化养护垃圾及时清运，保持环境整洁；自觉接受政府物业管理主管部门及有关部门的监督、指导；自觉接受采购人的检查监督，当发现问题予以处罚，成交供应商不得敷衍拒签；自觉接受采购人的考核评定，考核评定结果送达后，应愉快接受，不得抵制；同时，应建立三级检修计划，即周计划、月计划、年度计划，加强设</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备巡视，日常巡视和特殊巡视相结合，确保整个院落内外公共服务区域维修维护及时，所有设施设备运转正常，确保水、电、暖保障有序。</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成交供应商工作人员必须遵守采购人的相关管理制度，服从采购人的管理。成交供应商项目经理就管理服务中存在的问题，每周至少与采购人沟通一次，提出解决办法，每个月就服务情况向采购人进行总结汇报;</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13、成交供应商自行聘用所需工作人员，依照《中华人民共和国劳动法》相关规定与其工作人员签订劳动用工合同，所聘工作人员均为成交供应商员工，与采购人无劳动关系；成交供应商员工均须着装整齐、佩戴工号牌，保证所聘用的人员符合从事保洁及绿化养护、日常维修管理服务工作健康要求，无犯罪记录并具有有效的身份证、健康证；所聘员工的暂住证、就业证、体检、卫生管理、治安管理等费用由成交供应商承担；</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14、在受委托服务期间，成交供应商应加强对员工的管理，加强思想教育和职业道德教育，进行服务礼仪、作业技能的培训，不断提高服务质量，强化安全服务意识，所聘员工若发生事故，由成交供应商承担全部责任；</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15、成交供应商人员在服务中因操作不当、工作责任心不强等原因导</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致的一切纠纷、投诉、责任事故等问题由成交供应商负责解决;</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16、成交供应商应积极参加采购人主持召开的有关环境工作会议、节能节水工作会议和其他专题会议，听取干部职工、住户对院落环境、日常维修管理服务的意见反馈，共同分析和解决工作中存在的问题，按照采购人的要求，按时保质、保量地提供优质服务，保证采购人满意；</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17、成交供应商在服务期内，必须按采购人要求做好国家法定节假日期间的保洁及绿化养护、维修维护工作。积极配合、参与采购人各类重大活动，无偿提供受委托服务区域、临时需要使用的会场保洁服务、保水、保电、供暖（冷）等服务；</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18、成交供应商在委托服务期内，对所使用的办公用房和固定资产必须妥善维护和保养，并承担相应维修费用;</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19、合同到期后，如成交供应商不再继续服务，投入的所有设施设备由成交供应商自行处置，采购人不予接收;日常维修已使用的设施、材料归采购人所有;维修更换后的设备和材料归采购人所有，并交采购人集中存放;</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20、成交供应商不得将本合同项目转让第三方经营，不得擅自在物业管理区域内从事物业管理相关服务以外的经营活动;</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21、成交供应商负责处理解决外包范围内与地方相关部门的问题；</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22、成交供应商聘用员工仅与成交供应商发生劳动关系，成交供应商应承担与管理服务有关的直接运营费用；该费用包括但不限于下列费用：成交供应商员工工资、社保费用，培训材料、与承担管理服务有关的所有清洁材料、工具、消耗品和其它费用，成交供应商公司法定税费，物业管理日常办公费用等费用；</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23、成交供应商不得利用采购人的名义注册登记和在外签订任何形式的合同、协议等，由此造成的后果由成交供应商负全部责任，采购人有权依法追究成交供应商相应的法律责任;</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24、政策、法规规定由成交供应商承担的其他责任。</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十一、合同生效及其他</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（一）本合同自双方签订盖章之日起生效。</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（二）合同份数由采购人和成交供应商具体商定。</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（三）未尽事宜由双方在签订合同时具体明确。</w:t>
      </w:r>
    </w:p>
    <w:p>
      <w:pPr>
        <w:outlineLvl w:val="9"/>
        <w:rPr>
          <w:rFonts w:hint="eastAsia" w:asciiTheme="minorEastAsia" w:hAnsiTheme="minorEastAsia" w:eastAsiaTheme="minorEastAsia" w:cstheme="minorEastAsia"/>
          <w:sz w:val="24"/>
          <w:szCs w:val="24"/>
        </w:rPr>
      </w:pPr>
    </w:p>
    <w:p>
      <w:pPr>
        <w:rPr>
          <w:rFonts w:hint="eastAsia" w:asciiTheme="minorEastAsia" w:hAnsiTheme="minorEastAsia" w:eastAsiaTheme="minorEastAsia" w:cstheme="minorEastAsia"/>
          <w:sz w:val="24"/>
          <w:szCs w:val="24"/>
        </w:rPr>
      </w:pPr>
    </w:p>
    <w:p>
      <w:pPr>
        <w:rPr>
          <w:rFonts w:hint="eastAsia" w:asciiTheme="minorEastAsia" w:hAnsiTheme="minorEastAsia" w:eastAsiaTheme="minorEastAsia" w:cstheme="minorEastAsia"/>
          <w:sz w:val="24"/>
          <w:szCs w:val="24"/>
        </w:rPr>
      </w:pPr>
    </w:p>
    <w:p>
      <w:pPr>
        <w:rPr>
          <w:rFonts w:hint="eastAsia" w:asciiTheme="minorEastAsia" w:hAnsiTheme="minorEastAsia" w:eastAsiaTheme="minorEastAsia" w:cstheme="minorEastAsia"/>
          <w:sz w:val="24"/>
          <w:szCs w:val="24"/>
        </w:rPr>
      </w:pPr>
    </w:p>
    <w:p>
      <w:pPr>
        <w:rPr>
          <w:rFonts w:hint="eastAsia" w:asciiTheme="minorEastAsia" w:hAnsiTheme="minorEastAsia" w:eastAsiaTheme="minorEastAsia" w:cstheme="minorEastAsia"/>
          <w:sz w:val="24"/>
          <w:szCs w:val="24"/>
        </w:rPr>
      </w:pPr>
    </w:p>
    <w:p>
      <w:pPr>
        <w:rPr>
          <w:rFonts w:hint="eastAsia" w:asciiTheme="minorEastAsia" w:hAnsiTheme="minorEastAsia" w:eastAsiaTheme="minorEastAsia" w:cstheme="minorEastAsia"/>
          <w:sz w:val="24"/>
          <w:szCs w:val="24"/>
        </w:rPr>
      </w:pPr>
    </w:p>
    <w:p>
      <w:pPr>
        <w:rPr>
          <w:rFonts w:hint="eastAsia" w:asciiTheme="minorEastAsia" w:hAnsiTheme="minorEastAsia" w:eastAsiaTheme="minorEastAsia" w:cstheme="minorEastAsia"/>
          <w:sz w:val="24"/>
          <w:szCs w:val="24"/>
        </w:rPr>
      </w:pPr>
    </w:p>
    <w:p>
      <w:pPr>
        <w:rPr>
          <w:rFonts w:hint="eastAsia" w:asciiTheme="minorEastAsia" w:hAnsiTheme="minorEastAsia" w:eastAsiaTheme="minorEastAsia" w:cstheme="minorEastAsia"/>
          <w:sz w:val="24"/>
          <w:szCs w:val="24"/>
        </w:rPr>
      </w:pPr>
    </w:p>
    <w:p>
      <w:pPr>
        <w:rPr>
          <w:rFonts w:hint="eastAsia" w:asciiTheme="minorEastAsia" w:hAnsiTheme="minorEastAsia" w:eastAsiaTheme="minorEastAsia" w:cstheme="minorEastAsia"/>
          <w:sz w:val="24"/>
          <w:szCs w:val="24"/>
        </w:rPr>
      </w:pPr>
    </w:p>
    <w:p>
      <w:pPr>
        <w:rPr>
          <w:rFonts w:hint="eastAsia" w:asciiTheme="minorEastAsia" w:hAnsiTheme="minorEastAsia" w:eastAsiaTheme="minorEastAsia" w:cstheme="minorEastAsia"/>
          <w:sz w:val="24"/>
          <w:szCs w:val="24"/>
        </w:rPr>
      </w:pPr>
    </w:p>
    <w:p>
      <w:pPr>
        <w:rPr>
          <w:rFonts w:hint="eastAsia" w:asciiTheme="minorEastAsia" w:hAnsiTheme="minorEastAsia" w:eastAsiaTheme="minorEastAsia" w:cstheme="minorEastAsia"/>
          <w:sz w:val="24"/>
          <w:szCs w:val="24"/>
        </w:rPr>
      </w:pPr>
    </w:p>
    <w:p>
      <w:pPr>
        <w:rPr>
          <w:rFonts w:hint="eastAsia" w:asciiTheme="minorEastAsia" w:hAnsiTheme="minorEastAsia" w:eastAsiaTheme="minorEastAsia" w:cstheme="minorEastAsia"/>
          <w:sz w:val="24"/>
          <w:szCs w:val="24"/>
        </w:rPr>
      </w:pPr>
    </w:p>
    <w:p>
      <w:pPr>
        <w:keepNext w:val="0"/>
        <w:keepLines w:val="0"/>
        <w:pageBreakBefore w:val="0"/>
        <w:widowControl w:val="0"/>
        <w:kinsoku/>
        <w:wordWrap/>
        <w:overflowPunct/>
        <w:topLinePunct w:val="0"/>
        <w:autoSpaceDE/>
        <w:autoSpaceDN/>
        <w:bidi w:val="0"/>
        <w:adjustRightInd/>
        <w:snapToGrid/>
        <w:spacing w:line="400" w:lineRule="atLeast"/>
        <w:jc w:val="center"/>
        <w:textAlignment w:val="auto"/>
        <w:outlineLvl w:val="0"/>
        <w:rPr>
          <w:rFonts w:hint="eastAsia" w:ascii="方正小标宋简体" w:hAnsi="方正小标宋简体" w:eastAsia="方正小标宋简体" w:cs="方正小标宋简体"/>
          <w:sz w:val="32"/>
          <w:szCs w:val="32"/>
        </w:rPr>
      </w:pPr>
      <w:bookmarkStart w:id="4" w:name="_Toc12470"/>
      <w:r>
        <w:rPr>
          <w:rFonts w:hint="eastAsia" w:ascii="方正小标宋简体" w:hAnsi="方正小标宋简体" w:eastAsia="方正小标宋简体" w:cs="方正小标宋简体"/>
          <w:sz w:val="32"/>
          <w:szCs w:val="32"/>
        </w:rPr>
        <w:t>第五章</w:t>
      </w:r>
      <w:r>
        <w:rPr>
          <w:rFonts w:hint="eastAsia" w:ascii="方正小标宋简体" w:hAnsi="方正小标宋简体" w:eastAsia="方正小标宋简体" w:cs="方正小标宋简体"/>
          <w:sz w:val="32"/>
          <w:szCs w:val="32"/>
          <w:lang w:val="en-US" w:eastAsia="zh-CN"/>
        </w:rPr>
        <w:t xml:space="preserve"> </w:t>
      </w:r>
      <w:r>
        <w:rPr>
          <w:rFonts w:hint="eastAsia" w:ascii="方正小标宋简体" w:hAnsi="方正小标宋简体" w:eastAsia="方正小标宋简体" w:cs="方正小标宋简体"/>
          <w:sz w:val="32"/>
          <w:szCs w:val="32"/>
        </w:rPr>
        <w:t>响应文件构成及格式</w:t>
      </w:r>
      <w:bookmarkEnd w:id="4"/>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9" w:hRule="atLeast"/>
        </w:trPr>
        <w:tc>
          <w:tcPr>
            <w:tcW w:w="8500" w:type="dxa"/>
          </w:tcPr>
          <w:p>
            <w:pPr>
              <w:spacing w:line="480" w:lineRule="auto"/>
              <w:rPr>
                <w:rFonts w:hint="eastAsia" w:asciiTheme="minorEastAsia" w:hAnsiTheme="minorEastAsia" w:eastAsiaTheme="minorEastAsia" w:cstheme="minorEastAsia"/>
                <w:b/>
                <w:bCs/>
                <w:sz w:val="21"/>
                <w:szCs w:val="21"/>
                <w:vertAlign w:val="baseline"/>
              </w:rPr>
            </w:pPr>
            <w:r>
              <w:rPr>
                <w:rFonts w:hint="eastAsia" w:asciiTheme="minorEastAsia" w:hAnsiTheme="minorEastAsia" w:eastAsiaTheme="minorEastAsia" w:cstheme="minorEastAsia"/>
                <w:b/>
                <w:bCs/>
                <w:sz w:val="21"/>
                <w:szCs w:val="21"/>
                <w:vertAlign w:val="baseline"/>
              </w:rPr>
              <w:t>注释：</w:t>
            </w:r>
          </w:p>
          <w:p>
            <w:pPr>
              <w:spacing w:line="480" w:lineRule="auto"/>
              <w:ind w:left="0" w:leftChars="0" w:firstLine="420" w:firstLineChars="200"/>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vertAlign w:val="baseline"/>
              </w:rPr>
              <w:t>1、本章分为三部分，是为方便供应商制作响应文件设计。第一、二部分应按要求或给定格式选择填报。</w:t>
            </w:r>
          </w:p>
          <w:p>
            <w:pPr>
              <w:spacing w:line="480" w:lineRule="auto"/>
              <w:ind w:left="0" w:leftChars="0" w:firstLine="420" w:firstLineChars="200"/>
              <w:rPr>
                <w:rFonts w:hint="eastAsia" w:asciiTheme="minorEastAsia" w:hAnsiTheme="minorEastAsia" w:eastAsiaTheme="minorEastAsia" w:cstheme="minorEastAsia"/>
                <w:sz w:val="24"/>
                <w:szCs w:val="24"/>
                <w:vertAlign w:val="baseline"/>
              </w:rPr>
            </w:pPr>
            <w:r>
              <w:rPr>
                <w:rFonts w:hint="eastAsia" w:asciiTheme="minorEastAsia" w:hAnsiTheme="minorEastAsia" w:eastAsiaTheme="minorEastAsia" w:cstheme="minorEastAsia"/>
                <w:sz w:val="21"/>
                <w:szCs w:val="21"/>
                <w:vertAlign w:val="baseline"/>
              </w:rPr>
              <w:t>2、第三部分响应方案格式仅供参考，供应商应根据项目特点，结合本次磋商要求，对有关表格进行补充或修改，但不得对实质性文件的相关条款作出变动。</w:t>
            </w:r>
          </w:p>
        </w:tc>
      </w:tr>
    </w:tbl>
    <w:p>
      <w:pPr>
        <w:rPr>
          <w:rFonts w:hint="eastAsia" w:asciiTheme="minorEastAsia" w:hAnsiTheme="minorEastAsia" w:eastAsiaTheme="minorEastAsia" w:cstheme="minorEastAsia"/>
          <w:sz w:val="24"/>
          <w:szCs w:val="24"/>
        </w:rPr>
      </w:pPr>
    </w:p>
    <w:p>
      <w:pPr>
        <w:rPr>
          <w:rFonts w:hint="eastAsia" w:asciiTheme="minorEastAsia" w:hAnsiTheme="minorEastAsia" w:eastAsiaTheme="minorEastAsia" w:cstheme="minorEastAsia"/>
          <w:sz w:val="24"/>
          <w:szCs w:val="24"/>
        </w:rPr>
      </w:pPr>
    </w:p>
    <w:p>
      <w:pPr>
        <w:rPr>
          <w:rFonts w:hint="eastAsia" w:asciiTheme="minorEastAsia" w:hAnsiTheme="minorEastAsia" w:eastAsiaTheme="minorEastAsia" w:cstheme="minorEastAsia"/>
          <w:sz w:val="24"/>
          <w:szCs w:val="24"/>
        </w:rPr>
      </w:pPr>
    </w:p>
    <w:p>
      <w:pPr>
        <w:rPr>
          <w:rFonts w:hint="eastAsia" w:asciiTheme="minorEastAsia" w:hAnsiTheme="minorEastAsia" w:eastAsiaTheme="minorEastAsia" w:cstheme="minorEastAsia"/>
          <w:sz w:val="24"/>
          <w:szCs w:val="24"/>
        </w:rPr>
      </w:pPr>
    </w:p>
    <w:p>
      <w:pPr>
        <w:rPr>
          <w:rFonts w:hint="eastAsia" w:asciiTheme="minorEastAsia" w:hAnsiTheme="minorEastAsia" w:eastAsiaTheme="minorEastAsia" w:cstheme="minorEastAsia"/>
          <w:sz w:val="24"/>
          <w:szCs w:val="24"/>
        </w:rPr>
      </w:pPr>
    </w:p>
    <w:p>
      <w:pPr>
        <w:rPr>
          <w:rFonts w:hint="eastAsia" w:asciiTheme="minorEastAsia" w:hAnsiTheme="minorEastAsia" w:eastAsiaTheme="minorEastAsia" w:cstheme="minorEastAsia"/>
          <w:sz w:val="24"/>
          <w:szCs w:val="24"/>
        </w:rPr>
      </w:pPr>
    </w:p>
    <w:p>
      <w:pPr>
        <w:rPr>
          <w:rFonts w:hint="eastAsia" w:asciiTheme="minorEastAsia" w:hAnsiTheme="minorEastAsia" w:eastAsiaTheme="minorEastAsia" w:cstheme="minorEastAsia"/>
          <w:sz w:val="24"/>
          <w:szCs w:val="24"/>
        </w:rPr>
      </w:pPr>
    </w:p>
    <w:p>
      <w:pPr>
        <w:rPr>
          <w:rFonts w:hint="eastAsia" w:asciiTheme="minorEastAsia" w:hAnsiTheme="minorEastAsia" w:eastAsiaTheme="minorEastAsia" w:cstheme="minorEastAsia"/>
          <w:sz w:val="24"/>
          <w:szCs w:val="24"/>
        </w:rPr>
      </w:pPr>
    </w:p>
    <w:p>
      <w:pPr>
        <w:rPr>
          <w:rFonts w:hint="eastAsia" w:asciiTheme="minorEastAsia" w:hAnsiTheme="minorEastAsia" w:eastAsiaTheme="minorEastAsia" w:cstheme="minorEastAsia"/>
          <w:sz w:val="24"/>
          <w:szCs w:val="24"/>
        </w:rPr>
      </w:pPr>
    </w:p>
    <w:p>
      <w:pPr>
        <w:rPr>
          <w:rFonts w:hint="eastAsia" w:asciiTheme="minorEastAsia" w:hAnsiTheme="minorEastAsia" w:eastAsiaTheme="minorEastAsia" w:cstheme="minorEastAsia"/>
          <w:sz w:val="24"/>
          <w:szCs w:val="24"/>
        </w:rPr>
      </w:pPr>
    </w:p>
    <w:p>
      <w:pPr>
        <w:rPr>
          <w:rFonts w:hint="eastAsia" w:asciiTheme="minorEastAsia" w:hAnsiTheme="minorEastAsia" w:eastAsiaTheme="minorEastAsia" w:cstheme="minorEastAsia"/>
          <w:sz w:val="24"/>
          <w:szCs w:val="24"/>
        </w:rPr>
      </w:pPr>
    </w:p>
    <w:p>
      <w:pPr>
        <w:rPr>
          <w:rFonts w:hint="eastAsia" w:asciiTheme="minorEastAsia" w:hAnsiTheme="minorEastAsia" w:eastAsiaTheme="minorEastAsia" w:cstheme="minorEastAsia"/>
          <w:sz w:val="24"/>
          <w:szCs w:val="24"/>
        </w:rPr>
      </w:pPr>
    </w:p>
    <w:p>
      <w:pPr>
        <w:rPr>
          <w:rFonts w:hint="eastAsia" w:asciiTheme="minorEastAsia" w:hAnsiTheme="minorEastAsia" w:eastAsiaTheme="minorEastAsia" w:cstheme="minorEastAsia"/>
          <w:sz w:val="24"/>
          <w:szCs w:val="24"/>
        </w:rPr>
      </w:pPr>
    </w:p>
    <w:p>
      <w:pPr>
        <w:rPr>
          <w:rFonts w:hint="eastAsia" w:asciiTheme="minorEastAsia" w:hAnsiTheme="minorEastAsia" w:eastAsiaTheme="minorEastAsia" w:cstheme="minorEastAsia"/>
          <w:sz w:val="24"/>
          <w:szCs w:val="24"/>
        </w:rPr>
      </w:pPr>
    </w:p>
    <w:p>
      <w:pPr>
        <w:rPr>
          <w:rFonts w:hint="eastAsia" w:asciiTheme="minorEastAsia" w:hAnsiTheme="minorEastAsia" w:eastAsiaTheme="minorEastAsia" w:cstheme="minorEastAsia"/>
          <w:sz w:val="24"/>
          <w:szCs w:val="24"/>
        </w:rPr>
      </w:pPr>
    </w:p>
    <w:p>
      <w:pPr>
        <w:rPr>
          <w:rFonts w:hint="eastAsia" w:asciiTheme="minorEastAsia" w:hAnsiTheme="minorEastAsia" w:eastAsiaTheme="minorEastAsia" w:cstheme="minorEastAsia"/>
          <w:sz w:val="24"/>
          <w:szCs w:val="24"/>
        </w:rPr>
      </w:pPr>
    </w:p>
    <w:p>
      <w:pPr>
        <w:rPr>
          <w:rFonts w:hint="eastAsia" w:asciiTheme="minorEastAsia" w:hAnsiTheme="minorEastAsia" w:eastAsiaTheme="minorEastAsia" w:cstheme="minorEastAsia"/>
          <w:sz w:val="24"/>
          <w:szCs w:val="24"/>
        </w:rPr>
      </w:pPr>
    </w:p>
    <w:p>
      <w:pPr>
        <w:rPr>
          <w:rFonts w:hint="eastAsia" w:asciiTheme="minorEastAsia" w:hAnsiTheme="minorEastAsia" w:eastAsiaTheme="minorEastAsia" w:cstheme="minorEastAsia"/>
          <w:sz w:val="24"/>
          <w:szCs w:val="24"/>
        </w:rPr>
      </w:pPr>
    </w:p>
    <w:p>
      <w:pPr>
        <w:rPr>
          <w:rFonts w:hint="eastAsia" w:asciiTheme="minorEastAsia" w:hAnsiTheme="minorEastAsia" w:eastAsiaTheme="minorEastAsia" w:cstheme="minorEastAsia"/>
          <w:sz w:val="24"/>
          <w:szCs w:val="24"/>
        </w:rPr>
      </w:pPr>
    </w:p>
    <w:p>
      <w:pPr>
        <w:rPr>
          <w:rFonts w:hint="eastAsia" w:asciiTheme="minorEastAsia" w:hAnsiTheme="minorEastAsia" w:eastAsiaTheme="minorEastAsia" w:cstheme="minorEastAsia"/>
          <w:sz w:val="24"/>
          <w:szCs w:val="24"/>
        </w:rPr>
      </w:pPr>
    </w:p>
    <w:p>
      <w:pPr>
        <w:rPr>
          <w:rFonts w:hint="eastAsia" w:asciiTheme="minorEastAsia" w:hAnsiTheme="minorEastAsia" w:eastAsiaTheme="minorEastAsia" w:cstheme="minorEastAsia"/>
          <w:sz w:val="24"/>
          <w:szCs w:val="24"/>
        </w:rPr>
      </w:pPr>
    </w:p>
    <w:p>
      <w:pPr>
        <w:rPr>
          <w:rFonts w:hint="eastAsia" w:asciiTheme="minorEastAsia" w:hAnsiTheme="minorEastAsia" w:eastAsiaTheme="minorEastAsia" w:cstheme="minorEastAsia"/>
          <w:sz w:val="24"/>
          <w:szCs w:val="24"/>
        </w:rPr>
      </w:pPr>
    </w:p>
    <w:p>
      <w:pPr>
        <w:rPr>
          <w:rFonts w:hint="eastAsia" w:asciiTheme="minorEastAsia" w:hAnsiTheme="minorEastAsia" w:eastAsiaTheme="minorEastAsia" w:cstheme="minorEastAsia"/>
          <w:sz w:val="24"/>
          <w:szCs w:val="24"/>
        </w:rPr>
      </w:pPr>
    </w:p>
    <w:p>
      <w:pPr>
        <w:rPr>
          <w:rFonts w:hint="eastAsia" w:asciiTheme="minorEastAsia" w:hAnsiTheme="minorEastAsia" w:eastAsiaTheme="minorEastAsia" w:cstheme="minorEastAsia"/>
          <w:sz w:val="24"/>
          <w:szCs w:val="24"/>
        </w:rPr>
      </w:pPr>
    </w:p>
    <w:p>
      <w:pPr>
        <w:rPr>
          <w:rFonts w:hint="eastAsia" w:asciiTheme="minorEastAsia" w:hAnsiTheme="minorEastAsia" w:eastAsiaTheme="minorEastAsia" w:cstheme="minorEastAsia"/>
          <w:sz w:val="24"/>
          <w:szCs w:val="24"/>
        </w:rPr>
      </w:pPr>
    </w:p>
    <w:p>
      <w:pPr>
        <w:rPr>
          <w:rFonts w:hint="eastAsia" w:asciiTheme="minorEastAsia" w:hAnsiTheme="minorEastAsia" w:eastAsiaTheme="minorEastAsia" w:cstheme="minorEastAsia"/>
          <w:sz w:val="24"/>
          <w:szCs w:val="24"/>
        </w:rPr>
      </w:pPr>
    </w:p>
    <w:p>
      <w:pPr>
        <w:rPr>
          <w:rFonts w:hint="eastAsia" w:asciiTheme="minorEastAsia" w:hAnsiTheme="minorEastAsia" w:eastAsiaTheme="minorEastAsia" w:cstheme="minorEastAsia"/>
          <w:sz w:val="24"/>
          <w:szCs w:val="24"/>
        </w:rPr>
      </w:pPr>
    </w:p>
    <w:p>
      <w:pPr>
        <w:rPr>
          <w:rFonts w:hint="eastAsia" w:asciiTheme="minorEastAsia" w:hAnsiTheme="minorEastAsia" w:eastAsiaTheme="minorEastAsia" w:cstheme="minorEastAsia"/>
          <w:sz w:val="24"/>
          <w:szCs w:val="24"/>
        </w:rPr>
      </w:pPr>
    </w:p>
    <w:p>
      <w:pPr>
        <w:rPr>
          <w:rFonts w:hint="eastAsia" w:asciiTheme="minorEastAsia" w:hAnsiTheme="minorEastAsia" w:eastAsiaTheme="minorEastAsia" w:cstheme="minorEastAsia"/>
          <w:sz w:val="24"/>
          <w:szCs w:val="24"/>
        </w:rPr>
      </w:pPr>
    </w:p>
    <w:p>
      <w:pPr>
        <w:rPr>
          <w:rFonts w:hint="eastAsia" w:asciiTheme="minorEastAsia" w:hAnsiTheme="minorEastAsia" w:eastAsiaTheme="minorEastAsia" w:cstheme="minorEastAsia"/>
          <w:sz w:val="24"/>
          <w:szCs w:val="24"/>
        </w:rPr>
      </w:pPr>
    </w:p>
    <w:p>
      <w:pPr>
        <w:rPr>
          <w:rFonts w:hint="eastAsia" w:asciiTheme="minorEastAsia" w:hAnsiTheme="minorEastAsia" w:eastAsiaTheme="minorEastAsia" w:cstheme="minorEastAsia"/>
          <w:sz w:val="24"/>
          <w:szCs w:val="24"/>
        </w:rPr>
      </w:pPr>
    </w:p>
    <w:p>
      <w:pPr>
        <w:rPr>
          <w:rFonts w:hint="eastAsia" w:asciiTheme="minorEastAsia" w:hAnsiTheme="minorEastAsia" w:eastAsiaTheme="minorEastAsia" w:cstheme="minorEastAsia"/>
          <w:sz w:val="24"/>
          <w:szCs w:val="24"/>
        </w:rPr>
      </w:pPr>
    </w:p>
    <w:p>
      <w:pPr>
        <w:rPr>
          <w:rFonts w:hint="eastAsia" w:ascii="仿宋_GB2312" w:hAnsi="仿宋_GB2312" w:eastAsia="仿宋_GB2312" w:cs="仿宋_GB2312"/>
          <w:b/>
          <w:bCs/>
          <w:sz w:val="44"/>
          <w:szCs w:val="44"/>
          <w:lang w:val="en-US" w:eastAsia="zh-CN"/>
        </w:rPr>
      </w:pPr>
    </w:p>
    <w:p>
      <w:pPr>
        <w:jc w:val="center"/>
        <w:rPr>
          <w:rFonts w:hint="eastAsia" w:ascii="仿宋_GB2312" w:hAnsi="仿宋_GB2312" w:eastAsia="仿宋_GB2312" w:cs="仿宋_GB2312"/>
          <w:b/>
          <w:bCs/>
          <w:sz w:val="44"/>
          <w:szCs w:val="44"/>
          <w:lang w:val="en-US" w:eastAsia="zh-CN"/>
        </w:rPr>
      </w:pPr>
    </w:p>
    <w:p>
      <w:pPr>
        <w:jc w:val="center"/>
        <w:rPr>
          <w:rFonts w:hint="eastAsia" w:ascii="仿宋_GB2312" w:hAnsi="仿宋_GB2312" w:eastAsia="仿宋_GB2312" w:cs="仿宋_GB2312"/>
          <w:b/>
          <w:bCs/>
          <w:sz w:val="44"/>
          <w:szCs w:val="44"/>
          <w:lang w:val="en-US" w:eastAsia="zh-CN"/>
        </w:rPr>
      </w:pPr>
    </w:p>
    <w:p>
      <w:pPr>
        <w:jc w:val="center"/>
        <w:outlineLvl w:val="9"/>
        <w:rPr>
          <w:rFonts w:hint="eastAsia" w:ascii="仿宋_GB2312" w:hAnsi="仿宋_GB2312" w:eastAsia="仿宋_GB2312" w:cs="仿宋_GB2312"/>
          <w:b/>
          <w:bCs/>
          <w:sz w:val="44"/>
          <w:szCs w:val="44"/>
          <w:lang w:val="en-US" w:eastAsia="zh-CN"/>
        </w:rPr>
      </w:pPr>
      <w:bookmarkStart w:id="5" w:name="_Toc13812"/>
      <w:r>
        <w:rPr>
          <w:rFonts w:hint="eastAsia" w:ascii="仿宋_GB2312" w:hAnsi="仿宋_GB2312" w:eastAsia="仿宋_GB2312" w:cs="仿宋_GB2312"/>
          <w:b/>
          <w:bCs/>
          <w:sz w:val="44"/>
          <w:szCs w:val="44"/>
          <w:lang w:val="en-US" w:eastAsia="zh-CN"/>
        </w:rPr>
        <w:t>咸阳市秦都区政府采购服务项目</w:t>
      </w:r>
      <w:bookmarkEnd w:id="5"/>
    </w:p>
    <w:p>
      <w:pPr>
        <w:jc w:val="center"/>
        <w:rPr>
          <w:rFonts w:hint="eastAsia" w:ascii="仿宋_GB2312" w:hAnsi="仿宋_GB2312" w:eastAsia="仿宋_GB2312" w:cs="仿宋_GB2312"/>
          <w:b/>
          <w:bCs/>
          <w:sz w:val="84"/>
          <w:szCs w:val="84"/>
          <w:lang w:val="en-US" w:eastAsia="zh-CN"/>
        </w:rPr>
      </w:pPr>
    </w:p>
    <w:p>
      <w:pPr>
        <w:jc w:val="center"/>
        <w:rPr>
          <w:rFonts w:hint="eastAsia" w:ascii="仿宋_GB2312" w:hAnsi="仿宋_GB2312" w:eastAsia="仿宋_GB2312" w:cs="仿宋_GB2312"/>
          <w:b/>
          <w:bCs/>
          <w:sz w:val="84"/>
          <w:szCs w:val="84"/>
          <w:lang w:val="en-US" w:eastAsia="zh-CN"/>
        </w:rPr>
      </w:pPr>
    </w:p>
    <w:p>
      <w:pPr>
        <w:jc w:val="center"/>
        <w:outlineLvl w:val="9"/>
        <w:rPr>
          <w:rFonts w:hint="default" w:ascii="仿宋_GB2312" w:hAnsi="仿宋_GB2312" w:eastAsia="仿宋_GB2312" w:cs="仿宋_GB2312"/>
          <w:b/>
          <w:bCs/>
          <w:sz w:val="84"/>
          <w:szCs w:val="84"/>
          <w:lang w:val="en-US" w:eastAsia="zh-CN"/>
        </w:rPr>
      </w:pPr>
      <w:bookmarkStart w:id="6" w:name="_Toc19308"/>
      <w:r>
        <w:rPr>
          <w:rFonts w:hint="eastAsia" w:ascii="仿宋_GB2312" w:hAnsi="仿宋_GB2312" w:eastAsia="仿宋_GB2312" w:cs="仿宋_GB2312"/>
          <w:b/>
          <w:bCs/>
          <w:sz w:val="84"/>
          <w:szCs w:val="84"/>
          <w:lang w:val="en-US" w:eastAsia="zh-CN"/>
        </w:rPr>
        <w:t>响 应 文 件</w:t>
      </w:r>
      <w:bookmarkEnd w:id="6"/>
    </w:p>
    <w:p>
      <w:pPr>
        <w:outlineLvl w:val="9"/>
        <w:rPr>
          <w:rFonts w:hint="eastAsia" w:asciiTheme="minorEastAsia" w:hAnsiTheme="minorEastAsia" w:eastAsiaTheme="minorEastAsia" w:cstheme="minorEastAsia"/>
          <w:sz w:val="24"/>
          <w:szCs w:val="24"/>
        </w:rPr>
      </w:pPr>
    </w:p>
    <w:p>
      <w:pPr>
        <w:outlineLvl w:val="9"/>
        <w:rPr>
          <w:rFonts w:hint="eastAsia" w:asciiTheme="minorEastAsia" w:hAnsiTheme="minorEastAsia" w:eastAsiaTheme="minorEastAsia" w:cstheme="minorEastAsia"/>
          <w:sz w:val="24"/>
          <w:szCs w:val="24"/>
        </w:rPr>
      </w:pPr>
    </w:p>
    <w:p>
      <w:pPr>
        <w:outlineLvl w:val="9"/>
        <w:rPr>
          <w:rFonts w:hint="eastAsia" w:asciiTheme="minorEastAsia" w:hAnsiTheme="minorEastAsia" w:eastAsiaTheme="minorEastAsia" w:cstheme="minorEastAsia"/>
          <w:sz w:val="24"/>
          <w:szCs w:val="24"/>
        </w:rPr>
      </w:pPr>
    </w:p>
    <w:p>
      <w:pPr>
        <w:outlineLvl w:val="9"/>
        <w:rPr>
          <w:rFonts w:hint="eastAsia" w:asciiTheme="minorEastAsia" w:hAnsiTheme="minorEastAsia" w:eastAsiaTheme="minorEastAsia" w:cstheme="minorEastAsia"/>
          <w:sz w:val="24"/>
          <w:szCs w:val="24"/>
        </w:rPr>
      </w:pPr>
    </w:p>
    <w:p>
      <w:pPr>
        <w:outlineLvl w:val="9"/>
        <w:rPr>
          <w:rFonts w:hint="eastAsia" w:asciiTheme="minorEastAsia" w:hAnsiTheme="minorEastAsia" w:eastAsiaTheme="minorEastAsia" w:cstheme="minorEastAsia"/>
          <w:sz w:val="24"/>
          <w:szCs w:val="24"/>
        </w:rPr>
      </w:pPr>
    </w:p>
    <w:p>
      <w:pPr>
        <w:outlineLvl w:val="9"/>
        <w:rPr>
          <w:rFonts w:hint="eastAsia" w:asciiTheme="minorEastAsia" w:hAnsiTheme="minorEastAsia" w:eastAsiaTheme="minorEastAsia" w:cstheme="minorEastAsia"/>
          <w:sz w:val="24"/>
          <w:szCs w:val="24"/>
        </w:rPr>
      </w:pPr>
    </w:p>
    <w:p>
      <w:pPr>
        <w:outlineLvl w:val="9"/>
        <w:rPr>
          <w:rFonts w:hint="eastAsia" w:asciiTheme="minorEastAsia" w:hAnsiTheme="minorEastAsia" w:eastAsiaTheme="minorEastAsia" w:cstheme="minorEastAsia"/>
          <w:sz w:val="24"/>
          <w:szCs w:val="24"/>
        </w:rPr>
      </w:pPr>
    </w:p>
    <w:p>
      <w:pPr>
        <w:outlineLvl w:val="9"/>
        <w:rPr>
          <w:rFonts w:hint="eastAsia" w:asciiTheme="minorEastAsia" w:hAnsiTheme="minorEastAsia" w:eastAsiaTheme="minorEastAsia" w:cstheme="minorEastAsia"/>
          <w:sz w:val="24"/>
          <w:szCs w:val="24"/>
        </w:rPr>
      </w:pPr>
    </w:p>
    <w:p>
      <w:pPr>
        <w:outlineLvl w:val="9"/>
        <w:rPr>
          <w:rFonts w:hint="eastAsia" w:asciiTheme="minorEastAsia" w:hAnsiTheme="minorEastAsia" w:eastAsiaTheme="minorEastAsia" w:cstheme="minorEastAsia"/>
          <w:sz w:val="24"/>
          <w:szCs w:val="24"/>
        </w:rPr>
      </w:pPr>
    </w:p>
    <w:p>
      <w:pPr>
        <w:outlineLvl w:val="9"/>
        <w:rPr>
          <w:rFonts w:hint="eastAsia" w:asciiTheme="minorEastAsia" w:hAnsiTheme="minorEastAsia" w:eastAsiaTheme="minorEastAsia" w:cstheme="minorEastAsia"/>
          <w:sz w:val="24"/>
          <w:szCs w:val="24"/>
        </w:rPr>
      </w:pPr>
    </w:p>
    <w:p>
      <w:pPr>
        <w:ind w:left="0" w:leftChars="0" w:firstLine="640" w:firstLineChars="200"/>
        <w:outlineLvl w:val="9"/>
        <w:rPr>
          <w:rFonts w:hint="default" w:ascii="仿宋_GB2312" w:hAnsi="仿宋_GB2312" w:eastAsia="仿宋_GB2312" w:cs="仿宋_GB2312"/>
          <w:sz w:val="32"/>
          <w:szCs w:val="32"/>
          <w:u w:val="single"/>
          <w:lang w:val="en-US" w:eastAsia="zh-CN"/>
        </w:rPr>
      </w:pPr>
      <w:bookmarkStart w:id="7" w:name="_Toc31366"/>
      <w:r>
        <w:rPr>
          <w:rFonts w:hint="eastAsia" w:ascii="仿宋_GB2312" w:hAnsi="仿宋_GB2312" w:eastAsia="仿宋_GB2312" w:cs="仿宋_GB2312"/>
          <w:sz w:val="32"/>
          <w:szCs w:val="32"/>
        </w:rPr>
        <w:t>项目名称：</w:t>
      </w:r>
      <w:bookmarkEnd w:id="7"/>
      <w:r>
        <w:rPr>
          <w:rFonts w:hint="eastAsia" w:ascii="仿宋_GB2312" w:hAnsi="仿宋_GB2312" w:eastAsia="仿宋_GB2312" w:cs="仿宋_GB2312"/>
          <w:sz w:val="32"/>
          <w:szCs w:val="32"/>
          <w:u w:val="single"/>
          <w:lang w:val="en-US" w:eastAsia="zh-CN"/>
        </w:rPr>
        <w:t xml:space="preserve">                       </w:t>
      </w:r>
    </w:p>
    <w:p>
      <w:pPr>
        <w:ind w:left="0" w:leftChars="0" w:firstLine="640" w:firstLineChars="200"/>
        <w:outlineLvl w:val="9"/>
        <w:rPr>
          <w:rFonts w:hint="default" w:ascii="仿宋_GB2312" w:hAnsi="仿宋_GB2312" w:eastAsia="仿宋_GB2312" w:cs="仿宋_GB2312"/>
          <w:sz w:val="32"/>
          <w:szCs w:val="32"/>
          <w:u w:val="single"/>
          <w:lang w:val="en-US" w:eastAsia="zh-CN"/>
        </w:rPr>
      </w:pPr>
      <w:bookmarkStart w:id="8" w:name="_Toc29285"/>
      <w:r>
        <w:rPr>
          <w:rFonts w:hint="eastAsia" w:ascii="仿宋_GB2312" w:hAnsi="仿宋_GB2312" w:eastAsia="仿宋_GB2312" w:cs="仿宋_GB2312"/>
          <w:sz w:val="32"/>
          <w:szCs w:val="32"/>
        </w:rPr>
        <w:t>项目编号：</w:t>
      </w:r>
      <w:bookmarkEnd w:id="8"/>
      <w:r>
        <w:rPr>
          <w:rFonts w:hint="eastAsia" w:ascii="仿宋_GB2312" w:hAnsi="仿宋_GB2312" w:eastAsia="仿宋_GB2312" w:cs="仿宋_GB2312"/>
          <w:sz w:val="32"/>
          <w:szCs w:val="32"/>
          <w:u w:val="single"/>
          <w:lang w:val="en-US" w:eastAsia="zh-CN"/>
        </w:rPr>
        <w:t xml:space="preserve">                       </w:t>
      </w:r>
    </w:p>
    <w:p>
      <w:pPr>
        <w:ind w:left="0" w:leftChars="0" w:firstLine="640" w:firstLineChars="200"/>
        <w:outlineLvl w:val="9"/>
        <w:rPr>
          <w:rFonts w:hint="eastAsia" w:ascii="仿宋_GB2312" w:hAnsi="仿宋_GB2312" w:eastAsia="仿宋_GB2312" w:cs="仿宋_GB2312"/>
          <w:sz w:val="32"/>
          <w:szCs w:val="32"/>
        </w:rPr>
      </w:pPr>
      <w:bookmarkStart w:id="9" w:name="_Toc16436"/>
      <w:r>
        <w:rPr>
          <w:rFonts w:hint="eastAsia" w:ascii="仿宋_GB2312" w:hAnsi="仿宋_GB2312" w:eastAsia="仿宋_GB2312" w:cs="仿宋_GB2312"/>
          <w:sz w:val="32"/>
          <w:szCs w:val="32"/>
        </w:rPr>
        <w:t>供 应 商：</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rPr>
        <w:t>（公章）</w:t>
      </w:r>
      <w:bookmarkEnd w:id="9"/>
    </w:p>
    <w:p>
      <w:pPr>
        <w:ind w:left="0" w:leftChars="0" w:firstLine="640" w:firstLineChars="200"/>
        <w:outlineLvl w:val="9"/>
        <w:rPr>
          <w:rFonts w:hint="default" w:ascii="仿宋_GB2312" w:hAnsi="仿宋_GB2312" w:eastAsia="仿宋_GB2312" w:cs="仿宋_GB2312"/>
          <w:sz w:val="32"/>
          <w:szCs w:val="32"/>
          <w:u w:val="single"/>
          <w:lang w:val="en-US" w:eastAsia="zh-CN"/>
        </w:rPr>
      </w:pPr>
      <w:bookmarkStart w:id="10" w:name="_Toc10166"/>
      <w:r>
        <w:rPr>
          <w:rFonts w:hint="eastAsia" w:ascii="仿宋_GB2312" w:hAnsi="仿宋_GB2312" w:eastAsia="仿宋_GB2312" w:cs="仿宋_GB2312"/>
          <w:sz w:val="32"/>
          <w:szCs w:val="32"/>
        </w:rPr>
        <w:t>时</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间：</w:t>
      </w:r>
      <w:bookmarkEnd w:id="10"/>
      <w:r>
        <w:rPr>
          <w:rFonts w:hint="eastAsia" w:ascii="仿宋_GB2312" w:hAnsi="仿宋_GB2312" w:eastAsia="仿宋_GB2312" w:cs="仿宋_GB2312"/>
          <w:sz w:val="32"/>
          <w:szCs w:val="32"/>
          <w:u w:val="single"/>
          <w:lang w:val="en-US" w:eastAsia="zh-CN"/>
        </w:rPr>
        <w:t xml:space="preserve">                       </w:t>
      </w:r>
    </w:p>
    <w:p>
      <w:pPr>
        <w:outlineLvl w:val="9"/>
        <w:rPr>
          <w:rFonts w:hint="eastAsia" w:ascii="仿宋_GB2312" w:hAnsi="仿宋_GB2312" w:eastAsia="仿宋_GB2312" w:cs="仿宋_GB2312"/>
          <w:sz w:val="32"/>
          <w:szCs w:val="32"/>
        </w:rPr>
      </w:pPr>
    </w:p>
    <w:p>
      <w:pPr>
        <w:outlineLvl w:val="9"/>
        <w:rPr>
          <w:rFonts w:hint="eastAsia" w:asciiTheme="minorEastAsia" w:hAnsiTheme="minorEastAsia" w:eastAsiaTheme="minorEastAsia" w:cstheme="minorEastAsia"/>
          <w:sz w:val="24"/>
          <w:szCs w:val="24"/>
        </w:rPr>
      </w:pPr>
    </w:p>
    <w:p>
      <w:pPr>
        <w:outlineLvl w:val="9"/>
        <w:rPr>
          <w:rFonts w:hint="eastAsia" w:asciiTheme="minorEastAsia" w:hAnsiTheme="minorEastAsia" w:eastAsiaTheme="minorEastAsia" w:cstheme="minorEastAsia"/>
          <w:sz w:val="24"/>
          <w:szCs w:val="24"/>
        </w:rPr>
      </w:pPr>
    </w:p>
    <w:p>
      <w:pPr>
        <w:outlineLvl w:val="9"/>
        <w:rPr>
          <w:rFonts w:hint="eastAsia" w:asciiTheme="minorEastAsia" w:hAnsiTheme="minorEastAsia" w:eastAsiaTheme="minorEastAsia" w:cstheme="minorEastAsia"/>
          <w:sz w:val="24"/>
          <w:szCs w:val="24"/>
        </w:rPr>
      </w:pPr>
    </w:p>
    <w:p>
      <w:pPr>
        <w:outlineLvl w:val="9"/>
        <w:rPr>
          <w:rFonts w:hint="eastAsia" w:asciiTheme="minorEastAsia" w:hAnsiTheme="minorEastAsia" w:eastAsiaTheme="minorEastAsia" w:cstheme="minorEastAsia"/>
          <w:sz w:val="24"/>
          <w:szCs w:val="24"/>
        </w:rPr>
      </w:pPr>
    </w:p>
    <w:p>
      <w:pPr>
        <w:outlineLvl w:val="9"/>
        <w:rPr>
          <w:rFonts w:hint="eastAsia" w:asciiTheme="minorEastAsia" w:hAnsiTheme="minorEastAsia" w:eastAsiaTheme="minorEastAsia" w:cstheme="minorEastAsia"/>
          <w:sz w:val="24"/>
          <w:szCs w:val="24"/>
        </w:rPr>
      </w:pPr>
    </w:p>
    <w:p>
      <w:pPr>
        <w:outlineLvl w:val="9"/>
        <w:rPr>
          <w:rFonts w:hint="eastAsia" w:asciiTheme="minorEastAsia" w:hAnsiTheme="minorEastAsia" w:eastAsiaTheme="minorEastAsia" w:cstheme="minorEastAsia"/>
          <w:sz w:val="24"/>
          <w:szCs w:val="24"/>
        </w:rPr>
      </w:pPr>
    </w:p>
    <w:p>
      <w:pPr>
        <w:jc w:val="center"/>
        <w:outlineLvl w:val="9"/>
        <w:rPr>
          <w:rFonts w:hint="eastAsia" w:asciiTheme="minorEastAsia" w:hAnsiTheme="minorEastAsia" w:eastAsiaTheme="minorEastAsia" w:cstheme="minorEastAsia"/>
          <w:sz w:val="24"/>
          <w:szCs w:val="24"/>
        </w:rPr>
      </w:pPr>
      <w:bookmarkStart w:id="11" w:name="_Toc27343"/>
      <w:r>
        <w:rPr>
          <w:rFonts w:hint="eastAsia" w:asciiTheme="minorEastAsia" w:hAnsiTheme="minorEastAsia" w:eastAsiaTheme="minorEastAsia" w:cstheme="minorEastAsia"/>
          <w:sz w:val="24"/>
          <w:szCs w:val="24"/>
        </w:rPr>
        <w:t>目录</w:t>
      </w:r>
      <w:bookmarkEnd w:id="11"/>
    </w:p>
    <w:p>
      <w:pPr>
        <w:jc w:val="both"/>
        <w:outlineLvl w:val="9"/>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第一部分</w:t>
      </w:r>
      <w:r>
        <w:rPr>
          <w:rFonts w:hint="eastAsia" w:asciiTheme="minorEastAsia" w:hAnsiTheme="minorEastAsia" w:cstheme="minorEastAsia"/>
          <w:b/>
          <w:bCs/>
          <w:sz w:val="21"/>
          <w:szCs w:val="21"/>
          <w:lang w:val="en-US" w:eastAsia="zh-CN"/>
        </w:rPr>
        <w:t xml:space="preserve"> </w:t>
      </w:r>
      <w:r>
        <w:rPr>
          <w:rFonts w:hint="eastAsia" w:asciiTheme="minorEastAsia" w:hAnsiTheme="minorEastAsia" w:eastAsiaTheme="minorEastAsia" w:cstheme="minorEastAsia"/>
          <w:b/>
          <w:bCs/>
          <w:sz w:val="21"/>
          <w:szCs w:val="21"/>
        </w:rPr>
        <w:t>资格证明文件--------------------------------------------------X</w:t>
      </w:r>
    </w:p>
    <w:p>
      <w:pPr>
        <w:numPr>
          <w:ilvl w:val="0"/>
          <w:numId w:val="0"/>
        </w:numPr>
        <w:ind w:firstLine="420" w:firstLineChars="200"/>
        <w:jc w:val="both"/>
        <w:rPr>
          <w:rFonts w:hint="eastAsia" w:asciiTheme="minorEastAsia" w:hAnsiTheme="minorEastAsia" w:eastAsiaTheme="minorEastAsia" w:cstheme="minorEastAsia"/>
          <w:sz w:val="21"/>
          <w:szCs w:val="21"/>
        </w:rPr>
      </w:pPr>
      <w:r>
        <w:rPr>
          <w:rFonts w:hint="eastAsia" w:asciiTheme="minorEastAsia" w:hAnsiTheme="minorEastAsia" w:cstheme="minorEastAsia"/>
          <w:sz w:val="21"/>
          <w:szCs w:val="21"/>
          <w:lang w:val="en-US" w:eastAsia="zh-CN"/>
        </w:rPr>
        <w:t>一、</w:t>
      </w:r>
      <w:r>
        <w:rPr>
          <w:rFonts w:hint="eastAsia" w:asciiTheme="minorEastAsia" w:hAnsiTheme="minorEastAsia" w:eastAsiaTheme="minorEastAsia" w:cstheme="minorEastAsia"/>
          <w:sz w:val="21"/>
          <w:szCs w:val="21"/>
        </w:rPr>
        <w:t>营业执照等主体资格证明文件--------------------X</w:t>
      </w:r>
    </w:p>
    <w:p>
      <w:pPr>
        <w:numPr>
          <w:ilvl w:val="0"/>
          <w:numId w:val="0"/>
        </w:numPr>
        <w:ind w:firstLine="420" w:firstLineChars="20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二、财务状况报告--------------------------------------------------X</w:t>
      </w:r>
    </w:p>
    <w:p>
      <w:pPr>
        <w:ind w:left="0" w:leftChars="0" w:firstLine="489" w:firstLineChars="233"/>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三、社保缴纳证明--------------------------------------------------X</w:t>
      </w:r>
    </w:p>
    <w:p>
      <w:pPr>
        <w:ind w:left="0" w:leftChars="0" w:firstLine="489" w:firstLineChars="233"/>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四、税收缴纳证明--------------------------------------------------X</w:t>
      </w:r>
    </w:p>
    <w:p>
      <w:pPr>
        <w:ind w:left="0" w:leftChars="0" w:firstLine="489" w:firstLineChars="233"/>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五、信用记录--------------------------------------------------X</w:t>
      </w:r>
    </w:p>
    <w:p>
      <w:pPr>
        <w:ind w:left="0" w:leftChars="0" w:firstLine="489" w:firstLineChars="233"/>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六、控股管理关系--------------------------------------------------X</w:t>
      </w:r>
    </w:p>
    <w:p>
      <w:pPr>
        <w:ind w:left="0" w:leftChars="0" w:firstLine="489" w:firstLineChars="233"/>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七、书面声明--------------------------------------------------X</w:t>
      </w:r>
    </w:p>
    <w:p>
      <w:pPr>
        <w:ind w:left="0" w:leftChars="0" w:firstLine="489" w:firstLineChars="233"/>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八、法定代表人授权委托书--------------------------------------------------X</w:t>
      </w:r>
    </w:p>
    <w:p>
      <w:pPr>
        <w:ind w:left="0" w:leftChars="0" w:firstLine="489" w:firstLineChars="233"/>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九、特定资格要求--------------------------------------------------X</w:t>
      </w:r>
    </w:p>
    <w:p>
      <w:pPr>
        <w:ind w:left="0" w:leftChars="0" w:firstLine="489" w:firstLineChars="233"/>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十、本项目不接受联合体响应，不允许分包----------------------------------X</w:t>
      </w:r>
    </w:p>
    <w:p>
      <w:pPr>
        <w:jc w:val="both"/>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第二部分</w:t>
      </w:r>
      <w:r>
        <w:rPr>
          <w:rFonts w:hint="eastAsia" w:asciiTheme="minorEastAsia" w:hAnsiTheme="minorEastAsia" w:cstheme="minorEastAsia"/>
          <w:b/>
          <w:bCs/>
          <w:sz w:val="21"/>
          <w:szCs w:val="21"/>
          <w:lang w:val="en-US" w:eastAsia="zh-CN"/>
        </w:rPr>
        <w:t xml:space="preserve"> </w:t>
      </w:r>
      <w:r>
        <w:rPr>
          <w:rFonts w:hint="eastAsia" w:asciiTheme="minorEastAsia" w:hAnsiTheme="minorEastAsia" w:eastAsiaTheme="minorEastAsia" w:cstheme="minorEastAsia"/>
          <w:b/>
          <w:bCs/>
          <w:sz w:val="21"/>
          <w:szCs w:val="21"/>
        </w:rPr>
        <w:t>符合性证明文--------------------------------------------------X</w:t>
      </w:r>
    </w:p>
    <w:p>
      <w:pPr>
        <w:ind w:left="0" w:leftChars="0" w:firstLine="489" w:firstLineChars="233"/>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一、响应函格式--------------------------------------------------X</w:t>
      </w:r>
    </w:p>
    <w:p>
      <w:pPr>
        <w:ind w:left="0" w:leftChars="0" w:firstLine="489" w:firstLineChars="233"/>
        <w:jc w:val="both"/>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rPr>
        <w:t>二、</w:t>
      </w:r>
      <w:r>
        <w:rPr>
          <w:rFonts w:hint="eastAsia" w:asciiTheme="minorEastAsia" w:hAnsiTheme="minorEastAsia" w:eastAsiaTheme="minorEastAsia" w:cstheme="minorEastAsia"/>
          <w:sz w:val="21"/>
          <w:szCs w:val="21"/>
          <w:highlight w:val="none"/>
        </w:rPr>
        <w:t>第一次磋商报价表--------------------------------------------------X</w:t>
      </w:r>
    </w:p>
    <w:p>
      <w:pPr>
        <w:ind w:left="0" w:leftChars="0" w:firstLine="489" w:firstLineChars="233"/>
        <w:jc w:val="both"/>
        <w:rPr>
          <w:rFonts w:hint="eastAsia" w:asciiTheme="minorEastAsia" w:hAnsiTheme="minorEastAsia" w:eastAsiaTheme="minorEastAsia" w:cstheme="minorEastAsia"/>
          <w:sz w:val="21"/>
          <w:szCs w:val="21"/>
          <w:highlight w:val="none"/>
        </w:rPr>
      </w:pPr>
      <w:r>
        <w:rPr>
          <w:rFonts w:hint="eastAsia" w:asciiTheme="minorEastAsia" w:hAnsiTheme="minorEastAsia" w:cstheme="minorEastAsia"/>
          <w:sz w:val="21"/>
          <w:szCs w:val="21"/>
          <w:highlight w:val="none"/>
          <w:lang w:eastAsia="zh-CN"/>
        </w:rPr>
        <w:t>（</w:t>
      </w:r>
      <w:r>
        <w:rPr>
          <w:rFonts w:hint="eastAsia" w:asciiTheme="minorEastAsia" w:hAnsiTheme="minorEastAsia" w:cstheme="minorEastAsia"/>
          <w:sz w:val="21"/>
          <w:szCs w:val="21"/>
          <w:highlight w:val="none"/>
          <w:lang w:val="en-US" w:eastAsia="zh-CN"/>
        </w:rPr>
        <w:t>一</w:t>
      </w:r>
      <w:r>
        <w:rPr>
          <w:rFonts w:hint="eastAsia" w:asciiTheme="minorEastAsia" w:hAnsiTheme="minorEastAsia" w:cstheme="minorEastAsia"/>
          <w:sz w:val="21"/>
          <w:szCs w:val="21"/>
          <w:highlight w:val="none"/>
          <w:lang w:eastAsia="zh-CN"/>
        </w:rPr>
        <w:t>）</w:t>
      </w:r>
      <w:r>
        <w:rPr>
          <w:rFonts w:hint="eastAsia" w:asciiTheme="minorEastAsia" w:hAnsiTheme="minorEastAsia" w:eastAsiaTheme="minorEastAsia" w:cstheme="minorEastAsia"/>
          <w:sz w:val="21"/>
          <w:szCs w:val="21"/>
          <w:highlight w:val="none"/>
        </w:rPr>
        <w:t>分项报价表--------------------------------------------------X</w:t>
      </w:r>
    </w:p>
    <w:p>
      <w:pPr>
        <w:ind w:left="0" w:leftChars="0" w:firstLine="489" w:firstLineChars="233"/>
        <w:jc w:val="both"/>
        <w:rPr>
          <w:rFonts w:hint="eastAsia" w:asciiTheme="minorEastAsia" w:hAnsiTheme="minorEastAsia" w:eastAsiaTheme="minorEastAsia" w:cstheme="minorEastAsia"/>
          <w:sz w:val="21"/>
          <w:szCs w:val="21"/>
          <w:highlight w:val="none"/>
        </w:rPr>
      </w:pPr>
      <w:r>
        <w:rPr>
          <w:rFonts w:hint="eastAsia" w:asciiTheme="minorEastAsia" w:hAnsiTheme="minorEastAsia" w:cstheme="minorEastAsia"/>
          <w:sz w:val="21"/>
          <w:szCs w:val="21"/>
          <w:highlight w:val="none"/>
          <w:lang w:eastAsia="zh-CN"/>
        </w:rPr>
        <w:t>（</w:t>
      </w:r>
      <w:r>
        <w:rPr>
          <w:rFonts w:hint="eastAsia" w:asciiTheme="minorEastAsia" w:hAnsiTheme="minorEastAsia" w:cstheme="minorEastAsia"/>
          <w:sz w:val="21"/>
          <w:szCs w:val="21"/>
          <w:highlight w:val="none"/>
          <w:lang w:val="en-US" w:eastAsia="zh-CN"/>
        </w:rPr>
        <w:t>二</w:t>
      </w:r>
      <w:r>
        <w:rPr>
          <w:rFonts w:hint="eastAsia" w:asciiTheme="minorEastAsia" w:hAnsiTheme="minorEastAsia" w:cstheme="minorEastAsia"/>
          <w:sz w:val="21"/>
          <w:szCs w:val="21"/>
          <w:highlight w:val="none"/>
          <w:lang w:eastAsia="zh-CN"/>
        </w:rPr>
        <w:t>）</w:t>
      </w:r>
      <w:r>
        <w:rPr>
          <w:rFonts w:hint="eastAsia" w:asciiTheme="minorEastAsia" w:hAnsiTheme="minorEastAsia" w:cstheme="minorEastAsia"/>
          <w:sz w:val="21"/>
          <w:szCs w:val="21"/>
          <w:highlight w:val="none"/>
          <w:lang w:val="en-US" w:eastAsia="zh-CN"/>
        </w:rPr>
        <w:t>商务响应偏离表</w:t>
      </w:r>
      <w:r>
        <w:rPr>
          <w:rFonts w:hint="eastAsia" w:asciiTheme="minorEastAsia" w:hAnsiTheme="minorEastAsia" w:eastAsiaTheme="minorEastAsia" w:cstheme="minorEastAsia"/>
          <w:sz w:val="21"/>
          <w:szCs w:val="21"/>
          <w:highlight w:val="none"/>
        </w:rPr>
        <w:t>--------------------------------------------------X</w:t>
      </w:r>
    </w:p>
    <w:p>
      <w:pPr>
        <w:ind w:left="0" w:leftChars="0" w:firstLine="489" w:firstLineChars="233"/>
        <w:jc w:val="both"/>
        <w:rPr>
          <w:rFonts w:hint="eastAsia" w:asciiTheme="minorEastAsia" w:hAnsiTheme="minorEastAsia" w:eastAsiaTheme="minorEastAsia" w:cstheme="minorEastAsia"/>
          <w:sz w:val="21"/>
          <w:szCs w:val="21"/>
          <w:highlight w:val="none"/>
        </w:rPr>
      </w:pPr>
      <w:r>
        <w:rPr>
          <w:rFonts w:hint="eastAsia" w:asciiTheme="minorEastAsia" w:hAnsiTheme="minorEastAsia" w:cstheme="minorEastAsia"/>
          <w:sz w:val="21"/>
          <w:szCs w:val="21"/>
          <w:highlight w:val="none"/>
          <w:lang w:eastAsia="zh-CN"/>
        </w:rPr>
        <w:t>（</w:t>
      </w:r>
      <w:r>
        <w:rPr>
          <w:rFonts w:hint="eastAsia" w:asciiTheme="minorEastAsia" w:hAnsiTheme="minorEastAsia" w:cstheme="minorEastAsia"/>
          <w:sz w:val="21"/>
          <w:szCs w:val="21"/>
          <w:highlight w:val="none"/>
          <w:lang w:val="en-US" w:eastAsia="zh-CN"/>
        </w:rPr>
        <w:t>三</w:t>
      </w:r>
      <w:r>
        <w:rPr>
          <w:rFonts w:hint="eastAsia" w:asciiTheme="minorEastAsia" w:hAnsiTheme="minorEastAsia" w:cstheme="minorEastAsia"/>
          <w:sz w:val="21"/>
          <w:szCs w:val="21"/>
          <w:highlight w:val="none"/>
          <w:lang w:eastAsia="zh-CN"/>
        </w:rPr>
        <w:t>）</w:t>
      </w:r>
      <w:r>
        <w:rPr>
          <w:rFonts w:hint="eastAsia" w:asciiTheme="minorEastAsia" w:hAnsiTheme="minorEastAsia" w:cstheme="minorEastAsia"/>
          <w:sz w:val="21"/>
          <w:szCs w:val="21"/>
          <w:highlight w:val="none"/>
          <w:lang w:val="en-US" w:eastAsia="zh-CN"/>
        </w:rPr>
        <w:t>技术服务响应偏离表</w:t>
      </w:r>
      <w:r>
        <w:rPr>
          <w:rFonts w:hint="eastAsia" w:asciiTheme="minorEastAsia" w:hAnsiTheme="minorEastAsia" w:eastAsiaTheme="minorEastAsia" w:cstheme="minorEastAsia"/>
          <w:sz w:val="21"/>
          <w:szCs w:val="21"/>
          <w:highlight w:val="none"/>
        </w:rPr>
        <w:t>--------------------------------------------------X</w:t>
      </w:r>
    </w:p>
    <w:p>
      <w:pPr>
        <w:ind w:left="0" w:leftChars="0" w:firstLine="489" w:firstLineChars="233"/>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highlight w:val="none"/>
        </w:rPr>
        <w:t>三、供应商承诺书------------------------------------------</w:t>
      </w:r>
      <w:r>
        <w:rPr>
          <w:rFonts w:hint="eastAsia" w:asciiTheme="minorEastAsia" w:hAnsiTheme="minorEastAsia" w:eastAsiaTheme="minorEastAsia" w:cstheme="minorEastAsia"/>
          <w:sz w:val="21"/>
          <w:szCs w:val="21"/>
        </w:rPr>
        <w:t>--------X</w:t>
      </w:r>
    </w:p>
    <w:p>
      <w:pPr>
        <w:ind w:left="0" w:leftChars="0" w:firstLine="489" w:firstLineChars="233"/>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（一）质量安全责任承诺书--------------------------------------------------X</w:t>
      </w:r>
    </w:p>
    <w:p>
      <w:pPr>
        <w:ind w:left="0" w:leftChars="0" w:firstLine="489" w:firstLineChars="233"/>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（二）拒绝政府采购领域商业贿赂承诺书--------------------------------X</w:t>
      </w:r>
    </w:p>
    <w:p>
      <w:pPr>
        <w:ind w:left="0" w:leftChars="0" w:firstLine="489" w:firstLineChars="233"/>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四、实质性条款响应--------------------------------------------------X</w:t>
      </w:r>
    </w:p>
    <w:p>
      <w:pPr>
        <w:ind w:left="0" w:leftChars="0" w:firstLine="489" w:firstLineChars="233"/>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五、合同草案条款响应--------------------------------------------------X</w:t>
      </w:r>
    </w:p>
    <w:p>
      <w:pPr>
        <w:jc w:val="both"/>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第三部分</w:t>
      </w:r>
      <w:r>
        <w:rPr>
          <w:rFonts w:hint="eastAsia" w:asciiTheme="minorEastAsia" w:hAnsiTheme="minorEastAsia" w:cstheme="minorEastAsia"/>
          <w:b/>
          <w:bCs/>
          <w:sz w:val="21"/>
          <w:szCs w:val="21"/>
          <w:lang w:val="en-US" w:eastAsia="zh-CN"/>
        </w:rPr>
        <w:t xml:space="preserve"> </w:t>
      </w:r>
      <w:r>
        <w:rPr>
          <w:rFonts w:hint="eastAsia" w:asciiTheme="minorEastAsia" w:hAnsiTheme="minorEastAsia" w:eastAsiaTheme="minorEastAsia" w:cstheme="minorEastAsia"/>
          <w:b/>
          <w:bCs/>
          <w:sz w:val="21"/>
          <w:szCs w:val="21"/>
        </w:rPr>
        <w:t>响应方案--------------------------------------------------X</w:t>
      </w:r>
    </w:p>
    <w:p>
      <w:pPr>
        <w:ind w:left="0" w:leftChars="0" w:firstLine="489" w:firstLineChars="233"/>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一、供应商性质及概况--------------------------------------------------X</w:t>
      </w:r>
    </w:p>
    <w:p>
      <w:pPr>
        <w:ind w:left="0" w:leftChars="0" w:firstLine="489" w:firstLineChars="233"/>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二、响应方案--------------------------------------------------X</w:t>
      </w:r>
    </w:p>
    <w:p>
      <w:pPr>
        <w:ind w:left="0" w:leftChars="0" w:firstLine="489" w:firstLineChars="233"/>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三、参考样表X--------------------------------------------------X</w:t>
      </w:r>
    </w:p>
    <w:p>
      <w:pPr>
        <w:rPr>
          <w:rFonts w:hint="eastAsia" w:asciiTheme="minorEastAsia" w:hAnsiTheme="minorEastAsia" w:eastAsiaTheme="minorEastAsia" w:cstheme="minorEastAsia"/>
          <w:sz w:val="24"/>
          <w:szCs w:val="24"/>
        </w:rPr>
      </w:pPr>
    </w:p>
    <w:p>
      <w:pPr>
        <w:rPr>
          <w:rFonts w:hint="eastAsia" w:asciiTheme="minorEastAsia" w:hAnsiTheme="minorEastAsia" w:eastAsiaTheme="minorEastAsia" w:cstheme="minorEastAsia"/>
          <w:sz w:val="24"/>
          <w:szCs w:val="24"/>
        </w:rPr>
      </w:pPr>
    </w:p>
    <w:p>
      <w:pPr>
        <w:rPr>
          <w:rFonts w:hint="eastAsia" w:asciiTheme="minorEastAsia" w:hAnsiTheme="minorEastAsia" w:eastAsiaTheme="minorEastAsia" w:cstheme="minorEastAsia"/>
          <w:sz w:val="24"/>
          <w:szCs w:val="24"/>
        </w:rPr>
      </w:pPr>
    </w:p>
    <w:p>
      <w:pPr>
        <w:rPr>
          <w:rFonts w:hint="eastAsia" w:asciiTheme="minorEastAsia" w:hAnsiTheme="minorEastAsia" w:eastAsiaTheme="minorEastAsia" w:cstheme="minorEastAsia"/>
          <w:sz w:val="24"/>
          <w:szCs w:val="24"/>
        </w:rPr>
      </w:pPr>
    </w:p>
    <w:p>
      <w:pPr>
        <w:rPr>
          <w:rFonts w:hint="eastAsia" w:asciiTheme="minorEastAsia" w:hAnsiTheme="minorEastAsia" w:eastAsiaTheme="minorEastAsia" w:cstheme="minorEastAsia"/>
          <w:sz w:val="24"/>
          <w:szCs w:val="24"/>
        </w:rPr>
      </w:pPr>
    </w:p>
    <w:p>
      <w:pPr>
        <w:rPr>
          <w:rFonts w:hint="eastAsia" w:asciiTheme="minorEastAsia" w:hAnsiTheme="minorEastAsia" w:eastAsiaTheme="minorEastAsia" w:cstheme="minorEastAsia"/>
          <w:sz w:val="24"/>
          <w:szCs w:val="24"/>
        </w:rPr>
      </w:pPr>
    </w:p>
    <w:p>
      <w:pPr>
        <w:rPr>
          <w:rFonts w:hint="eastAsia" w:asciiTheme="minorEastAsia" w:hAnsiTheme="minorEastAsia" w:eastAsiaTheme="minorEastAsia" w:cstheme="minorEastAsia"/>
          <w:sz w:val="24"/>
          <w:szCs w:val="24"/>
        </w:rPr>
      </w:pPr>
    </w:p>
    <w:p>
      <w:pPr>
        <w:rPr>
          <w:rFonts w:hint="eastAsia" w:asciiTheme="minorEastAsia" w:hAnsiTheme="minorEastAsia" w:eastAsiaTheme="minorEastAsia" w:cstheme="minorEastAsia"/>
          <w:sz w:val="24"/>
          <w:szCs w:val="24"/>
        </w:rPr>
      </w:pPr>
    </w:p>
    <w:p>
      <w:pPr>
        <w:rPr>
          <w:rFonts w:hint="eastAsia" w:asciiTheme="minorEastAsia" w:hAnsiTheme="minorEastAsia" w:eastAsiaTheme="minorEastAsia" w:cstheme="minorEastAsia"/>
          <w:sz w:val="24"/>
          <w:szCs w:val="24"/>
        </w:rPr>
      </w:pPr>
    </w:p>
    <w:p>
      <w:pPr>
        <w:rPr>
          <w:rFonts w:hint="eastAsia" w:asciiTheme="minorEastAsia" w:hAnsiTheme="minorEastAsia" w:eastAsiaTheme="minorEastAsia" w:cstheme="minorEastAsia"/>
          <w:sz w:val="24"/>
          <w:szCs w:val="24"/>
        </w:rPr>
      </w:pPr>
    </w:p>
    <w:p>
      <w:pPr>
        <w:rPr>
          <w:rFonts w:hint="eastAsia" w:asciiTheme="minorEastAsia" w:hAnsiTheme="minorEastAsia" w:eastAsiaTheme="minorEastAsia" w:cstheme="minorEastAsia"/>
          <w:sz w:val="24"/>
          <w:szCs w:val="24"/>
        </w:rPr>
      </w:pPr>
    </w:p>
    <w:p>
      <w:pPr>
        <w:rPr>
          <w:rFonts w:hint="eastAsia" w:asciiTheme="minorEastAsia" w:hAnsiTheme="minorEastAsia" w:eastAsiaTheme="minorEastAsia" w:cstheme="minorEastAsia"/>
          <w:sz w:val="24"/>
          <w:szCs w:val="24"/>
        </w:rPr>
      </w:pPr>
    </w:p>
    <w:p>
      <w:pPr>
        <w:rPr>
          <w:rFonts w:hint="eastAsia" w:asciiTheme="minorEastAsia" w:hAnsiTheme="minorEastAsia" w:eastAsiaTheme="minorEastAsia" w:cstheme="minorEastAsia"/>
          <w:sz w:val="24"/>
          <w:szCs w:val="24"/>
        </w:rPr>
      </w:pPr>
    </w:p>
    <w:p>
      <w:pPr>
        <w:rPr>
          <w:rFonts w:hint="eastAsia" w:asciiTheme="minorEastAsia" w:hAnsiTheme="minorEastAsia" w:eastAsiaTheme="minorEastAsia" w:cstheme="minorEastAsia"/>
          <w:sz w:val="24"/>
          <w:szCs w:val="24"/>
        </w:rPr>
      </w:pPr>
    </w:p>
    <w:p>
      <w:pPr>
        <w:jc w:val="center"/>
        <w:outlineLvl w:val="1"/>
        <w:rPr>
          <w:rFonts w:hint="eastAsia" w:asciiTheme="minorEastAsia" w:hAnsiTheme="minorEastAsia" w:eastAsiaTheme="minorEastAsia" w:cstheme="minorEastAsia"/>
          <w:b/>
          <w:bCs/>
          <w:sz w:val="24"/>
          <w:szCs w:val="24"/>
        </w:rPr>
      </w:pPr>
      <w:bookmarkStart w:id="12" w:name="_Toc12120"/>
      <w:r>
        <w:rPr>
          <w:rFonts w:hint="eastAsia" w:asciiTheme="minorEastAsia" w:hAnsiTheme="minorEastAsia" w:eastAsiaTheme="minorEastAsia" w:cstheme="minorEastAsia"/>
          <w:b/>
          <w:bCs/>
          <w:sz w:val="24"/>
          <w:szCs w:val="24"/>
        </w:rPr>
        <w:t>第一部分</w:t>
      </w:r>
      <w:r>
        <w:rPr>
          <w:rFonts w:hint="eastAsia" w:asciiTheme="minorEastAsia" w:hAnsiTheme="minorEastAsia" w:cstheme="minorEastAsia"/>
          <w:b/>
          <w:bCs/>
          <w:sz w:val="24"/>
          <w:szCs w:val="24"/>
          <w:lang w:val="en-US" w:eastAsia="zh-CN"/>
        </w:rPr>
        <w:t xml:space="preserve"> </w:t>
      </w:r>
      <w:r>
        <w:rPr>
          <w:rFonts w:hint="eastAsia" w:asciiTheme="minorEastAsia" w:hAnsiTheme="minorEastAsia" w:eastAsiaTheme="minorEastAsia" w:cstheme="minorEastAsia"/>
          <w:b/>
          <w:bCs/>
          <w:sz w:val="24"/>
          <w:szCs w:val="24"/>
        </w:rPr>
        <w:t>资格证明文件</w:t>
      </w:r>
      <w:bookmarkEnd w:id="12"/>
    </w:p>
    <w:p>
      <w:pPr>
        <w:spacing w:line="360" w:lineRule="auto"/>
        <w:ind w:left="0" w:leftChars="0" w:firstLine="420" w:firstLineChars="17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供应商应按照磋商文件第一章第十项所列“供应商资格要求”逐一提供全部资格证明文件。缺少其中任何一项，其响应文件将被视为无效文件。</w:t>
      </w:r>
    </w:p>
    <w:p>
      <w:pPr>
        <w:spacing w:line="360" w:lineRule="auto"/>
        <w:ind w:left="0" w:leftChars="0" w:firstLine="420" w:firstLineChars="17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其中，《供应商信用记录书面声明函》《控股管理关系》《书面声明》《法定代表人授权委托书》《非联合体不分包投标声明》须按下文给定格式填写。特别说明，法定代表人亲自参加磋商的，可不提供法定代表人授权委托书，但须提供其本人身份证（正反面）复印件。</w:t>
      </w:r>
    </w:p>
    <w:p>
      <w:pPr>
        <w:spacing w:line="360" w:lineRule="auto"/>
        <w:ind w:left="0" w:leftChars="0" w:firstLine="420" w:firstLineChars="175"/>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一、营业执照等主体资格证明文件</w:t>
      </w:r>
    </w:p>
    <w:p>
      <w:pPr>
        <w:spacing w:line="360" w:lineRule="auto"/>
        <w:ind w:left="0" w:leftChars="0" w:firstLine="420" w:firstLineChars="175"/>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二、财务状况报告</w:t>
      </w:r>
    </w:p>
    <w:p>
      <w:pPr>
        <w:spacing w:line="360" w:lineRule="auto"/>
        <w:ind w:left="0" w:leftChars="0" w:firstLine="420" w:firstLineChars="175"/>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三、社保缴纳证明</w:t>
      </w:r>
    </w:p>
    <w:p>
      <w:pPr>
        <w:spacing w:line="360" w:lineRule="auto"/>
        <w:ind w:left="0" w:leftChars="0" w:firstLine="420" w:firstLineChars="175"/>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四、税收缴纳证明</w:t>
      </w:r>
    </w:p>
    <w:p>
      <w:pPr>
        <w:spacing w:line="360" w:lineRule="auto"/>
        <w:ind w:left="0" w:leftChars="0" w:firstLine="420" w:firstLineChars="175"/>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五、信用记录</w:t>
      </w:r>
    </w:p>
    <w:p>
      <w:pPr>
        <w:spacing w:line="360" w:lineRule="auto"/>
        <w:ind w:left="0" w:leftChars="0" w:firstLine="420" w:firstLineChars="175"/>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六、控股管理关系</w:t>
      </w:r>
    </w:p>
    <w:p>
      <w:pPr>
        <w:spacing w:line="360" w:lineRule="auto"/>
        <w:ind w:left="0" w:leftChars="0" w:firstLine="420" w:firstLineChars="175"/>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七、书面声明</w:t>
      </w:r>
    </w:p>
    <w:p>
      <w:pPr>
        <w:spacing w:line="360" w:lineRule="auto"/>
        <w:ind w:left="0" w:leftChars="0" w:firstLine="420" w:firstLineChars="175"/>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八、法定代表人授权委托书</w:t>
      </w:r>
    </w:p>
    <w:p>
      <w:pPr>
        <w:spacing w:line="360" w:lineRule="auto"/>
        <w:ind w:left="0" w:leftChars="0" w:firstLine="420" w:firstLineChars="175"/>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九、特定资格要求</w:t>
      </w:r>
    </w:p>
    <w:p>
      <w:pPr>
        <w:spacing w:line="360" w:lineRule="auto"/>
        <w:ind w:left="0" w:leftChars="0" w:firstLine="420" w:firstLineChars="175"/>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十、本项目不接受联合体响应，不允许分包</w:t>
      </w:r>
    </w:p>
    <w:p>
      <w:pPr>
        <w:spacing w:line="360" w:lineRule="auto"/>
        <w:ind w:left="0" w:leftChars="0" w:firstLine="420" w:firstLineChars="175"/>
        <w:outlineLvl w:val="9"/>
        <w:rPr>
          <w:rFonts w:hint="eastAsia" w:asciiTheme="minorEastAsia" w:hAnsiTheme="minorEastAsia" w:eastAsiaTheme="minorEastAsia" w:cstheme="minorEastAsia"/>
          <w:sz w:val="24"/>
          <w:szCs w:val="24"/>
        </w:rPr>
      </w:pPr>
    </w:p>
    <w:p>
      <w:pPr>
        <w:spacing w:line="360" w:lineRule="auto"/>
        <w:ind w:left="0" w:leftChars="0" w:firstLine="420" w:firstLineChars="175"/>
        <w:outlineLvl w:val="9"/>
        <w:rPr>
          <w:rFonts w:hint="eastAsia" w:asciiTheme="minorEastAsia" w:hAnsiTheme="minorEastAsia" w:eastAsiaTheme="minorEastAsia" w:cstheme="minorEastAsia"/>
          <w:sz w:val="24"/>
          <w:szCs w:val="24"/>
        </w:rPr>
      </w:pPr>
    </w:p>
    <w:p>
      <w:pPr>
        <w:spacing w:line="360" w:lineRule="auto"/>
        <w:ind w:left="0" w:leftChars="0" w:firstLine="420" w:firstLineChars="175"/>
        <w:outlineLvl w:val="9"/>
        <w:rPr>
          <w:rFonts w:hint="eastAsia" w:asciiTheme="minorEastAsia" w:hAnsiTheme="minorEastAsia" w:eastAsiaTheme="minorEastAsia" w:cstheme="minorEastAsia"/>
          <w:sz w:val="24"/>
          <w:szCs w:val="24"/>
        </w:rPr>
      </w:pPr>
    </w:p>
    <w:p>
      <w:pPr>
        <w:spacing w:line="360" w:lineRule="auto"/>
        <w:ind w:left="0" w:leftChars="0" w:firstLine="420" w:firstLineChars="175"/>
        <w:outlineLvl w:val="9"/>
        <w:rPr>
          <w:rFonts w:hint="eastAsia" w:asciiTheme="minorEastAsia" w:hAnsiTheme="minorEastAsia" w:eastAsiaTheme="minorEastAsia" w:cstheme="minorEastAsia"/>
          <w:sz w:val="24"/>
          <w:szCs w:val="24"/>
        </w:rPr>
      </w:pPr>
    </w:p>
    <w:p>
      <w:pPr>
        <w:spacing w:line="360" w:lineRule="auto"/>
        <w:ind w:left="0" w:leftChars="0" w:firstLine="420" w:firstLineChars="175"/>
        <w:outlineLvl w:val="9"/>
        <w:rPr>
          <w:rFonts w:hint="eastAsia" w:asciiTheme="minorEastAsia" w:hAnsiTheme="minorEastAsia" w:eastAsiaTheme="minorEastAsia" w:cstheme="minorEastAsia"/>
          <w:sz w:val="24"/>
          <w:szCs w:val="24"/>
        </w:rPr>
      </w:pPr>
    </w:p>
    <w:p>
      <w:pPr>
        <w:spacing w:line="360" w:lineRule="auto"/>
        <w:ind w:left="0" w:leftChars="0" w:firstLine="420" w:firstLineChars="175"/>
        <w:outlineLvl w:val="9"/>
        <w:rPr>
          <w:rFonts w:hint="eastAsia" w:asciiTheme="minorEastAsia" w:hAnsiTheme="minorEastAsia" w:eastAsiaTheme="minorEastAsia" w:cstheme="minorEastAsia"/>
          <w:sz w:val="24"/>
          <w:szCs w:val="24"/>
        </w:rPr>
      </w:pPr>
    </w:p>
    <w:p>
      <w:pPr>
        <w:spacing w:line="360" w:lineRule="auto"/>
        <w:ind w:left="0" w:leftChars="0" w:firstLine="420" w:firstLineChars="175"/>
        <w:outlineLvl w:val="9"/>
        <w:rPr>
          <w:rFonts w:hint="eastAsia" w:asciiTheme="minorEastAsia" w:hAnsiTheme="minorEastAsia" w:eastAsiaTheme="minorEastAsia" w:cstheme="minorEastAsia"/>
          <w:sz w:val="24"/>
          <w:szCs w:val="24"/>
        </w:rPr>
      </w:pPr>
    </w:p>
    <w:p>
      <w:pPr>
        <w:spacing w:line="360" w:lineRule="auto"/>
        <w:ind w:left="0" w:leftChars="0" w:firstLine="420" w:firstLineChars="175"/>
        <w:outlineLvl w:val="9"/>
        <w:rPr>
          <w:rFonts w:hint="eastAsia" w:asciiTheme="minorEastAsia" w:hAnsiTheme="minorEastAsia" w:eastAsiaTheme="minorEastAsia" w:cstheme="minorEastAsia"/>
          <w:sz w:val="24"/>
          <w:szCs w:val="24"/>
        </w:rPr>
      </w:pPr>
    </w:p>
    <w:p>
      <w:pPr>
        <w:spacing w:line="360" w:lineRule="auto"/>
        <w:ind w:left="0" w:leftChars="0" w:firstLine="420" w:firstLineChars="175"/>
        <w:outlineLvl w:val="9"/>
        <w:rPr>
          <w:rFonts w:hint="eastAsia" w:asciiTheme="minorEastAsia" w:hAnsiTheme="minorEastAsia" w:eastAsiaTheme="minorEastAsia" w:cstheme="minorEastAsia"/>
          <w:sz w:val="24"/>
          <w:szCs w:val="24"/>
        </w:rPr>
      </w:pPr>
    </w:p>
    <w:p>
      <w:pPr>
        <w:spacing w:line="360" w:lineRule="auto"/>
        <w:ind w:left="0" w:leftChars="0" w:firstLine="420" w:firstLineChars="175"/>
        <w:outlineLvl w:val="9"/>
        <w:rPr>
          <w:rFonts w:hint="eastAsia" w:asciiTheme="minorEastAsia" w:hAnsiTheme="minorEastAsia" w:eastAsiaTheme="minorEastAsia" w:cstheme="minorEastAsia"/>
          <w:sz w:val="24"/>
          <w:szCs w:val="24"/>
        </w:rPr>
      </w:pPr>
    </w:p>
    <w:p>
      <w:pPr>
        <w:spacing w:line="360" w:lineRule="auto"/>
        <w:ind w:left="0" w:leftChars="0" w:firstLine="420" w:firstLineChars="175"/>
        <w:outlineLvl w:val="9"/>
        <w:rPr>
          <w:rFonts w:hint="eastAsia" w:asciiTheme="minorEastAsia" w:hAnsiTheme="minorEastAsia" w:eastAsiaTheme="minorEastAsia" w:cstheme="minorEastAsia"/>
          <w:sz w:val="24"/>
          <w:szCs w:val="24"/>
        </w:rPr>
      </w:pPr>
    </w:p>
    <w:p>
      <w:pPr>
        <w:spacing w:line="360" w:lineRule="auto"/>
        <w:ind w:left="0" w:leftChars="0" w:firstLine="420" w:firstLineChars="175"/>
        <w:outlineLvl w:val="9"/>
        <w:rPr>
          <w:rFonts w:hint="eastAsia" w:asciiTheme="minorEastAsia" w:hAnsiTheme="minorEastAsia" w:eastAsiaTheme="minorEastAsia" w:cstheme="minorEastAsia"/>
          <w:sz w:val="24"/>
          <w:szCs w:val="24"/>
        </w:rPr>
      </w:pPr>
    </w:p>
    <w:p>
      <w:pPr>
        <w:spacing w:line="360" w:lineRule="auto"/>
        <w:ind w:left="0" w:leftChars="0" w:firstLine="420" w:firstLineChars="175"/>
        <w:outlineLvl w:val="9"/>
        <w:rPr>
          <w:rFonts w:hint="eastAsia" w:asciiTheme="minorEastAsia" w:hAnsiTheme="minorEastAsia" w:eastAsiaTheme="minorEastAsia" w:cstheme="minorEastAsia"/>
          <w:sz w:val="24"/>
          <w:szCs w:val="24"/>
        </w:rPr>
      </w:pPr>
    </w:p>
    <w:p>
      <w:pPr>
        <w:spacing w:line="360" w:lineRule="auto"/>
        <w:jc w:val="center"/>
        <w:outlineLvl w:val="9"/>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供应商信用记录书面声明函（格式）</w:t>
      </w:r>
    </w:p>
    <w:p>
      <w:pPr>
        <w:spacing w:line="48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cstheme="minorEastAsia"/>
          <w:sz w:val="24"/>
          <w:szCs w:val="24"/>
          <w:highlight w:val="none"/>
          <w:lang w:eastAsia="zh-CN"/>
        </w:rPr>
        <w:t>咸阳市秦都区政府采购中心</w:t>
      </w:r>
      <w:r>
        <w:rPr>
          <w:rFonts w:hint="eastAsia" w:asciiTheme="minorEastAsia" w:hAnsiTheme="minorEastAsia" w:eastAsiaTheme="minorEastAsia" w:cstheme="minorEastAsia"/>
          <w:sz w:val="24"/>
          <w:szCs w:val="24"/>
          <w:highlight w:val="none"/>
        </w:rPr>
        <w:t>：</w:t>
      </w:r>
    </w:p>
    <w:p>
      <w:pPr>
        <w:spacing w:line="480" w:lineRule="auto"/>
        <w:ind w:left="0" w:leftChars="0" w:firstLine="420" w:firstLineChars="175"/>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我方作为《</w:t>
      </w:r>
      <w:r>
        <w:rPr>
          <w:rFonts w:hint="eastAsia" w:asciiTheme="minorEastAsia" w:hAnsiTheme="minorEastAsia" w:eastAsiaTheme="minorEastAsia" w:cstheme="minorEastAsia"/>
          <w:sz w:val="24"/>
          <w:szCs w:val="24"/>
          <w:highlight w:val="none"/>
          <w:u w:val="single"/>
        </w:rPr>
        <w:t>项目名称</w:t>
      </w:r>
      <w:r>
        <w:rPr>
          <w:rFonts w:hint="eastAsia" w:asciiTheme="minorEastAsia" w:hAnsiTheme="minorEastAsia" w:eastAsiaTheme="minorEastAsia" w:cstheme="minorEastAsia"/>
          <w:sz w:val="24"/>
          <w:szCs w:val="24"/>
          <w:highlight w:val="none"/>
        </w:rPr>
        <w:t>》（项目编号：</w:t>
      </w:r>
      <w:r>
        <w:rPr>
          <w:rFonts w:hint="eastAsia" w:asciiTheme="minorEastAsia" w:hAnsi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rPr>
        <w:t>）第</w:t>
      </w:r>
      <w:r>
        <w:rPr>
          <w:rFonts w:hint="eastAsia" w:asciiTheme="minorEastAsia" w:hAnsi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rPr>
        <w:t>标段的供应商，在此郑重声明：</w:t>
      </w:r>
    </w:p>
    <w:p>
      <w:pPr>
        <w:spacing w:line="480" w:lineRule="auto"/>
        <w:ind w:left="0" w:leftChars="0" w:firstLine="420" w:firstLineChars="175"/>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在参加本次政府采购活动前3年内的经营活动中____（填“没有”或“有”）重大违法记录。供应商在参加政府采购活动前3年内因违法经营被禁止在一定期限内参加政府采购活动，期限届满的，可以参加政府采购活动，但应提供期限届满的证明材料。</w:t>
      </w:r>
    </w:p>
    <w:p>
      <w:pPr>
        <w:spacing w:line="480" w:lineRule="auto"/>
        <w:ind w:left="0" w:leftChars="0" w:firstLine="420" w:firstLineChars="175"/>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2、我方______（填“未被列入”或“被列入”）失信被执行人名单。</w:t>
      </w:r>
    </w:p>
    <w:p>
      <w:pPr>
        <w:spacing w:line="480" w:lineRule="auto"/>
        <w:ind w:left="0" w:leftChars="0" w:firstLine="420" w:firstLineChars="175"/>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3、我方______（填“未被列入”或“被列入”）重大税收违法案件当事人名单。</w:t>
      </w:r>
    </w:p>
    <w:p>
      <w:pPr>
        <w:spacing w:line="480" w:lineRule="auto"/>
        <w:ind w:left="0" w:leftChars="0" w:firstLine="420" w:firstLineChars="175"/>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4、我方______（填“未被列入”或“被列入”）政府采购严重违法失信行为记录名单。</w:t>
      </w:r>
    </w:p>
    <w:p>
      <w:pPr>
        <w:spacing w:line="480" w:lineRule="auto"/>
        <w:ind w:left="0" w:leftChars="0" w:firstLine="420" w:firstLineChars="175"/>
        <w:outlineLvl w:val="9"/>
        <w:rPr>
          <w:rFonts w:hint="eastAsia" w:asciiTheme="minorEastAsia" w:hAnsiTheme="minorEastAsia" w:eastAsiaTheme="minorEastAsia" w:cstheme="minorEastAsia"/>
          <w:sz w:val="24"/>
          <w:szCs w:val="24"/>
          <w:highlight w:val="none"/>
        </w:rPr>
      </w:pPr>
    </w:p>
    <w:p>
      <w:pPr>
        <w:spacing w:line="480" w:lineRule="auto"/>
        <w:ind w:left="0" w:leftChars="0" w:firstLine="420" w:firstLineChars="175"/>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如有不实，我方将无条件地退出本项目的采购活动，并遵照《政府采购法》有关“提供虚假材料的规定”接受处罚。</w:t>
      </w:r>
    </w:p>
    <w:p>
      <w:pPr>
        <w:spacing w:line="480" w:lineRule="auto"/>
        <w:ind w:left="0" w:leftChars="0" w:firstLine="420" w:firstLineChars="175"/>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特此声明。</w:t>
      </w:r>
    </w:p>
    <w:p>
      <w:pPr>
        <w:spacing w:line="480" w:lineRule="auto"/>
        <w:ind w:firstLine="4560" w:firstLineChars="1900"/>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供应商：名称（加盖公章）</w:t>
      </w:r>
    </w:p>
    <w:p>
      <w:pPr>
        <w:spacing w:line="480" w:lineRule="auto"/>
        <w:ind w:firstLine="4800" w:firstLineChars="2000"/>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日期：</w:t>
      </w:r>
      <w:r>
        <w:rPr>
          <w:rFonts w:hint="eastAsia" w:asciiTheme="minorEastAsia" w:hAnsi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rPr>
        <w:t>年</w:t>
      </w:r>
      <w:r>
        <w:rPr>
          <w:rFonts w:hint="eastAsia" w:asciiTheme="minorEastAsia" w:hAnsi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rPr>
        <w:t>月</w:t>
      </w:r>
      <w:r>
        <w:rPr>
          <w:rFonts w:hint="eastAsia" w:asciiTheme="minorEastAsia" w:hAnsi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rPr>
        <w:t>日</w:t>
      </w:r>
    </w:p>
    <w:p>
      <w:pPr>
        <w:outlineLvl w:val="9"/>
        <w:rPr>
          <w:rFonts w:hint="eastAsia" w:asciiTheme="minorEastAsia" w:hAnsiTheme="minorEastAsia" w:eastAsiaTheme="minorEastAsia" w:cstheme="minorEastAsia"/>
          <w:sz w:val="18"/>
          <w:szCs w:val="18"/>
          <w:highlight w:val="none"/>
        </w:rPr>
      </w:pPr>
      <w:r>
        <w:rPr>
          <w:rFonts w:hint="eastAsia" w:asciiTheme="minorEastAsia" w:hAnsiTheme="minorEastAsia" w:eastAsiaTheme="minorEastAsia" w:cstheme="minorEastAsia"/>
          <w:sz w:val="18"/>
          <w:szCs w:val="18"/>
          <w:highlight w:val="none"/>
        </w:rPr>
        <w:t>备注：项目不分标段的，第___标段空白处填写“/”。</w:t>
      </w:r>
    </w:p>
    <w:p>
      <w:pPr>
        <w:outlineLvl w:val="9"/>
        <w:rPr>
          <w:rFonts w:hint="eastAsia" w:asciiTheme="minorEastAsia" w:hAnsiTheme="minorEastAsia" w:eastAsiaTheme="minorEastAsia" w:cstheme="minorEastAsia"/>
          <w:sz w:val="24"/>
          <w:szCs w:val="24"/>
          <w:highlight w:val="none"/>
        </w:rPr>
      </w:pPr>
    </w:p>
    <w:p>
      <w:pPr>
        <w:outlineLvl w:val="9"/>
        <w:rPr>
          <w:rFonts w:hint="eastAsia" w:asciiTheme="minorEastAsia" w:hAnsiTheme="minorEastAsia" w:eastAsiaTheme="minorEastAsia" w:cstheme="minorEastAsia"/>
          <w:sz w:val="24"/>
          <w:szCs w:val="24"/>
          <w:highlight w:val="none"/>
        </w:rPr>
      </w:pPr>
    </w:p>
    <w:p>
      <w:pPr>
        <w:outlineLvl w:val="9"/>
        <w:rPr>
          <w:rFonts w:hint="eastAsia" w:asciiTheme="minorEastAsia" w:hAnsiTheme="minorEastAsia" w:eastAsiaTheme="minorEastAsia" w:cstheme="minorEastAsia"/>
          <w:sz w:val="24"/>
          <w:szCs w:val="24"/>
          <w:highlight w:val="none"/>
        </w:rPr>
      </w:pPr>
    </w:p>
    <w:p>
      <w:pPr>
        <w:outlineLvl w:val="9"/>
        <w:rPr>
          <w:rFonts w:hint="eastAsia" w:asciiTheme="minorEastAsia" w:hAnsiTheme="minorEastAsia" w:eastAsiaTheme="minorEastAsia" w:cstheme="minorEastAsia"/>
          <w:sz w:val="24"/>
          <w:szCs w:val="24"/>
          <w:highlight w:val="none"/>
        </w:rPr>
      </w:pPr>
    </w:p>
    <w:p>
      <w:pPr>
        <w:outlineLvl w:val="9"/>
        <w:rPr>
          <w:rFonts w:hint="eastAsia" w:asciiTheme="minorEastAsia" w:hAnsiTheme="minorEastAsia" w:eastAsiaTheme="minorEastAsia" w:cstheme="minorEastAsia"/>
          <w:sz w:val="24"/>
          <w:szCs w:val="24"/>
          <w:highlight w:val="none"/>
        </w:rPr>
      </w:pPr>
    </w:p>
    <w:p>
      <w:pPr>
        <w:shd w:val="clear"/>
        <w:spacing w:line="360" w:lineRule="auto"/>
        <w:jc w:val="center"/>
        <w:outlineLvl w:val="9"/>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控股管理关系（格式）</w:t>
      </w:r>
    </w:p>
    <w:p>
      <w:pPr>
        <w:shd w:val="clea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cstheme="minorEastAsia"/>
          <w:sz w:val="24"/>
          <w:szCs w:val="24"/>
          <w:highlight w:val="none"/>
          <w:lang w:eastAsia="zh-CN"/>
        </w:rPr>
        <w:t>咸阳市秦都区政府采购中心</w:t>
      </w:r>
      <w:r>
        <w:rPr>
          <w:rFonts w:hint="eastAsia" w:asciiTheme="minorEastAsia" w:hAnsiTheme="minorEastAsia" w:eastAsiaTheme="minorEastAsia" w:cstheme="minorEastAsia"/>
          <w:sz w:val="24"/>
          <w:szCs w:val="24"/>
          <w:highlight w:val="none"/>
        </w:rPr>
        <w:t>：</w:t>
      </w:r>
    </w:p>
    <w:p>
      <w:pPr>
        <w:shd w:val="clear"/>
        <w:spacing w:line="360" w:lineRule="auto"/>
        <w:ind w:left="0" w:leftChars="0" w:firstLine="420" w:firstLineChars="175"/>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我方与以下供应商存在直接控股、管理关系：</w:t>
      </w:r>
    </w:p>
    <w:tbl>
      <w:tblPr>
        <w:tblStyle w:val="10"/>
        <w:tblW w:w="85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5"/>
        <w:gridCol w:w="3357"/>
        <w:gridCol w:w="2958"/>
        <w:gridCol w:w="13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955" w:type="dxa"/>
            <w:vAlign w:val="center"/>
          </w:tcPr>
          <w:p>
            <w:pPr>
              <w:jc w:val="center"/>
              <w:rPr>
                <w:rFonts w:hint="eastAsia" w:asciiTheme="minorEastAsia" w:hAnsiTheme="minorEastAsia" w:eastAsiaTheme="minorEastAsia" w:cstheme="minorEastAsia"/>
                <w:b/>
                <w:bCs/>
                <w:sz w:val="18"/>
                <w:szCs w:val="18"/>
                <w:highlight w:val="none"/>
                <w:vertAlign w:val="baseline"/>
              </w:rPr>
            </w:pPr>
            <w:r>
              <w:rPr>
                <w:rFonts w:hint="eastAsia" w:asciiTheme="minorEastAsia" w:hAnsiTheme="minorEastAsia" w:eastAsiaTheme="minorEastAsia" w:cstheme="minorEastAsia"/>
                <w:b/>
                <w:bCs/>
                <w:sz w:val="18"/>
                <w:szCs w:val="18"/>
                <w:highlight w:val="none"/>
                <w:vertAlign w:val="baseline"/>
              </w:rPr>
              <w:t>序号</w:t>
            </w:r>
          </w:p>
        </w:tc>
        <w:tc>
          <w:tcPr>
            <w:tcW w:w="3357" w:type="dxa"/>
            <w:vAlign w:val="center"/>
          </w:tcPr>
          <w:p>
            <w:pPr>
              <w:jc w:val="center"/>
              <w:rPr>
                <w:rFonts w:hint="eastAsia" w:asciiTheme="minorEastAsia" w:hAnsiTheme="minorEastAsia" w:eastAsiaTheme="minorEastAsia" w:cstheme="minorEastAsia"/>
                <w:b/>
                <w:bCs/>
                <w:sz w:val="18"/>
                <w:szCs w:val="18"/>
                <w:highlight w:val="none"/>
                <w:vertAlign w:val="baseline"/>
              </w:rPr>
            </w:pPr>
            <w:r>
              <w:rPr>
                <w:rFonts w:hint="eastAsia" w:asciiTheme="minorEastAsia" w:hAnsiTheme="minorEastAsia" w:eastAsiaTheme="minorEastAsia" w:cstheme="minorEastAsia"/>
                <w:b/>
                <w:bCs/>
                <w:sz w:val="18"/>
                <w:szCs w:val="18"/>
                <w:highlight w:val="none"/>
                <w:vertAlign w:val="baseline"/>
              </w:rPr>
              <w:t>直接控股股东名称及出资比例</w:t>
            </w:r>
          </w:p>
        </w:tc>
        <w:tc>
          <w:tcPr>
            <w:tcW w:w="2958" w:type="dxa"/>
            <w:vAlign w:val="center"/>
          </w:tcPr>
          <w:p>
            <w:pPr>
              <w:jc w:val="center"/>
              <w:rPr>
                <w:rFonts w:hint="eastAsia" w:asciiTheme="minorEastAsia" w:hAnsiTheme="minorEastAsia" w:eastAsiaTheme="minorEastAsia" w:cstheme="minorEastAsia"/>
                <w:b/>
                <w:bCs/>
                <w:sz w:val="18"/>
                <w:szCs w:val="18"/>
                <w:highlight w:val="none"/>
                <w:vertAlign w:val="baseline"/>
              </w:rPr>
            </w:pPr>
            <w:r>
              <w:rPr>
                <w:rFonts w:hint="eastAsia" w:asciiTheme="minorEastAsia" w:hAnsiTheme="minorEastAsia" w:eastAsiaTheme="minorEastAsia" w:cstheme="minorEastAsia"/>
                <w:b/>
                <w:bCs/>
                <w:sz w:val="18"/>
                <w:szCs w:val="18"/>
                <w:highlight w:val="none"/>
                <w:vertAlign w:val="baseline"/>
              </w:rPr>
              <w:t>直接管理关系单位名称</w:t>
            </w:r>
          </w:p>
        </w:tc>
        <w:tc>
          <w:tcPr>
            <w:tcW w:w="1328" w:type="dxa"/>
            <w:vAlign w:val="center"/>
          </w:tcPr>
          <w:p>
            <w:pPr>
              <w:jc w:val="center"/>
              <w:rPr>
                <w:rFonts w:hint="eastAsia" w:asciiTheme="minorEastAsia" w:hAnsiTheme="minorEastAsia" w:eastAsiaTheme="minorEastAsia" w:cstheme="minorEastAsia"/>
                <w:b/>
                <w:bCs/>
                <w:sz w:val="18"/>
                <w:szCs w:val="18"/>
                <w:highlight w:val="none"/>
                <w:vertAlign w:val="baseline"/>
              </w:rPr>
            </w:pPr>
            <w:r>
              <w:rPr>
                <w:rFonts w:hint="eastAsia" w:asciiTheme="minorEastAsia" w:hAnsiTheme="minorEastAsia" w:eastAsiaTheme="minorEastAsia" w:cstheme="minorEastAsia"/>
                <w:b/>
                <w:bCs/>
                <w:sz w:val="18"/>
                <w:szCs w:val="18"/>
                <w:highlight w:val="none"/>
                <w:vertAlign w:val="baseli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955" w:type="dxa"/>
          </w:tcPr>
          <w:p>
            <w:pPr>
              <w:jc w:val="center"/>
              <w:rPr>
                <w:rFonts w:hint="eastAsia" w:asciiTheme="minorEastAsia" w:hAnsiTheme="minorEastAsia" w:eastAsiaTheme="minorEastAsia" w:cstheme="minorEastAsia"/>
                <w:sz w:val="18"/>
                <w:szCs w:val="18"/>
                <w:highlight w:val="none"/>
                <w:vertAlign w:val="baseline"/>
                <w:lang w:val="en-US" w:eastAsia="zh-CN"/>
              </w:rPr>
            </w:pPr>
            <w:r>
              <w:rPr>
                <w:rFonts w:hint="eastAsia" w:asciiTheme="minorEastAsia" w:hAnsiTheme="minorEastAsia" w:cstheme="minorEastAsia"/>
                <w:sz w:val="18"/>
                <w:szCs w:val="18"/>
                <w:highlight w:val="none"/>
                <w:vertAlign w:val="baseline"/>
                <w:lang w:val="en-US" w:eastAsia="zh-CN"/>
              </w:rPr>
              <w:t>1</w:t>
            </w:r>
          </w:p>
        </w:tc>
        <w:tc>
          <w:tcPr>
            <w:tcW w:w="3357" w:type="dxa"/>
          </w:tcPr>
          <w:p>
            <w:pPr>
              <w:jc w:val="center"/>
              <w:rPr>
                <w:rFonts w:hint="eastAsia" w:asciiTheme="minorEastAsia" w:hAnsiTheme="minorEastAsia" w:eastAsiaTheme="minorEastAsia" w:cstheme="minorEastAsia"/>
                <w:sz w:val="18"/>
                <w:szCs w:val="18"/>
                <w:highlight w:val="none"/>
                <w:vertAlign w:val="baseline"/>
              </w:rPr>
            </w:pPr>
          </w:p>
        </w:tc>
        <w:tc>
          <w:tcPr>
            <w:tcW w:w="2958" w:type="dxa"/>
          </w:tcPr>
          <w:p>
            <w:pPr>
              <w:jc w:val="center"/>
              <w:rPr>
                <w:rFonts w:hint="eastAsia" w:asciiTheme="minorEastAsia" w:hAnsiTheme="minorEastAsia" w:eastAsiaTheme="minorEastAsia" w:cstheme="minorEastAsia"/>
                <w:sz w:val="18"/>
                <w:szCs w:val="18"/>
                <w:highlight w:val="none"/>
                <w:vertAlign w:val="baseline"/>
              </w:rPr>
            </w:pPr>
          </w:p>
        </w:tc>
        <w:tc>
          <w:tcPr>
            <w:tcW w:w="1328" w:type="dxa"/>
          </w:tcPr>
          <w:p>
            <w:pPr>
              <w:jc w:val="center"/>
              <w:rPr>
                <w:rFonts w:hint="eastAsia" w:asciiTheme="minorEastAsia" w:hAnsiTheme="minorEastAsia" w:eastAsiaTheme="minorEastAsia" w:cstheme="minorEastAsia"/>
                <w:sz w:val="18"/>
                <w:szCs w:val="18"/>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955" w:type="dxa"/>
          </w:tcPr>
          <w:p>
            <w:pPr>
              <w:jc w:val="center"/>
              <w:rPr>
                <w:rFonts w:hint="eastAsia" w:asciiTheme="minorEastAsia" w:hAnsiTheme="minorEastAsia" w:eastAsiaTheme="minorEastAsia" w:cstheme="minorEastAsia"/>
                <w:sz w:val="18"/>
                <w:szCs w:val="18"/>
                <w:highlight w:val="none"/>
                <w:vertAlign w:val="baseline"/>
                <w:lang w:val="en-US" w:eastAsia="zh-CN"/>
              </w:rPr>
            </w:pPr>
            <w:r>
              <w:rPr>
                <w:rFonts w:hint="eastAsia" w:asciiTheme="minorEastAsia" w:hAnsiTheme="minorEastAsia" w:cstheme="minorEastAsia"/>
                <w:sz w:val="18"/>
                <w:szCs w:val="18"/>
                <w:highlight w:val="none"/>
                <w:vertAlign w:val="baseline"/>
                <w:lang w:val="en-US" w:eastAsia="zh-CN"/>
              </w:rPr>
              <w:t>2</w:t>
            </w:r>
          </w:p>
        </w:tc>
        <w:tc>
          <w:tcPr>
            <w:tcW w:w="3357" w:type="dxa"/>
          </w:tcPr>
          <w:p>
            <w:pPr>
              <w:jc w:val="center"/>
              <w:rPr>
                <w:rFonts w:hint="eastAsia" w:asciiTheme="minorEastAsia" w:hAnsiTheme="minorEastAsia" w:eastAsiaTheme="minorEastAsia" w:cstheme="minorEastAsia"/>
                <w:sz w:val="18"/>
                <w:szCs w:val="18"/>
                <w:highlight w:val="none"/>
                <w:vertAlign w:val="baseline"/>
              </w:rPr>
            </w:pPr>
          </w:p>
        </w:tc>
        <w:tc>
          <w:tcPr>
            <w:tcW w:w="2958" w:type="dxa"/>
          </w:tcPr>
          <w:p>
            <w:pPr>
              <w:jc w:val="center"/>
              <w:rPr>
                <w:rFonts w:hint="eastAsia" w:asciiTheme="minorEastAsia" w:hAnsiTheme="minorEastAsia" w:eastAsiaTheme="minorEastAsia" w:cstheme="minorEastAsia"/>
                <w:sz w:val="18"/>
                <w:szCs w:val="18"/>
                <w:highlight w:val="none"/>
                <w:vertAlign w:val="baseline"/>
              </w:rPr>
            </w:pPr>
          </w:p>
        </w:tc>
        <w:tc>
          <w:tcPr>
            <w:tcW w:w="1328" w:type="dxa"/>
          </w:tcPr>
          <w:p>
            <w:pPr>
              <w:jc w:val="center"/>
              <w:rPr>
                <w:rFonts w:hint="eastAsia" w:asciiTheme="minorEastAsia" w:hAnsiTheme="minorEastAsia" w:eastAsiaTheme="minorEastAsia" w:cstheme="minorEastAsia"/>
                <w:sz w:val="18"/>
                <w:szCs w:val="18"/>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955" w:type="dxa"/>
          </w:tcPr>
          <w:p>
            <w:pPr>
              <w:jc w:val="center"/>
              <w:rPr>
                <w:rFonts w:hint="default" w:asciiTheme="minorEastAsia" w:hAnsiTheme="minorEastAsia" w:eastAsiaTheme="minorEastAsia" w:cstheme="minorEastAsia"/>
                <w:sz w:val="18"/>
                <w:szCs w:val="18"/>
                <w:highlight w:val="none"/>
                <w:vertAlign w:val="baseline"/>
                <w:lang w:val="en-US" w:eastAsia="zh-CN"/>
              </w:rPr>
            </w:pPr>
            <w:r>
              <w:rPr>
                <w:rFonts w:hint="eastAsia" w:asciiTheme="minorEastAsia" w:hAnsiTheme="minorEastAsia" w:cstheme="minorEastAsia"/>
                <w:sz w:val="18"/>
                <w:szCs w:val="18"/>
                <w:highlight w:val="none"/>
                <w:vertAlign w:val="baseline"/>
                <w:lang w:val="en-US" w:eastAsia="zh-CN"/>
              </w:rPr>
              <w:t>......</w:t>
            </w:r>
          </w:p>
        </w:tc>
        <w:tc>
          <w:tcPr>
            <w:tcW w:w="3357" w:type="dxa"/>
          </w:tcPr>
          <w:p>
            <w:pPr>
              <w:jc w:val="center"/>
              <w:rPr>
                <w:rFonts w:hint="eastAsia" w:asciiTheme="minorEastAsia" w:hAnsiTheme="minorEastAsia" w:eastAsiaTheme="minorEastAsia" w:cstheme="minorEastAsia"/>
                <w:sz w:val="18"/>
                <w:szCs w:val="18"/>
                <w:highlight w:val="none"/>
                <w:vertAlign w:val="baseline"/>
              </w:rPr>
            </w:pPr>
          </w:p>
        </w:tc>
        <w:tc>
          <w:tcPr>
            <w:tcW w:w="2958" w:type="dxa"/>
          </w:tcPr>
          <w:p>
            <w:pPr>
              <w:jc w:val="center"/>
              <w:rPr>
                <w:rFonts w:hint="eastAsia" w:asciiTheme="minorEastAsia" w:hAnsiTheme="minorEastAsia" w:eastAsiaTheme="minorEastAsia" w:cstheme="minorEastAsia"/>
                <w:sz w:val="18"/>
                <w:szCs w:val="18"/>
                <w:highlight w:val="none"/>
                <w:vertAlign w:val="baseline"/>
              </w:rPr>
            </w:pPr>
          </w:p>
        </w:tc>
        <w:tc>
          <w:tcPr>
            <w:tcW w:w="1328" w:type="dxa"/>
          </w:tcPr>
          <w:p>
            <w:pPr>
              <w:jc w:val="center"/>
              <w:rPr>
                <w:rFonts w:hint="eastAsia" w:asciiTheme="minorEastAsia" w:hAnsiTheme="minorEastAsia" w:eastAsiaTheme="minorEastAsia" w:cstheme="minorEastAsia"/>
                <w:sz w:val="18"/>
                <w:szCs w:val="18"/>
                <w:highlight w:val="none"/>
                <w:vertAlign w:val="baseline"/>
              </w:rPr>
            </w:pPr>
          </w:p>
        </w:tc>
      </w:tr>
    </w:tbl>
    <w:p>
      <w:pPr>
        <w:rPr>
          <w:rFonts w:hint="eastAsia" w:asciiTheme="minorEastAsia" w:hAnsiTheme="minorEastAsia" w:eastAsiaTheme="minorEastAsia" w:cstheme="minorEastAsia"/>
          <w:sz w:val="24"/>
          <w:szCs w:val="24"/>
          <w:highlight w:val="none"/>
        </w:rPr>
      </w:pPr>
    </w:p>
    <w:p>
      <w:pPr>
        <w:ind w:left="0" w:leftChars="0" w:firstLine="315" w:firstLineChars="175"/>
        <w:rPr>
          <w:rFonts w:hint="eastAsia" w:asciiTheme="minorEastAsia" w:hAnsiTheme="minorEastAsia" w:eastAsiaTheme="minorEastAsia" w:cstheme="minorEastAsia"/>
          <w:sz w:val="18"/>
          <w:szCs w:val="18"/>
          <w:highlight w:val="none"/>
        </w:rPr>
      </w:pPr>
    </w:p>
    <w:p>
      <w:pPr>
        <w:ind w:firstLine="4080" w:firstLineChars="17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供应商：</w:t>
      </w:r>
      <w:r>
        <w:rPr>
          <w:rFonts w:hint="eastAsia" w:asciiTheme="minorEastAsia" w:hAnsiTheme="minorEastAsia" w:eastAsiaTheme="minorEastAsia" w:cstheme="minorEastAsia"/>
          <w:sz w:val="24"/>
          <w:szCs w:val="24"/>
          <w:highlight w:val="none"/>
          <w:u w:val="single"/>
        </w:rPr>
        <w:t xml:space="preserve"> 名称</w:t>
      </w:r>
      <w:r>
        <w:rPr>
          <w:rFonts w:hint="eastAsia" w:asciiTheme="minorEastAsia" w:hAnsi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rPr>
        <w:t>（加盖公章）</w:t>
      </w:r>
    </w:p>
    <w:p>
      <w:pPr>
        <w:ind w:firstLine="4080" w:firstLineChars="1700"/>
        <w:rPr>
          <w:rFonts w:hint="eastAsia" w:asciiTheme="minorEastAsia" w:hAnsiTheme="minorEastAsia" w:eastAsiaTheme="minorEastAsia" w:cstheme="minorEastAsia"/>
          <w:sz w:val="24"/>
          <w:szCs w:val="24"/>
          <w:highlight w:val="none"/>
        </w:rPr>
      </w:pPr>
    </w:p>
    <w:p>
      <w:pPr>
        <w:ind w:firstLine="4080" w:firstLineChars="17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日</w:t>
      </w:r>
      <w:r>
        <w:rPr>
          <w:rFonts w:hint="eastAsia" w:asciiTheme="minorEastAsia" w:hAnsi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rPr>
        <w:t>期：</w:t>
      </w:r>
      <w:r>
        <w:rPr>
          <w:rFonts w:hint="eastAsia" w:asciiTheme="minorEastAsia" w:hAnsi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年</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rPr>
        <w:t>月</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rPr>
        <w:t>日</w:t>
      </w:r>
    </w:p>
    <w:p>
      <w:pPr>
        <w:ind w:left="0" w:leftChars="0" w:firstLine="315" w:firstLineChars="175"/>
        <w:rPr>
          <w:rFonts w:hint="eastAsia" w:asciiTheme="minorEastAsia" w:hAnsiTheme="minorEastAsia" w:eastAsiaTheme="minorEastAsia" w:cstheme="minorEastAsia"/>
          <w:sz w:val="18"/>
          <w:szCs w:val="18"/>
          <w:highlight w:val="none"/>
        </w:rPr>
      </w:pPr>
    </w:p>
    <w:p>
      <w:pPr>
        <w:spacing w:line="360" w:lineRule="auto"/>
        <w:ind w:left="0" w:leftChars="0" w:firstLine="367" w:firstLineChars="175"/>
        <w:rPr>
          <w:rFonts w:hint="eastAsia" w:asciiTheme="minorEastAsia" w:hAnsiTheme="minorEastAsia" w:eastAsiaTheme="minorEastAsia" w:cstheme="minorEastAsia"/>
          <w:sz w:val="21"/>
          <w:szCs w:val="21"/>
          <w:highlight w:val="none"/>
        </w:rPr>
      </w:pPr>
    </w:p>
    <w:p>
      <w:pPr>
        <w:spacing w:line="360" w:lineRule="auto"/>
        <w:ind w:left="0" w:leftChars="0" w:firstLine="367" w:firstLineChars="175"/>
        <w:rPr>
          <w:rFonts w:hint="eastAsia" w:asciiTheme="minorEastAsia" w:hAnsiTheme="minorEastAsia" w:eastAsiaTheme="minorEastAsia" w:cstheme="minorEastAsia"/>
          <w:sz w:val="21"/>
          <w:szCs w:val="21"/>
          <w:highlight w:val="none"/>
        </w:rPr>
      </w:pPr>
    </w:p>
    <w:p>
      <w:pPr>
        <w:spacing w:line="360" w:lineRule="auto"/>
        <w:ind w:left="0" w:leftChars="0" w:firstLine="367" w:firstLineChars="175"/>
        <w:rPr>
          <w:rFonts w:hint="eastAsia" w:asciiTheme="minorEastAsia" w:hAnsiTheme="minorEastAsia" w:eastAsiaTheme="minorEastAsia" w:cstheme="minorEastAsia"/>
          <w:sz w:val="21"/>
          <w:szCs w:val="21"/>
          <w:highlight w:val="none"/>
        </w:rPr>
      </w:pPr>
    </w:p>
    <w:p>
      <w:pPr>
        <w:spacing w:line="360" w:lineRule="auto"/>
        <w:ind w:left="0" w:leftChars="0" w:firstLine="367" w:firstLineChars="175"/>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备注：</w:t>
      </w:r>
    </w:p>
    <w:p>
      <w:pPr>
        <w:spacing w:line="360" w:lineRule="auto"/>
        <w:ind w:left="0" w:leftChars="0" w:firstLine="367" w:firstLineChars="175"/>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pPr>
        <w:spacing w:line="360" w:lineRule="auto"/>
        <w:ind w:left="0" w:leftChars="0" w:firstLine="367" w:firstLineChars="175"/>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2、管理关系：是指不具有出资持股关系的其他单位之间存在的管理与被管理关系，如一些上下级关系的事业单位和团体组织。</w:t>
      </w:r>
    </w:p>
    <w:p>
      <w:pPr>
        <w:spacing w:line="360" w:lineRule="auto"/>
        <w:ind w:left="0" w:leftChars="0" w:firstLine="367" w:firstLineChars="175"/>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3、本表所指的控股、管理关系仅限于直接控股、直接管理关系，不包括间接的控股或管理关系。公司实际控制人与公司之间的关系不属于本表所指的直接控股关系。</w:t>
      </w:r>
    </w:p>
    <w:p>
      <w:pPr>
        <w:spacing w:line="360" w:lineRule="auto"/>
        <w:ind w:left="0" w:leftChars="0" w:firstLine="367" w:firstLineChars="175"/>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4、供应商如不存在直接控股股东的，则在“直接控股股东名称及出资比例”处填写“无”或“/”。供应商不存在直接管理关系的，则在“直接管理关系单位名称”中填“无”或“/”。</w:t>
      </w:r>
    </w:p>
    <w:p>
      <w:pPr>
        <w:spacing w:line="360" w:lineRule="auto"/>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shd w:val="clear"/>
        <w:spacing w:line="360" w:lineRule="auto"/>
        <w:jc w:val="center"/>
        <w:outlineLvl w:val="9"/>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书面声明（格式）</w:t>
      </w:r>
    </w:p>
    <w:p>
      <w:pPr>
        <w:shd w:val="clear"/>
        <w:spacing w:line="480" w:lineRule="auto"/>
        <w:jc w:val="left"/>
        <w:outlineLvl w:val="9"/>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sz w:val="24"/>
          <w:szCs w:val="24"/>
          <w:highlight w:val="none"/>
          <w:lang w:eastAsia="zh-CN"/>
        </w:rPr>
        <w:t>咸阳市秦都区政府采购中心</w:t>
      </w:r>
      <w:r>
        <w:rPr>
          <w:rFonts w:hint="eastAsia" w:asciiTheme="minorEastAsia" w:hAnsiTheme="minorEastAsia" w:eastAsiaTheme="minorEastAsia" w:cstheme="minorEastAsia"/>
          <w:sz w:val="24"/>
          <w:szCs w:val="24"/>
          <w:highlight w:val="none"/>
        </w:rPr>
        <w:t>：</w:t>
      </w:r>
    </w:p>
    <w:p>
      <w:pPr>
        <w:spacing w:line="480" w:lineRule="auto"/>
        <w:ind w:left="0" w:leftChars="0" w:firstLine="420" w:firstLineChars="175"/>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我方作为</w:t>
      </w:r>
      <w:r>
        <w:rPr>
          <w:rFonts w:hint="eastAsia" w:asciiTheme="minorEastAsia" w:hAnsiTheme="minorEastAsia" w:eastAsiaTheme="minorEastAsia" w:cstheme="minorEastAsia"/>
          <w:sz w:val="24"/>
          <w:szCs w:val="24"/>
          <w:highlight w:val="none"/>
          <w:u w:val="single"/>
        </w:rPr>
        <w:t>项目名称</w:t>
      </w:r>
      <w:r>
        <w:rPr>
          <w:rFonts w:hint="eastAsia" w:asciiTheme="minorEastAsia" w:hAnsiTheme="minorEastAsia" w:eastAsiaTheme="minorEastAsia" w:cstheme="minorEastAsia"/>
          <w:sz w:val="24"/>
          <w:szCs w:val="24"/>
          <w:highlight w:val="none"/>
        </w:rPr>
        <w:t>（项目编号：</w:t>
      </w:r>
      <w:r>
        <w:rPr>
          <w:rFonts w:hint="eastAsia" w:asciiTheme="minorEastAsia" w:hAnsi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rPr>
        <w:t>）第</w:t>
      </w:r>
      <w:r>
        <w:rPr>
          <w:rFonts w:hint="eastAsia" w:asciiTheme="minorEastAsia" w:hAnsi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rPr>
        <w:t>标段的供应商，在此郑重声明：</w:t>
      </w:r>
    </w:p>
    <w:p>
      <w:pPr>
        <w:spacing w:line="480" w:lineRule="auto"/>
        <w:ind w:left="0" w:leftChars="0" w:firstLine="420" w:firstLineChars="175"/>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1、我方具备履行合同所必须的设备和专业技术能力。</w:t>
      </w:r>
    </w:p>
    <w:p>
      <w:pPr>
        <w:spacing w:line="480" w:lineRule="auto"/>
        <w:ind w:left="0" w:leftChars="0" w:firstLine="420" w:firstLineChars="175"/>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2、我方未为本项目提供整体设计、规范编制或者项目管理、监理、检测等服务。</w:t>
      </w:r>
    </w:p>
    <w:p>
      <w:pPr>
        <w:spacing w:line="480" w:lineRule="auto"/>
        <w:ind w:left="0" w:leftChars="0" w:firstLine="420" w:firstLineChars="175"/>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如有不实，我方将无条件地退出本项目的采购活动，并遵照《政府采购法》有关“提供虚假材料的规定”接受处罚。</w:t>
      </w:r>
    </w:p>
    <w:p>
      <w:pPr>
        <w:spacing w:line="480" w:lineRule="auto"/>
        <w:ind w:left="0" w:leftChars="0" w:firstLine="420" w:firstLineChars="175"/>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特此声明。</w:t>
      </w:r>
    </w:p>
    <w:p>
      <w:pPr>
        <w:spacing w:line="480" w:lineRule="auto"/>
        <w:ind w:left="0" w:leftChars="0" w:firstLine="4260" w:firstLineChars="1775"/>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供应商：</w:t>
      </w:r>
      <w:r>
        <w:rPr>
          <w:rFonts w:hint="eastAsia" w:asciiTheme="minorEastAsia" w:hAnsi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u w:val="single"/>
        </w:rPr>
        <w:t>名称</w:t>
      </w:r>
      <w:r>
        <w:rPr>
          <w:rFonts w:hint="eastAsia" w:asciiTheme="minorEastAsia" w:hAnsi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rPr>
        <w:t>（加盖公章）</w:t>
      </w:r>
    </w:p>
    <w:p>
      <w:pPr>
        <w:spacing w:line="480" w:lineRule="auto"/>
        <w:ind w:left="0" w:leftChars="0" w:firstLine="4260" w:firstLineChars="1775"/>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日</w:t>
      </w:r>
      <w:r>
        <w:rPr>
          <w:rFonts w:hint="eastAsia" w:asciiTheme="minorEastAsia" w:hAnsi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rPr>
        <w:t>期：</w:t>
      </w:r>
      <w:r>
        <w:rPr>
          <w:rFonts w:hint="eastAsia" w:asciiTheme="minorEastAsia" w:hAnsi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rPr>
        <w:t>年</w:t>
      </w:r>
      <w:r>
        <w:rPr>
          <w:rFonts w:hint="eastAsia" w:asciiTheme="minorEastAsia" w:hAnsi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rPr>
        <w:t>月</w:t>
      </w:r>
      <w:r>
        <w:rPr>
          <w:rFonts w:hint="eastAsia" w:asciiTheme="minorEastAsia" w:hAnsi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rPr>
        <w:t>日</w:t>
      </w:r>
    </w:p>
    <w:p>
      <w:pPr>
        <w:outlineLvl w:val="9"/>
        <w:rPr>
          <w:rFonts w:hint="eastAsia" w:asciiTheme="minorEastAsia" w:hAnsiTheme="minorEastAsia" w:eastAsiaTheme="minorEastAsia" w:cstheme="minorEastAsia"/>
          <w:sz w:val="18"/>
          <w:szCs w:val="18"/>
          <w:highlight w:val="none"/>
        </w:rPr>
      </w:pPr>
    </w:p>
    <w:p>
      <w:pPr>
        <w:outlineLvl w:val="9"/>
        <w:rPr>
          <w:rFonts w:hint="eastAsia" w:asciiTheme="minorEastAsia" w:hAnsiTheme="minorEastAsia" w:eastAsiaTheme="minorEastAsia" w:cstheme="minorEastAsia"/>
          <w:sz w:val="18"/>
          <w:szCs w:val="18"/>
          <w:highlight w:val="none"/>
        </w:rPr>
      </w:pPr>
    </w:p>
    <w:p>
      <w:pPr>
        <w:outlineLvl w:val="9"/>
        <w:rPr>
          <w:rFonts w:hint="eastAsia" w:asciiTheme="minorEastAsia" w:hAnsiTheme="minorEastAsia" w:eastAsiaTheme="minorEastAsia" w:cstheme="minorEastAsia"/>
          <w:sz w:val="18"/>
          <w:szCs w:val="18"/>
          <w:highlight w:val="none"/>
        </w:rPr>
      </w:pPr>
    </w:p>
    <w:p>
      <w:pPr>
        <w:outlineLvl w:val="9"/>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备注：项目不分标段的，第___标段空白处填写“/”。</w:t>
      </w:r>
    </w:p>
    <w:p>
      <w:pPr>
        <w:outlineLvl w:val="9"/>
        <w:rPr>
          <w:rFonts w:hint="eastAsia" w:asciiTheme="minorEastAsia" w:hAnsiTheme="minorEastAsia" w:eastAsiaTheme="minorEastAsia" w:cstheme="minorEastAsia"/>
          <w:sz w:val="24"/>
          <w:szCs w:val="24"/>
          <w:highlight w:val="none"/>
        </w:rPr>
      </w:pPr>
    </w:p>
    <w:p>
      <w:pPr>
        <w:outlineLvl w:val="9"/>
        <w:rPr>
          <w:rFonts w:hint="eastAsia" w:asciiTheme="minorEastAsia" w:hAnsiTheme="minorEastAsia" w:eastAsiaTheme="minorEastAsia" w:cstheme="minorEastAsia"/>
          <w:sz w:val="24"/>
          <w:szCs w:val="24"/>
          <w:highlight w:val="none"/>
        </w:rPr>
      </w:pPr>
    </w:p>
    <w:p>
      <w:pPr>
        <w:outlineLvl w:val="9"/>
        <w:rPr>
          <w:rFonts w:hint="eastAsia" w:asciiTheme="minorEastAsia" w:hAnsiTheme="minorEastAsia" w:eastAsiaTheme="minorEastAsia" w:cstheme="minorEastAsia"/>
          <w:sz w:val="24"/>
          <w:szCs w:val="24"/>
          <w:highlight w:val="none"/>
        </w:rPr>
      </w:pPr>
    </w:p>
    <w:p>
      <w:pPr>
        <w:outlineLvl w:val="9"/>
        <w:rPr>
          <w:rFonts w:hint="eastAsia" w:asciiTheme="minorEastAsia" w:hAnsiTheme="minorEastAsia" w:eastAsiaTheme="minorEastAsia" w:cstheme="minorEastAsia"/>
          <w:sz w:val="24"/>
          <w:szCs w:val="24"/>
          <w:highlight w:val="none"/>
        </w:rPr>
      </w:pPr>
    </w:p>
    <w:p>
      <w:pPr>
        <w:outlineLvl w:val="9"/>
        <w:rPr>
          <w:rFonts w:hint="eastAsia" w:asciiTheme="minorEastAsia" w:hAnsiTheme="minorEastAsia" w:eastAsiaTheme="minorEastAsia" w:cstheme="minorEastAsia"/>
          <w:sz w:val="24"/>
          <w:szCs w:val="24"/>
          <w:highlight w:val="none"/>
        </w:rPr>
      </w:pPr>
    </w:p>
    <w:p>
      <w:pPr>
        <w:outlineLvl w:val="9"/>
        <w:rPr>
          <w:rFonts w:hint="eastAsia" w:asciiTheme="minorEastAsia" w:hAnsiTheme="minorEastAsia" w:eastAsiaTheme="minorEastAsia" w:cstheme="minorEastAsia"/>
          <w:sz w:val="24"/>
          <w:szCs w:val="24"/>
          <w:highlight w:val="none"/>
        </w:rPr>
      </w:pPr>
    </w:p>
    <w:p>
      <w:pPr>
        <w:outlineLvl w:val="9"/>
        <w:rPr>
          <w:rFonts w:hint="eastAsia" w:asciiTheme="minorEastAsia" w:hAnsiTheme="minorEastAsia" w:eastAsiaTheme="minorEastAsia" w:cstheme="minorEastAsia"/>
          <w:sz w:val="24"/>
          <w:szCs w:val="24"/>
          <w:highlight w:val="none"/>
        </w:rPr>
      </w:pPr>
    </w:p>
    <w:p>
      <w:pPr>
        <w:outlineLvl w:val="9"/>
        <w:rPr>
          <w:rFonts w:hint="eastAsia" w:asciiTheme="minorEastAsia" w:hAnsiTheme="minorEastAsia" w:eastAsiaTheme="minorEastAsia" w:cstheme="minorEastAsia"/>
          <w:sz w:val="24"/>
          <w:szCs w:val="24"/>
          <w:highlight w:val="none"/>
        </w:rPr>
      </w:pPr>
    </w:p>
    <w:p>
      <w:pPr>
        <w:outlineLvl w:val="9"/>
        <w:rPr>
          <w:rFonts w:hint="eastAsia" w:asciiTheme="minorEastAsia" w:hAnsiTheme="minorEastAsia" w:eastAsiaTheme="minorEastAsia" w:cstheme="minorEastAsia"/>
          <w:sz w:val="24"/>
          <w:szCs w:val="24"/>
          <w:highlight w:val="none"/>
        </w:rPr>
      </w:pPr>
    </w:p>
    <w:p>
      <w:pPr>
        <w:outlineLvl w:val="9"/>
        <w:rPr>
          <w:rFonts w:hint="eastAsia" w:asciiTheme="minorEastAsia" w:hAnsiTheme="minorEastAsia" w:eastAsiaTheme="minorEastAsia" w:cstheme="minorEastAsia"/>
          <w:sz w:val="24"/>
          <w:szCs w:val="24"/>
          <w:highlight w:val="none"/>
        </w:rPr>
      </w:pPr>
    </w:p>
    <w:p>
      <w:pPr>
        <w:outlineLvl w:val="9"/>
        <w:rPr>
          <w:rFonts w:hint="eastAsia" w:asciiTheme="minorEastAsia" w:hAnsiTheme="minorEastAsia" w:eastAsiaTheme="minorEastAsia" w:cstheme="minorEastAsia"/>
          <w:sz w:val="24"/>
          <w:szCs w:val="24"/>
          <w:highlight w:val="none"/>
        </w:rPr>
      </w:pPr>
    </w:p>
    <w:p>
      <w:pPr>
        <w:outlineLvl w:val="9"/>
        <w:rPr>
          <w:rFonts w:hint="eastAsia" w:asciiTheme="minorEastAsia" w:hAnsiTheme="minorEastAsia" w:eastAsiaTheme="minorEastAsia" w:cstheme="minorEastAsia"/>
          <w:sz w:val="24"/>
          <w:szCs w:val="24"/>
          <w:highlight w:val="none"/>
        </w:rPr>
      </w:pPr>
    </w:p>
    <w:p>
      <w:pPr>
        <w:outlineLvl w:val="9"/>
        <w:rPr>
          <w:rFonts w:hint="eastAsia" w:asciiTheme="minorEastAsia" w:hAnsiTheme="minorEastAsia" w:eastAsiaTheme="minorEastAsia" w:cstheme="minorEastAsia"/>
          <w:sz w:val="24"/>
          <w:szCs w:val="24"/>
          <w:highlight w:val="none"/>
        </w:rPr>
      </w:pPr>
    </w:p>
    <w:p>
      <w:pPr>
        <w:outlineLvl w:val="9"/>
        <w:rPr>
          <w:rFonts w:hint="eastAsia" w:asciiTheme="minorEastAsia" w:hAnsiTheme="minorEastAsia" w:eastAsiaTheme="minorEastAsia" w:cstheme="minorEastAsia"/>
          <w:sz w:val="24"/>
          <w:szCs w:val="24"/>
          <w:highlight w:val="none"/>
        </w:rPr>
      </w:pPr>
    </w:p>
    <w:p>
      <w:pPr>
        <w:outlineLvl w:val="9"/>
        <w:rPr>
          <w:rFonts w:hint="eastAsia" w:asciiTheme="minorEastAsia" w:hAnsiTheme="minorEastAsia" w:eastAsiaTheme="minorEastAsia" w:cstheme="minorEastAsia"/>
          <w:sz w:val="24"/>
          <w:szCs w:val="24"/>
          <w:highlight w:val="none"/>
        </w:rPr>
      </w:pPr>
    </w:p>
    <w:p>
      <w:pPr>
        <w:outlineLvl w:val="9"/>
        <w:rPr>
          <w:rFonts w:hint="eastAsia" w:asciiTheme="minorEastAsia" w:hAnsiTheme="minorEastAsia" w:eastAsiaTheme="minorEastAsia" w:cstheme="minorEastAsia"/>
          <w:sz w:val="24"/>
          <w:szCs w:val="24"/>
          <w:highlight w:val="none"/>
        </w:rPr>
      </w:pPr>
    </w:p>
    <w:p>
      <w:pPr>
        <w:outlineLvl w:val="9"/>
        <w:rPr>
          <w:rFonts w:hint="eastAsia" w:asciiTheme="minorEastAsia" w:hAnsiTheme="minorEastAsia" w:eastAsiaTheme="minorEastAsia" w:cstheme="minorEastAsia"/>
          <w:sz w:val="24"/>
          <w:szCs w:val="24"/>
          <w:highlight w:val="none"/>
        </w:rPr>
      </w:pPr>
    </w:p>
    <w:p>
      <w:pPr>
        <w:outlineLvl w:val="9"/>
        <w:rPr>
          <w:rFonts w:hint="eastAsia" w:asciiTheme="minorEastAsia" w:hAnsiTheme="minorEastAsia" w:eastAsiaTheme="minorEastAsia" w:cstheme="minorEastAsia"/>
          <w:sz w:val="24"/>
          <w:szCs w:val="24"/>
          <w:highlight w:val="none"/>
        </w:rPr>
      </w:pPr>
    </w:p>
    <w:p>
      <w:pPr>
        <w:shd w:val="clear"/>
        <w:spacing w:line="360" w:lineRule="auto"/>
        <w:jc w:val="center"/>
        <w:outlineLvl w:val="9"/>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法定代表人授权委托书（格式）</w:t>
      </w:r>
    </w:p>
    <w:p>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cstheme="minorEastAsia"/>
          <w:sz w:val="24"/>
          <w:szCs w:val="24"/>
          <w:highlight w:val="none"/>
          <w:lang w:val="en-US" w:eastAsia="zh-CN"/>
        </w:rPr>
        <w:t>咸阳市秦都区</w:t>
      </w:r>
      <w:r>
        <w:rPr>
          <w:rFonts w:hint="eastAsia" w:asciiTheme="minorEastAsia" w:hAnsiTheme="minorEastAsia" w:eastAsiaTheme="minorEastAsia" w:cstheme="minorEastAsia"/>
          <w:sz w:val="24"/>
          <w:szCs w:val="24"/>
          <w:highlight w:val="none"/>
        </w:rPr>
        <w:t>政府采购中心：</w:t>
      </w:r>
    </w:p>
    <w:p>
      <w:pPr>
        <w:spacing w:line="360" w:lineRule="auto"/>
        <w:ind w:firstLine="480" w:firstLineChars="200"/>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现委派</w:t>
      </w:r>
      <w:r>
        <w:rPr>
          <w:rFonts w:hint="eastAsia" w:asciiTheme="minorEastAsia" w:hAnsiTheme="minorEastAsia" w:eastAsiaTheme="minorEastAsia" w:cstheme="minorEastAsia"/>
          <w:sz w:val="24"/>
          <w:szCs w:val="24"/>
          <w:highlight w:val="none"/>
          <w:u w:val="single"/>
        </w:rPr>
        <w:t>（被授权代表姓名）</w:t>
      </w:r>
      <w:r>
        <w:rPr>
          <w:rFonts w:hint="eastAsia" w:asciiTheme="minorEastAsia" w:hAnsiTheme="minorEastAsia" w:eastAsiaTheme="minorEastAsia" w:cstheme="minorEastAsia"/>
          <w:sz w:val="24"/>
          <w:szCs w:val="24"/>
          <w:highlight w:val="none"/>
        </w:rPr>
        <w:t>（身份证号：）为本公司的被授权代表，参加贵中心组织的</w:t>
      </w:r>
      <w:r>
        <w:rPr>
          <w:rFonts w:hint="eastAsia" w:asciiTheme="minorEastAsia" w:hAnsiTheme="minorEastAsia" w:eastAsiaTheme="minorEastAsia" w:cstheme="minorEastAsia"/>
          <w:sz w:val="24"/>
          <w:szCs w:val="24"/>
          <w:highlight w:val="none"/>
          <w:u w:val="single"/>
        </w:rPr>
        <w:t>《项目名称》</w:t>
      </w:r>
      <w:r>
        <w:rPr>
          <w:rFonts w:hint="eastAsia" w:asciiTheme="minorEastAsia" w:hAnsiTheme="minorEastAsia" w:eastAsiaTheme="minorEastAsia" w:cstheme="minorEastAsia"/>
          <w:sz w:val="24"/>
          <w:szCs w:val="24"/>
          <w:highlight w:val="none"/>
        </w:rPr>
        <w:t>（项目编号：</w:t>
      </w:r>
      <w:r>
        <w:rPr>
          <w:rFonts w:hint="eastAsia" w:asciiTheme="minorEastAsia" w:hAnsi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rPr>
        <w:t>）第</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rPr>
        <w:t>标段政府采购活动，就该项目的投标及合同的执行和完成，以本公司的名义处理一切与之有关的事宜。本授权自开标之日起生效，有效期与响应文件有效期一致。</w:t>
      </w:r>
    </w:p>
    <w:p>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被授权代表姓名：</w:t>
      </w:r>
      <w:r>
        <w:rPr>
          <w:rFonts w:hint="eastAsia" w:asciiTheme="minorEastAsia" w:hAnsi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rPr>
        <w:t>性别：________</w:t>
      </w:r>
    </w:p>
    <w:p>
      <w:pPr>
        <w:spacing w:line="360" w:lineRule="auto"/>
        <w:outlineLvl w:val="9"/>
        <w:rPr>
          <w:rFonts w:hint="default"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rPr>
        <w:t>电话：</w:t>
      </w:r>
      <w:r>
        <w:rPr>
          <w:rFonts w:hint="eastAsia" w:asciiTheme="minorEastAsia" w:hAnsi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rPr>
        <w:t>通讯地址：</w:t>
      </w:r>
      <w:r>
        <w:rPr>
          <w:rFonts w:hint="eastAsia" w:asciiTheme="minorEastAsia" w:hAnsiTheme="minorEastAsia" w:cstheme="minorEastAsia"/>
          <w:sz w:val="24"/>
          <w:szCs w:val="24"/>
          <w:highlight w:val="none"/>
          <w:u w:val="single"/>
          <w:lang w:val="en-US" w:eastAsia="zh-CN"/>
        </w:rPr>
        <w:t xml:space="preserve">                                </w:t>
      </w:r>
    </w:p>
    <w:p>
      <w:pPr>
        <w:outlineLvl w:val="9"/>
        <w:rPr>
          <w:rFonts w:hint="eastAsia" w:asciiTheme="minorEastAsia" w:hAnsiTheme="minorEastAsia" w:eastAsiaTheme="minorEastAsia" w:cstheme="minorEastAsia"/>
          <w:sz w:val="24"/>
          <w:szCs w:val="24"/>
          <w:highlight w:val="none"/>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0"/>
        <w:gridCol w:w="41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5" w:hRule="atLeast"/>
        </w:trPr>
        <w:tc>
          <w:tcPr>
            <w:tcW w:w="4150" w:type="dxa"/>
            <w:vAlign w:val="center"/>
          </w:tcPr>
          <w:p>
            <w:pPr>
              <w:jc w:val="center"/>
              <w:rPr>
                <w:rFonts w:hint="eastAsia" w:ascii="仿宋_GB2312" w:hAnsi="仿宋_GB2312" w:eastAsia="仿宋_GB2312" w:cs="仿宋_GB2312"/>
                <w:sz w:val="24"/>
                <w:szCs w:val="24"/>
                <w:highlight w:val="none"/>
                <w:vertAlign w:val="baseline"/>
              </w:rPr>
            </w:pPr>
            <w:r>
              <w:rPr>
                <w:rFonts w:hint="eastAsia" w:ascii="仿宋_GB2312" w:hAnsi="仿宋_GB2312" w:eastAsia="仿宋_GB2312" w:cs="仿宋_GB2312"/>
                <w:sz w:val="24"/>
                <w:szCs w:val="24"/>
                <w:highlight w:val="none"/>
                <w:vertAlign w:val="baseline"/>
              </w:rPr>
              <w:t>法定代表人身份证复印件</w:t>
            </w:r>
          </w:p>
          <w:p>
            <w:pPr>
              <w:jc w:val="center"/>
              <w:rPr>
                <w:rFonts w:hint="eastAsia" w:ascii="仿宋_GB2312" w:hAnsi="仿宋_GB2312" w:eastAsia="仿宋_GB2312" w:cs="仿宋_GB2312"/>
                <w:sz w:val="24"/>
                <w:szCs w:val="24"/>
                <w:highlight w:val="none"/>
                <w:vertAlign w:val="baseline"/>
              </w:rPr>
            </w:pPr>
            <w:r>
              <w:rPr>
                <w:rFonts w:hint="eastAsia" w:ascii="仿宋_GB2312" w:hAnsi="仿宋_GB2312" w:eastAsia="仿宋_GB2312" w:cs="仿宋_GB2312"/>
                <w:sz w:val="24"/>
                <w:szCs w:val="24"/>
                <w:highlight w:val="none"/>
                <w:vertAlign w:val="baseline"/>
              </w:rPr>
              <w:t>（有人像面）</w:t>
            </w:r>
          </w:p>
        </w:tc>
        <w:tc>
          <w:tcPr>
            <w:tcW w:w="4150" w:type="dxa"/>
            <w:vAlign w:val="center"/>
          </w:tcPr>
          <w:p>
            <w:pPr>
              <w:jc w:val="center"/>
              <w:rPr>
                <w:rFonts w:hint="eastAsia" w:ascii="仿宋_GB2312" w:hAnsi="仿宋_GB2312" w:eastAsia="仿宋_GB2312" w:cs="仿宋_GB2312"/>
                <w:sz w:val="24"/>
                <w:szCs w:val="24"/>
                <w:highlight w:val="none"/>
                <w:vertAlign w:val="baseline"/>
              </w:rPr>
            </w:pPr>
            <w:r>
              <w:rPr>
                <w:rFonts w:hint="eastAsia" w:ascii="仿宋_GB2312" w:hAnsi="仿宋_GB2312" w:eastAsia="仿宋_GB2312" w:cs="仿宋_GB2312"/>
                <w:sz w:val="24"/>
                <w:szCs w:val="24"/>
                <w:highlight w:val="none"/>
                <w:vertAlign w:val="baseline"/>
              </w:rPr>
              <w:t>被授权代表身份证复印件</w:t>
            </w:r>
          </w:p>
          <w:p>
            <w:pPr>
              <w:jc w:val="center"/>
              <w:rPr>
                <w:rFonts w:hint="eastAsia" w:ascii="仿宋_GB2312" w:hAnsi="仿宋_GB2312" w:eastAsia="仿宋_GB2312" w:cs="仿宋_GB2312"/>
                <w:sz w:val="24"/>
                <w:szCs w:val="24"/>
                <w:highlight w:val="none"/>
                <w:vertAlign w:val="baseline"/>
              </w:rPr>
            </w:pPr>
            <w:r>
              <w:rPr>
                <w:rFonts w:hint="eastAsia" w:ascii="仿宋_GB2312" w:hAnsi="仿宋_GB2312" w:eastAsia="仿宋_GB2312" w:cs="仿宋_GB2312"/>
                <w:sz w:val="24"/>
                <w:szCs w:val="24"/>
                <w:highlight w:val="none"/>
                <w:vertAlign w:val="baseline"/>
              </w:rPr>
              <w:t>（有人像面）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4" w:hRule="atLeast"/>
        </w:trPr>
        <w:tc>
          <w:tcPr>
            <w:tcW w:w="4150" w:type="dxa"/>
            <w:vAlign w:val="center"/>
          </w:tcPr>
          <w:p>
            <w:pPr>
              <w:jc w:val="center"/>
              <w:rPr>
                <w:rFonts w:hint="eastAsia" w:ascii="仿宋_GB2312" w:hAnsi="仿宋_GB2312" w:eastAsia="仿宋_GB2312" w:cs="仿宋_GB2312"/>
                <w:sz w:val="24"/>
                <w:szCs w:val="24"/>
                <w:highlight w:val="none"/>
                <w:vertAlign w:val="baseline"/>
              </w:rPr>
            </w:pPr>
            <w:r>
              <w:rPr>
                <w:rFonts w:hint="eastAsia" w:ascii="仿宋_GB2312" w:hAnsi="仿宋_GB2312" w:eastAsia="仿宋_GB2312" w:cs="仿宋_GB2312"/>
                <w:sz w:val="24"/>
                <w:szCs w:val="24"/>
                <w:highlight w:val="none"/>
                <w:vertAlign w:val="baseline"/>
              </w:rPr>
              <w:t>法定代表人身份证复印件</w:t>
            </w:r>
          </w:p>
          <w:p>
            <w:pPr>
              <w:jc w:val="center"/>
              <w:rPr>
                <w:rFonts w:hint="eastAsia" w:ascii="仿宋_GB2312" w:hAnsi="仿宋_GB2312" w:eastAsia="仿宋_GB2312" w:cs="仿宋_GB2312"/>
                <w:sz w:val="24"/>
                <w:szCs w:val="24"/>
                <w:highlight w:val="none"/>
                <w:vertAlign w:val="baseline"/>
              </w:rPr>
            </w:pPr>
            <w:r>
              <w:rPr>
                <w:rFonts w:hint="eastAsia" w:ascii="仿宋_GB2312" w:hAnsi="仿宋_GB2312" w:eastAsia="仿宋_GB2312" w:cs="仿宋_GB2312"/>
                <w:sz w:val="24"/>
                <w:szCs w:val="24"/>
                <w:highlight w:val="none"/>
                <w:vertAlign w:val="baseline"/>
              </w:rPr>
              <w:t>（有国徽面）</w:t>
            </w:r>
          </w:p>
        </w:tc>
        <w:tc>
          <w:tcPr>
            <w:tcW w:w="4150" w:type="dxa"/>
            <w:vAlign w:val="center"/>
          </w:tcPr>
          <w:p>
            <w:pPr>
              <w:jc w:val="center"/>
              <w:rPr>
                <w:rFonts w:hint="eastAsia" w:ascii="仿宋_GB2312" w:hAnsi="仿宋_GB2312" w:eastAsia="仿宋_GB2312" w:cs="仿宋_GB2312"/>
                <w:sz w:val="24"/>
                <w:szCs w:val="24"/>
                <w:highlight w:val="none"/>
                <w:vertAlign w:val="baseline"/>
              </w:rPr>
            </w:pPr>
            <w:r>
              <w:rPr>
                <w:rFonts w:hint="eastAsia" w:ascii="仿宋_GB2312" w:hAnsi="仿宋_GB2312" w:eastAsia="仿宋_GB2312" w:cs="仿宋_GB2312"/>
                <w:sz w:val="24"/>
                <w:szCs w:val="24"/>
                <w:highlight w:val="none"/>
                <w:vertAlign w:val="baseline"/>
              </w:rPr>
              <w:t>被授权代表身份证复印件</w:t>
            </w:r>
          </w:p>
          <w:p>
            <w:pPr>
              <w:jc w:val="center"/>
              <w:rPr>
                <w:rFonts w:hint="eastAsia" w:ascii="仿宋_GB2312" w:hAnsi="仿宋_GB2312" w:eastAsia="仿宋_GB2312" w:cs="仿宋_GB2312"/>
                <w:sz w:val="24"/>
                <w:szCs w:val="24"/>
                <w:highlight w:val="none"/>
                <w:vertAlign w:val="baseline"/>
              </w:rPr>
            </w:pPr>
            <w:r>
              <w:rPr>
                <w:rFonts w:hint="eastAsia" w:ascii="仿宋_GB2312" w:hAnsi="仿宋_GB2312" w:eastAsia="仿宋_GB2312" w:cs="仿宋_GB2312"/>
                <w:sz w:val="24"/>
                <w:szCs w:val="24"/>
                <w:highlight w:val="none"/>
                <w:vertAlign w:val="baseline"/>
              </w:rPr>
              <w:t>（有国徽面）</w:t>
            </w:r>
          </w:p>
        </w:tc>
      </w:tr>
    </w:tbl>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1"/>
          <w:szCs w:val="21"/>
          <w:highlight w:val="none"/>
        </w:rPr>
      </w:pPr>
    </w:p>
    <w:p>
      <w:pPr>
        <w:ind w:firstLine="2640" w:firstLineChars="1100"/>
        <w:rPr>
          <w:rFonts w:hint="eastAsia" w:asciiTheme="minorEastAsia" w:hAnsi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供应商：</w:t>
      </w:r>
      <w:r>
        <w:rPr>
          <w:rFonts w:hint="eastAsia" w:asciiTheme="minorEastAsia" w:hAnsi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u w:val="single"/>
        </w:rPr>
        <w:t>名称</w:t>
      </w:r>
      <w:r>
        <w:rPr>
          <w:rFonts w:hint="eastAsia" w:asciiTheme="minorEastAsia" w:hAnsi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rPr>
        <w:t>（加盖公章）</w:t>
      </w:r>
      <w:r>
        <w:rPr>
          <w:rFonts w:hint="eastAsia" w:asciiTheme="minorEastAsia" w:hAnsiTheme="minorEastAsia" w:cstheme="minorEastAsia"/>
          <w:sz w:val="24"/>
          <w:szCs w:val="24"/>
          <w:highlight w:val="none"/>
          <w:lang w:val="en-US" w:eastAsia="zh-CN"/>
        </w:rPr>
        <w:t xml:space="preserve">  </w:t>
      </w:r>
    </w:p>
    <w:p>
      <w:pPr>
        <w:ind w:firstLine="2160" w:firstLineChars="900"/>
        <w:rPr>
          <w:rFonts w:hint="eastAsia" w:asciiTheme="minorEastAsia" w:hAnsiTheme="minorEastAsia" w:eastAsiaTheme="minorEastAsia" w:cstheme="minorEastAsia"/>
          <w:sz w:val="24"/>
          <w:szCs w:val="24"/>
          <w:highlight w:val="none"/>
        </w:rPr>
      </w:pPr>
    </w:p>
    <w:p>
      <w:pPr>
        <w:ind w:firstLine="2640" w:firstLineChars="1100"/>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法定代表人：</w:t>
      </w:r>
      <w:r>
        <w:rPr>
          <w:rFonts w:hint="eastAsia" w:asciiTheme="minorEastAsia" w:hAnsi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u w:val="none"/>
        </w:rPr>
        <w:t>（签字或盖章）</w:t>
      </w:r>
    </w:p>
    <w:p>
      <w:pPr>
        <w:ind w:firstLine="5280" w:firstLineChars="2200"/>
        <w:rPr>
          <w:rFonts w:hint="eastAsia" w:asciiTheme="minorEastAsia" w:hAnsiTheme="minorEastAsia" w:eastAsiaTheme="minorEastAsia" w:cstheme="minorEastAsia"/>
          <w:sz w:val="24"/>
          <w:szCs w:val="24"/>
          <w:highlight w:val="none"/>
        </w:rPr>
      </w:pPr>
    </w:p>
    <w:p>
      <w:pPr>
        <w:ind w:firstLine="5280" w:firstLineChars="2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日期：</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年</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月</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日</w:t>
      </w: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备注：1、项目不分标段的，第___标段空白处填写“/”。</w:t>
      </w:r>
    </w:p>
    <w:p>
      <w:pPr>
        <w:ind w:firstLine="630" w:firstLineChars="3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2、法定代表人亲自参加磋商的，无需提供该委托授权书，但须提供法定代表人本人身份证（正反面）复印件，并在复印件中注明联系方式。</w:t>
      </w:r>
    </w:p>
    <w:p>
      <w:pPr>
        <w:ind w:firstLine="630" w:firstLineChars="3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3、法定代表人签字或盖章可采用纸质签字或盖章后，上传至电子响应文件，也可使用法定代表人CA锁在电子响应文件制作软件中签章。</w:t>
      </w:r>
    </w:p>
    <w:p>
      <w:pPr>
        <w:ind w:firstLine="630" w:firstLineChars="3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4、法人的分支机构参与磋商时，除提供《法定代表人授权委托书》外，还须同时提供法人给分支机构出具的授权书。授权书附此处。</w:t>
      </w:r>
    </w:p>
    <w:p>
      <w:pPr>
        <w:rPr>
          <w:rFonts w:hint="eastAsia" w:asciiTheme="minorEastAsia" w:hAnsiTheme="minorEastAsia" w:eastAsiaTheme="minorEastAsia" w:cstheme="minorEastAsia"/>
          <w:sz w:val="24"/>
          <w:szCs w:val="24"/>
          <w:highlight w:val="none"/>
        </w:rPr>
      </w:pPr>
    </w:p>
    <w:p>
      <w:pPr>
        <w:shd w:val="clear"/>
        <w:spacing w:line="360" w:lineRule="auto"/>
        <w:jc w:val="center"/>
        <w:outlineLvl w:val="9"/>
        <w:rPr>
          <w:rFonts w:hint="eastAsia" w:asciiTheme="minorEastAsia" w:hAnsiTheme="minorEastAsia" w:eastAsiaTheme="minorEastAsia" w:cstheme="minorEastAsia"/>
          <w:b/>
          <w:bCs/>
          <w:sz w:val="24"/>
          <w:szCs w:val="24"/>
          <w:highlight w:val="none"/>
        </w:rPr>
      </w:pPr>
    </w:p>
    <w:p>
      <w:pPr>
        <w:shd w:val="clear"/>
        <w:spacing w:line="360" w:lineRule="auto"/>
        <w:jc w:val="center"/>
        <w:outlineLvl w:val="9"/>
        <w:rPr>
          <w:rFonts w:hint="eastAsia" w:asciiTheme="minorEastAsia" w:hAnsiTheme="minorEastAsia" w:eastAsiaTheme="minorEastAsia" w:cstheme="minorEastAsia"/>
          <w:b/>
          <w:bCs/>
          <w:sz w:val="24"/>
          <w:szCs w:val="24"/>
          <w:highlight w:val="none"/>
        </w:rPr>
      </w:pPr>
    </w:p>
    <w:p>
      <w:pPr>
        <w:shd w:val="clear"/>
        <w:spacing w:line="360" w:lineRule="auto"/>
        <w:jc w:val="center"/>
        <w:outlineLvl w:val="9"/>
        <w:rPr>
          <w:rFonts w:hint="eastAsia" w:asciiTheme="minorEastAsia" w:hAnsiTheme="minorEastAsia" w:eastAsiaTheme="minorEastAsia" w:cstheme="minorEastAsia"/>
          <w:b/>
          <w:bCs/>
          <w:sz w:val="24"/>
          <w:szCs w:val="24"/>
          <w:highlight w:val="none"/>
        </w:rPr>
      </w:pPr>
    </w:p>
    <w:p>
      <w:pPr>
        <w:shd w:val="clear"/>
        <w:spacing w:line="360" w:lineRule="auto"/>
        <w:jc w:val="center"/>
        <w:outlineLvl w:val="9"/>
        <w:rPr>
          <w:rFonts w:hint="eastAsia" w:asciiTheme="minorEastAsia" w:hAnsiTheme="minorEastAsia" w:eastAsiaTheme="minorEastAsia" w:cstheme="minorEastAsia"/>
          <w:b/>
          <w:bCs/>
          <w:sz w:val="24"/>
          <w:szCs w:val="24"/>
          <w:highlight w:val="none"/>
        </w:rPr>
      </w:pPr>
    </w:p>
    <w:p>
      <w:pPr>
        <w:shd w:val="clear"/>
        <w:spacing w:line="360" w:lineRule="auto"/>
        <w:jc w:val="center"/>
        <w:outlineLvl w:val="9"/>
        <w:rPr>
          <w:rFonts w:hint="eastAsia" w:asciiTheme="minorEastAsia" w:hAnsiTheme="minorEastAsia" w:eastAsiaTheme="minorEastAsia" w:cstheme="minorEastAsia"/>
          <w:b/>
          <w:bCs/>
          <w:sz w:val="24"/>
          <w:szCs w:val="24"/>
          <w:highlight w:val="none"/>
        </w:rPr>
      </w:pPr>
    </w:p>
    <w:p>
      <w:pPr>
        <w:shd w:val="clear"/>
        <w:spacing w:line="360" w:lineRule="auto"/>
        <w:jc w:val="center"/>
        <w:outlineLvl w:val="9"/>
        <w:rPr>
          <w:rFonts w:hint="eastAsia" w:asciiTheme="minorEastAsia" w:hAnsiTheme="minorEastAsia" w:eastAsiaTheme="minorEastAsia" w:cstheme="minorEastAsia"/>
          <w:b/>
          <w:bCs/>
          <w:sz w:val="24"/>
          <w:szCs w:val="24"/>
          <w:highlight w:val="none"/>
        </w:rPr>
      </w:pPr>
    </w:p>
    <w:p>
      <w:pPr>
        <w:shd w:val="clear"/>
        <w:spacing w:line="360" w:lineRule="auto"/>
        <w:jc w:val="center"/>
        <w:outlineLvl w:val="9"/>
        <w:rPr>
          <w:rFonts w:hint="eastAsia" w:asciiTheme="minorEastAsia" w:hAnsiTheme="minorEastAsia" w:eastAsiaTheme="minorEastAsia" w:cstheme="minorEastAsia"/>
          <w:b/>
          <w:bCs/>
          <w:sz w:val="24"/>
          <w:szCs w:val="24"/>
          <w:highlight w:val="none"/>
        </w:rPr>
      </w:pPr>
    </w:p>
    <w:p>
      <w:pPr>
        <w:shd w:val="clear"/>
        <w:spacing w:line="360" w:lineRule="auto"/>
        <w:jc w:val="center"/>
        <w:outlineLvl w:val="9"/>
        <w:rPr>
          <w:rFonts w:hint="eastAsia" w:asciiTheme="minorEastAsia" w:hAnsiTheme="minorEastAsia" w:eastAsiaTheme="minorEastAsia" w:cstheme="minorEastAsia"/>
          <w:b/>
          <w:bCs/>
          <w:sz w:val="24"/>
          <w:szCs w:val="24"/>
          <w:highlight w:val="none"/>
        </w:rPr>
      </w:pPr>
    </w:p>
    <w:p>
      <w:pPr>
        <w:shd w:val="clear"/>
        <w:spacing w:line="360" w:lineRule="auto"/>
        <w:jc w:val="center"/>
        <w:outlineLvl w:val="9"/>
        <w:rPr>
          <w:rFonts w:hint="eastAsia" w:asciiTheme="minorEastAsia" w:hAnsiTheme="minorEastAsia" w:eastAsiaTheme="minorEastAsia" w:cstheme="minorEastAsia"/>
          <w:b/>
          <w:bCs/>
          <w:sz w:val="24"/>
          <w:szCs w:val="24"/>
          <w:highlight w:val="none"/>
        </w:rPr>
      </w:pPr>
    </w:p>
    <w:p>
      <w:pPr>
        <w:shd w:val="clear"/>
        <w:spacing w:line="360" w:lineRule="auto"/>
        <w:jc w:val="center"/>
        <w:outlineLvl w:val="9"/>
        <w:rPr>
          <w:rFonts w:hint="eastAsia" w:asciiTheme="minorEastAsia" w:hAnsiTheme="minorEastAsia" w:eastAsiaTheme="minorEastAsia" w:cstheme="minorEastAsia"/>
          <w:b/>
          <w:bCs/>
          <w:sz w:val="24"/>
          <w:szCs w:val="24"/>
          <w:highlight w:val="none"/>
        </w:rPr>
      </w:pPr>
    </w:p>
    <w:p>
      <w:pPr>
        <w:shd w:val="clear"/>
        <w:spacing w:line="360" w:lineRule="auto"/>
        <w:jc w:val="center"/>
        <w:outlineLvl w:val="9"/>
        <w:rPr>
          <w:rFonts w:hint="eastAsia" w:asciiTheme="minorEastAsia" w:hAnsiTheme="minorEastAsia" w:eastAsiaTheme="minorEastAsia" w:cstheme="minorEastAsia"/>
          <w:b/>
          <w:bCs/>
          <w:sz w:val="24"/>
          <w:szCs w:val="24"/>
          <w:highlight w:val="none"/>
        </w:rPr>
      </w:pPr>
    </w:p>
    <w:p>
      <w:pPr>
        <w:shd w:val="clear"/>
        <w:spacing w:line="360" w:lineRule="auto"/>
        <w:jc w:val="center"/>
        <w:outlineLvl w:val="9"/>
        <w:rPr>
          <w:rFonts w:hint="eastAsia" w:asciiTheme="minorEastAsia" w:hAnsiTheme="minorEastAsia" w:eastAsiaTheme="minorEastAsia" w:cstheme="minorEastAsia"/>
          <w:b/>
          <w:bCs/>
          <w:sz w:val="24"/>
          <w:szCs w:val="24"/>
          <w:highlight w:val="none"/>
        </w:rPr>
      </w:pPr>
    </w:p>
    <w:p>
      <w:pPr>
        <w:shd w:val="clear"/>
        <w:spacing w:line="360" w:lineRule="auto"/>
        <w:jc w:val="center"/>
        <w:outlineLvl w:val="9"/>
        <w:rPr>
          <w:rFonts w:hint="eastAsia" w:asciiTheme="minorEastAsia" w:hAnsiTheme="minorEastAsia" w:eastAsiaTheme="minorEastAsia" w:cstheme="minorEastAsia"/>
          <w:b/>
          <w:bCs/>
          <w:sz w:val="24"/>
          <w:szCs w:val="24"/>
          <w:highlight w:val="none"/>
        </w:rPr>
      </w:pPr>
    </w:p>
    <w:p>
      <w:pPr>
        <w:shd w:val="clear"/>
        <w:spacing w:line="360" w:lineRule="auto"/>
        <w:jc w:val="center"/>
        <w:outlineLvl w:val="9"/>
        <w:rPr>
          <w:rFonts w:hint="eastAsia" w:asciiTheme="minorEastAsia" w:hAnsiTheme="minorEastAsia" w:eastAsiaTheme="minorEastAsia" w:cstheme="minorEastAsia"/>
          <w:b/>
          <w:bCs/>
          <w:sz w:val="24"/>
          <w:szCs w:val="24"/>
          <w:highlight w:val="none"/>
        </w:rPr>
      </w:pPr>
    </w:p>
    <w:p>
      <w:pPr>
        <w:shd w:val="clear"/>
        <w:spacing w:line="360" w:lineRule="auto"/>
        <w:jc w:val="center"/>
        <w:outlineLvl w:val="9"/>
        <w:rPr>
          <w:rFonts w:hint="eastAsia" w:asciiTheme="minorEastAsia" w:hAnsiTheme="minorEastAsia" w:eastAsiaTheme="minorEastAsia" w:cstheme="minorEastAsia"/>
          <w:b/>
          <w:bCs/>
          <w:sz w:val="24"/>
          <w:szCs w:val="24"/>
          <w:highlight w:val="none"/>
        </w:rPr>
      </w:pPr>
    </w:p>
    <w:p>
      <w:pPr>
        <w:shd w:val="clear"/>
        <w:spacing w:line="360" w:lineRule="auto"/>
        <w:jc w:val="center"/>
        <w:outlineLvl w:val="9"/>
        <w:rPr>
          <w:rFonts w:hint="eastAsia" w:asciiTheme="minorEastAsia" w:hAnsiTheme="minorEastAsia" w:eastAsiaTheme="minorEastAsia" w:cstheme="minorEastAsia"/>
          <w:b/>
          <w:bCs/>
          <w:sz w:val="24"/>
          <w:szCs w:val="24"/>
          <w:highlight w:val="none"/>
        </w:rPr>
      </w:pPr>
    </w:p>
    <w:p>
      <w:pPr>
        <w:shd w:val="clear"/>
        <w:spacing w:line="360" w:lineRule="auto"/>
        <w:jc w:val="center"/>
        <w:outlineLvl w:val="9"/>
        <w:rPr>
          <w:rFonts w:hint="eastAsia" w:asciiTheme="minorEastAsia" w:hAnsiTheme="minorEastAsia" w:eastAsiaTheme="minorEastAsia" w:cstheme="minorEastAsia"/>
          <w:b/>
          <w:bCs/>
          <w:sz w:val="24"/>
          <w:szCs w:val="24"/>
          <w:highlight w:val="none"/>
        </w:rPr>
      </w:pPr>
    </w:p>
    <w:p>
      <w:pPr>
        <w:shd w:val="clear"/>
        <w:spacing w:line="360" w:lineRule="auto"/>
        <w:jc w:val="center"/>
        <w:outlineLvl w:val="9"/>
        <w:rPr>
          <w:rFonts w:hint="eastAsia" w:asciiTheme="minorEastAsia" w:hAnsiTheme="minorEastAsia" w:eastAsiaTheme="minorEastAsia" w:cstheme="minorEastAsia"/>
          <w:b/>
          <w:bCs/>
          <w:sz w:val="24"/>
          <w:szCs w:val="24"/>
          <w:highlight w:val="none"/>
        </w:rPr>
      </w:pPr>
    </w:p>
    <w:p>
      <w:pPr>
        <w:shd w:val="clear"/>
        <w:spacing w:line="360" w:lineRule="auto"/>
        <w:jc w:val="center"/>
        <w:outlineLvl w:val="9"/>
        <w:rPr>
          <w:rFonts w:hint="eastAsia" w:asciiTheme="minorEastAsia" w:hAnsiTheme="minorEastAsia" w:eastAsiaTheme="minorEastAsia" w:cstheme="minorEastAsia"/>
          <w:b/>
          <w:bCs/>
          <w:sz w:val="24"/>
          <w:szCs w:val="24"/>
          <w:highlight w:val="none"/>
        </w:rPr>
      </w:pPr>
    </w:p>
    <w:p>
      <w:pPr>
        <w:shd w:val="clear"/>
        <w:spacing w:line="360" w:lineRule="auto"/>
        <w:jc w:val="center"/>
        <w:outlineLvl w:val="9"/>
        <w:rPr>
          <w:rFonts w:hint="eastAsia" w:asciiTheme="minorEastAsia" w:hAnsiTheme="minorEastAsia" w:eastAsiaTheme="minorEastAsia" w:cstheme="minorEastAsia"/>
          <w:b/>
          <w:bCs/>
          <w:sz w:val="24"/>
          <w:szCs w:val="24"/>
          <w:highlight w:val="none"/>
        </w:rPr>
      </w:pPr>
    </w:p>
    <w:p>
      <w:pPr>
        <w:shd w:val="clear"/>
        <w:spacing w:line="360" w:lineRule="auto"/>
        <w:jc w:val="center"/>
        <w:outlineLvl w:val="9"/>
        <w:rPr>
          <w:rFonts w:hint="eastAsia" w:asciiTheme="minorEastAsia" w:hAnsiTheme="minorEastAsia" w:eastAsiaTheme="minorEastAsia" w:cstheme="minorEastAsia"/>
          <w:b/>
          <w:bCs/>
          <w:sz w:val="24"/>
          <w:szCs w:val="24"/>
          <w:highlight w:val="none"/>
        </w:rPr>
      </w:pPr>
    </w:p>
    <w:p>
      <w:pPr>
        <w:shd w:val="clear"/>
        <w:spacing w:line="360" w:lineRule="auto"/>
        <w:jc w:val="center"/>
        <w:outlineLvl w:val="9"/>
        <w:rPr>
          <w:rFonts w:hint="eastAsia" w:asciiTheme="minorEastAsia" w:hAnsiTheme="minorEastAsia" w:eastAsiaTheme="minorEastAsia" w:cstheme="minorEastAsia"/>
          <w:b/>
          <w:bCs/>
          <w:sz w:val="24"/>
          <w:szCs w:val="24"/>
          <w:highlight w:val="none"/>
        </w:rPr>
      </w:pPr>
    </w:p>
    <w:p>
      <w:pPr>
        <w:shd w:val="clear"/>
        <w:spacing w:line="360" w:lineRule="auto"/>
        <w:jc w:val="center"/>
        <w:outlineLvl w:val="9"/>
        <w:rPr>
          <w:rFonts w:hint="eastAsia" w:asciiTheme="minorEastAsia" w:hAnsiTheme="minorEastAsia" w:eastAsiaTheme="minorEastAsia" w:cstheme="minorEastAsia"/>
          <w:b/>
          <w:bCs/>
          <w:sz w:val="24"/>
          <w:szCs w:val="24"/>
          <w:highlight w:val="none"/>
        </w:rPr>
      </w:pPr>
    </w:p>
    <w:p>
      <w:pPr>
        <w:shd w:val="clear"/>
        <w:spacing w:line="360" w:lineRule="auto"/>
        <w:jc w:val="center"/>
        <w:outlineLvl w:val="9"/>
        <w:rPr>
          <w:rFonts w:hint="eastAsia" w:asciiTheme="minorEastAsia" w:hAnsiTheme="minorEastAsia" w:eastAsiaTheme="minorEastAsia" w:cstheme="minorEastAsia"/>
          <w:b/>
          <w:bCs/>
          <w:sz w:val="24"/>
          <w:szCs w:val="24"/>
          <w:highlight w:val="none"/>
        </w:rPr>
      </w:pPr>
    </w:p>
    <w:p>
      <w:pPr>
        <w:shd w:val="clear"/>
        <w:spacing w:line="360" w:lineRule="auto"/>
        <w:jc w:val="center"/>
        <w:outlineLvl w:val="9"/>
        <w:rPr>
          <w:rFonts w:hint="eastAsia" w:asciiTheme="minorEastAsia" w:hAnsiTheme="minorEastAsia" w:eastAsiaTheme="minorEastAsia" w:cstheme="minorEastAsia"/>
          <w:b/>
          <w:bCs/>
          <w:sz w:val="24"/>
          <w:szCs w:val="24"/>
          <w:highlight w:val="none"/>
        </w:rPr>
      </w:pPr>
    </w:p>
    <w:p>
      <w:pPr>
        <w:shd w:val="clear"/>
        <w:spacing w:line="360" w:lineRule="auto"/>
        <w:jc w:val="center"/>
        <w:outlineLvl w:val="9"/>
        <w:rPr>
          <w:rFonts w:hint="eastAsia" w:asciiTheme="minorEastAsia" w:hAnsiTheme="minorEastAsia" w:eastAsiaTheme="minorEastAsia" w:cstheme="minorEastAsia"/>
          <w:b/>
          <w:bCs/>
          <w:sz w:val="24"/>
          <w:szCs w:val="24"/>
          <w:highlight w:val="none"/>
        </w:rPr>
      </w:pPr>
    </w:p>
    <w:p>
      <w:pPr>
        <w:shd w:val="clear"/>
        <w:spacing w:line="360" w:lineRule="auto"/>
        <w:jc w:val="center"/>
        <w:outlineLvl w:val="9"/>
        <w:rPr>
          <w:rFonts w:hint="eastAsia" w:asciiTheme="minorEastAsia" w:hAnsiTheme="minorEastAsia" w:eastAsiaTheme="minorEastAsia" w:cstheme="minorEastAsia"/>
          <w:b/>
          <w:bCs/>
          <w:sz w:val="24"/>
          <w:szCs w:val="24"/>
          <w:highlight w:val="none"/>
        </w:rPr>
      </w:pPr>
    </w:p>
    <w:p>
      <w:pPr>
        <w:shd w:val="clear"/>
        <w:spacing w:line="360" w:lineRule="auto"/>
        <w:jc w:val="center"/>
        <w:outlineLvl w:val="9"/>
        <w:rPr>
          <w:rFonts w:hint="eastAsia" w:asciiTheme="minorEastAsia" w:hAnsiTheme="minorEastAsia" w:eastAsiaTheme="minorEastAsia" w:cstheme="minorEastAsia"/>
          <w:b/>
          <w:bCs/>
          <w:sz w:val="24"/>
          <w:szCs w:val="24"/>
          <w:highlight w:val="none"/>
        </w:rPr>
      </w:pPr>
    </w:p>
    <w:p>
      <w:pPr>
        <w:shd w:val="clear"/>
        <w:spacing w:line="360" w:lineRule="auto"/>
        <w:jc w:val="center"/>
        <w:outlineLvl w:val="9"/>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特定资格要求</w:t>
      </w:r>
    </w:p>
    <w:p>
      <w:pPr>
        <w:spacing w:line="480" w:lineRule="auto"/>
        <w:ind w:left="0" w:leftChars="0" w:firstLine="638" w:firstLineChars="266"/>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本项目采购内容以物业服务为主，其中涉及保安服务的，须以承诺书形式提供以下资料（承诺书格式不限），以下两种形式提供其中任意一种均可：</w:t>
      </w:r>
    </w:p>
    <w:p>
      <w:pPr>
        <w:spacing w:line="480" w:lineRule="auto"/>
        <w:ind w:left="0" w:leftChars="0" w:firstLine="638" w:firstLineChars="266"/>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（1）自行招用保安员的供应商须承诺：自承接本项目之日起30日内，向采购人所在地设区的市级人民政府公安机关备案。</w:t>
      </w:r>
    </w:p>
    <w:p>
      <w:pPr>
        <w:spacing w:line="480" w:lineRule="auto"/>
        <w:ind w:left="0" w:leftChars="0" w:firstLine="638" w:firstLineChars="266"/>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（2）从保安服务公司购买保安服务的供应商须承诺：成交后7日内，与保安服务公司签订保安服务合同，明确规定服务的项目、内容以及双方的权利义务，以满足本项目采购人的保安服务需求。</w:t>
      </w:r>
    </w:p>
    <w:p>
      <w:pPr>
        <w:outlineLvl w:val="9"/>
        <w:rPr>
          <w:rFonts w:hint="eastAsia" w:asciiTheme="minorEastAsia" w:hAnsiTheme="minorEastAsia" w:eastAsiaTheme="minorEastAsia" w:cstheme="minorEastAsia"/>
          <w:sz w:val="24"/>
          <w:szCs w:val="24"/>
          <w:highlight w:val="none"/>
        </w:rPr>
      </w:pPr>
    </w:p>
    <w:p>
      <w:pPr>
        <w:outlineLvl w:val="9"/>
        <w:rPr>
          <w:rFonts w:hint="eastAsia" w:asciiTheme="minorEastAsia" w:hAnsiTheme="minorEastAsia" w:eastAsiaTheme="minorEastAsia" w:cstheme="minorEastAsia"/>
          <w:sz w:val="24"/>
          <w:szCs w:val="24"/>
          <w:highlight w:val="none"/>
        </w:rPr>
      </w:pPr>
    </w:p>
    <w:p>
      <w:pPr>
        <w:outlineLvl w:val="9"/>
        <w:rPr>
          <w:rFonts w:hint="eastAsia" w:asciiTheme="minorEastAsia" w:hAnsiTheme="minorEastAsia" w:eastAsiaTheme="minorEastAsia" w:cstheme="minorEastAsia"/>
          <w:sz w:val="24"/>
          <w:szCs w:val="24"/>
          <w:highlight w:val="none"/>
        </w:rPr>
      </w:pPr>
    </w:p>
    <w:p>
      <w:pPr>
        <w:outlineLvl w:val="9"/>
        <w:rPr>
          <w:rFonts w:hint="eastAsia" w:asciiTheme="minorEastAsia" w:hAnsiTheme="minorEastAsia" w:eastAsiaTheme="minorEastAsia" w:cstheme="minorEastAsia"/>
          <w:sz w:val="24"/>
          <w:szCs w:val="24"/>
          <w:highlight w:val="none"/>
        </w:rPr>
      </w:pPr>
    </w:p>
    <w:p>
      <w:pPr>
        <w:outlineLvl w:val="9"/>
        <w:rPr>
          <w:rFonts w:hint="eastAsia" w:asciiTheme="minorEastAsia" w:hAnsiTheme="minorEastAsia" w:eastAsiaTheme="minorEastAsia" w:cstheme="minorEastAsia"/>
          <w:sz w:val="24"/>
          <w:szCs w:val="24"/>
          <w:highlight w:val="none"/>
        </w:rPr>
      </w:pPr>
    </w:p>
    <w:p>
      <w:pPr>
        <w:outlineLvl w:val="9"/>
        <w:rPr>
          <w:rFonts w:hint="eastAsia" w:asciiTheme="minorEastAsia" w:hAnsiTheme="minorEastAsia" w:eastAsiaTheme="minorEastAsia" w:cstheme="minorEastAsia"/>
          <w:sz w:val="24"/>
          <w:szCs w:val="24"/>
          <w:highlight w:val="none"/>
        </w:rPr>
      </w:pPr>
    </w:p>
    <w:p>
      <w:pPr>
        <w:outlineLvl w:val="9"/>
        <w:rPr>
          <w:rFonts w:hint="eastAsia" w:asciiTheme="minorEastAsia" w:hAnsiTheme="minorEastAsia" w:eastAsiaTheme="minorEastAsia" w:cstheme="minorEastAsia"/>
          <w:sz w:val="24"/>
          <w:szCs w:val="24"/>
          <w:highlight w:val="none"/>
        </w:rPr>
      </w:pPr>
    </w:p>
    <w:p>
      <w:pPr>
        <w:outlineLvl w:val="9"/>
        <w:rPr>
          <w:rFonts w:hint="eastAsia" w:asciiTheme="minorEastAsia" w:hAnsiTheme="minorEastAsia" w:eastAsiaTheme="minorEastAsia" w:cstheme="minorEastAsia"/>
          <w:sz w:val="24"/>
          <w:szCs w:val="24"/>
          <w:highlight w:val="none"/>
        </w:rPr>
      </w:pPr>
    </w:p>
    <w:p>
      <w:pPr>
        <w:outlineLvl w:val="9"/>
        <w:rPr>
          <w:rFonts w:hint="eastAsia" w:asciiTheme="minorEastAsia" w:hAnsiTheme="minorEastAsia" w:eastAsiaTheme="minorEastAsia" w:cstheme="minorEastAsia"/>
          <w:sz w:val="24"/>
          <w:szCs w:val="24"/>
          <w:highlight w:val="none"/>
        </w:rPr>
      </w:pPr>
    </w:p>
    <w:p>
      <w:pPr>
        <w:outlineLvl w:val="9"/>
        <w:rPr>
          <w:rFonts w:hint="eastAsia" w:asciiTheme="minorEastAsia" w:hAnsiTheme="minorEastAsia" w:eastAsiaTheme="minorEastAsia" w:cstheme="minorEastAsia"/>
          <w:sz w:val="24"/>
          <w:szCs w:val="24"/>
          <w:highlight w:val="none"/>
        </w:rPr>
      </w:pPr>
    </w:p>
    <w:p>
      <w:pPr>
        <w:outlineLvl w:val="9"/>
        <w:rPr>
          <w:rFonts w:hint="eastAsia" w:asciiTheme="minorEastAsia" w:hAnsiTheme="minorEastAsia" w:eastAsiaTheme="minorEastAsia" w:cstheme="minorEastAsia"/>
          <w:sz w:val="24"/>
          <w:szCs w:val="24"/>
          <w:highlight w:val="none"/>
        </w:rPr>
      </w:pPr>
    </w:p>
    <w:p>
      <w:pPr>
        <w:outlineLvl w:val="9"/>
        <w:rPr>
          <w:rFonts w:hint="eastAsia" w:asciiTheme="minorEastAsia" w:hAnsiTheme="minorEastAsia" w:eastAsiaTheme="minorEastAsia" w:cstheme="minorEastAsia"/>
          <w:sz w:val="24"/>
          <w:szCs w:val="24"/>
          <w:highlight w:val="none"/>
        </w:rPr>
      </w:pPr>
    </w:p>
    <w:p>
      <w:pPr>
        <w:outlineLvl w:val="9"/>
        <w:rPr>
          <w:rFonts w:hint="eastAsia" w:asciiTheme="minorEastAsia" w:hAnsiTheme="minorEastAsia" w:eastAsiaTheme="minorEastAsia" w:cstheme="minorEastAsia"/>
          <w:sz w:val="24"/>
          <w:szCs w:val="24"/>
          <w:highlight w:val="none"/>
        </w:rPr>
      </w:pPr>
    </w:p>
    <w:p>
      <w:pPr>
        <w:outlineLvl w:val="9"/>
        <w:rPr>
          <w:rFonts w:hint="eastAsia" w:asciiTheme="minorEastAsia" w:hAnsiTheme="minorEastAsia" w:eastAsiaTheme="minorEastAsia" w:cstheme="minorEastAsia"/>
          <w:sz w:val="24"/>
          <w:szCs w:val="24"/>
          <w:highlight w:val="none"/>
        </w:rPr>
      </w:pPr>
    </w:p>
    <w:p>
      <w:pPr>
        <w:outlineLvl w:val="9"/>
        <w:rPr>
          <w:rFonts w:hint="eastAsia" w:asciiTheme="minorEastAsia" w:hAnsiTheme="minorEastAsia" w:eastAsiaTheme="minorEastAsia" w:cstheme="minorEastAsia"/>
          <w:sz w:val="24"/>
          <w:szCs w:val="24"/>
          <w:highlight w:val="none"/>
        </w:rPr>
      </w:pPr>
    </w:p>
    <w:p>
      <w:pPr>
        <w:outlineLvl w:val="9"/>
        <w:rPr>
          <w:rFonts w:hint="eastAsia" w:asciiTheme="minorEastAsia" w:hAnsiTheme="minorEastAsia" w:eastAsiaTheme="minorEastAsia" w:cstheme="minorEastAsia"/>
          <w:sz w:val="24"/>
          <w:szCs w:val="24"/>
          <w:highlight w:val="none"/>
        </w:rPr>
      </w:pPr>
    </w:p>
    <w:p>
      <w:pPr>
        <w:outlineLvl w:val="9"/>
        <w:rPr>
          <w:rFonts w:hint="eastAsia" w:asciiTheme="minorEastAsia" w:hAnsiTheme="minorEastAsia" w:eastAsiaTheme="minorEastAsia" w:cstheme="minorEastAsia"/>
          <w:sz w:val="24"/>
          <w:szCs w:val="24"/>
          <w:highlight w:val="none"/>
        </w:rPr>
      </w:pPr>
    </w:p>
    <w:p>
      <w:pPr>
        <w:outlineLvl w:val="9"/>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shd w:val="clear"/>
        <w:spacing w:line="360" w:lineRule="auto"/>
        <w:jc w:val="center"/>
        <w:outlineLvl w:val="9"/>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非联合体不分包投标声明（格式）</w:t>
      </w:r>
    </w:p>
    <w:p>
      <w:pPr>
        <w:spacing w:line="360" w:lineRule="auto"/>
        <w:ind w:left="0" w:leftChars="0" w:firstLine="638" w:firstLineChars="266"/>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本单位郑重声明，参加</w:t>
      </w:r>
      <w:r>
        <w:rPr>
          <w:rFonts w:hint="eastAsia" w:asciiTheme="minorEastAsia" w:hAnsiTheme="minorEastAsia" w:cstheme="minorEastAsia"/>
          <w:sz w:val="24"/>
          <w:szCs w:val="24"/>
          <w:highlight w:val="none"/>
          <w:lang w:eastAsia="zh-CN"/>
        </w:rPr>
        <w:t>咸阳市秦都区政府采购中心</w:t>
      </w:r>
      <w:r>
        <w:rPr>
          <w:rFonts w:hint="eastAsia" w:asciiTheme="minorEastAsia" w:hAnsiTheme="minorEastAsia" w:eastAsiaTheme="minorEastAsia" w:cstheme="minorEastAsia"/>
          <w:sz w:val="24"/>
          <w:szCs w:val="24"/>
          <w:highlight w:val="none"/>
        </w:rPr>
        <w:t>的</w:t>
      </w:r>
      <w:r>
        <w:rPr>
          <w:rFonts w:hint="eastAsia" w:asciiTheme="minorEastAsia" w:hAnsi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u w:val="single"/>
        </w:rPr>
        <w:t>项目名称</w:t>
      </w:r>
      <w:r>
        <w:rPr>
          <w:rFonts w:hint="eastAsia" w:asciiTheme="minorEastAsia" w:hAnsi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rPr>
        <w:t>（项目编号：</w:t>
      </w:r>
      <w:r>
        <w:rPr>
          <w:rFonts w:hint="eastAsia" w:asciiTheme="minorEastAsia" w:hAnsi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rPr>
        <w:t>）第</w:t>
      </w:r>
      <w:r>
        <w:rPr>
          <w:rFonts w:hint="eastAsia" w:asciiTheme="minorEastAsia" w:hAnsi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rPr>
        <w:t>标段采购活动，为非联合体投标，本项目实施过程由本单位独立承担。</w:t>
      </w:r>
    </w:p>
    <w:p>
      <w:pPr>
        <w:spacing w:line="360" w:lineRule="auto"/>
        <w:ind w:left="0" w:leftChars="0" w:firstLine="638" w:firstLineChars="266"/>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本单位对上述声明的真实性负责。如有虚假，将依法承担相应责任。</w:t>
      </w:r>
    </w:p>
    <w:p>
      <w:pPr>
        <w:spacing w:line="360" w:lineRule="auto"/>
        <w:ind w:left="0" w:leftChars="0" w:firstLine="3513" w:firstLineChars="1464"/>
        <w:outlineLvl w:val="9"/>
        <w:rPr>
          <w:rFonts w:hint="eastAsia" w:asciiTheme="minorEastAsia" w:hAnsiTheme="minorEastAsia" w:eastAsiaTheme="minorEastAsia" w:cstheme="minorEastAsia"/>
          <w:sz w:val="24"/>
          <w:szCs w:val="24"/>
          <w:highlight w:val="none"/>
        </w:rPr>
      </w:pPr>
    </w:p>
    <w:p>
      <w:pPr>
        <w:spacing w:line="360" w:lineRule="auto"/>
        <w:ind w:left="0" w:leftChars="0" w:firstLine="3513" w:firstLineChars="1464"/>
        <w:outlineLvl w:val="9"/>
        <w:rPr>
          <w:rFonts w:hint="eastAsia" w:asciiTheme="minorEastAsia" w:hAnsiTheme="minorEastAsia" w:eastAsiaTheme="minorEastAsia" w:cstheme="minorEastAsia"/>
          <w:sz w:val="24"/>
          <w:szCs w:val="24"/>
          <w:highlight w:val="none"/>
        </w:rPr>
      </w:pPr>
    </w:p>
    <w:p>
      <w:pPr>
        <w:spacing w:line="360" w:lineRule="auto"/>
        <w:ind w:left="0" w:leftChars="0" w:firstLine="3513" w:firstLineChars="1464"/>
        <w:outlineLvl w:val="9"/>
        <w:rPr>
          <w:rFonts w:hint="eastAsia" w:asciiTheme="minorEastAsia" w:hAnsiTheme="minorEastAsia" w:eastAsiaTheme="minorEastAsia" w:cstheme="minorEastAsia"/>
          <w:sz w:val="24"/>
          <w:szCs w:val="24"/>
          <w:highlight w:val="none"/>
        </w:rPr>
      </w:pPr>
    </w:p>
    <w:p>
      <w:pPr>
        <w:spacing w:line="360" w:lineRule="auto"/>
        <w:ind w:left="0" w:leftChars="0" w:firstLine="3513" w:firstLineChars="1464"/>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供应商：</w:t>
      </w:r>
      <w:r>
        <w:rPr>
          <w:rFonts w:hint="eastAsia" w:asciiTheme="minorEastAsia" w:hAnsi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u w:val="single"/>
        </w:rPr>
        <w:t>名称</w:t>
      </w:r>
      <w:r>
        <w:rPr>
          <w:rFonts w:hint="eastAsia" w:asciiTheme="minorEastAsia" w:hAnsi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rPr>
        <w:t>（加盖公章）</w:t>
      </w:r>
    </w:p>
    <w:p>
      <w:pPr>
        <w:spacing w:line="360" w:lineRule="auto"/>
        <w:ind w:left="0" w:leftChars="0" w:firstLine="3753" w:firstLineChars="1564"/>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日期：</w:t>
      </w:r>
      <w:r>
        <w:rPr>
          <w:rFonts w:hint="eastAsia" w:asciiTheme="minorEastAsia" w:hAnsi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rPr>
        <w:t>年</w:t>
      </w:r>
      <w:r>
        <w:rPr>
          <w:rFonts w:hint="eastAsia" w:asciiTheme="minorEastAsia" w:hAnsi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rPr>
        <w:t>月</w:t>
      </w:r>
      <w:r>
        <w:rPr>
          <w:rFonts w:hint="eastAsia" w:asciiTheme="minorEastAsia" w:hAnsi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rPr>
        <w:t>日</w:t>
      </w:r>
    </w:p>
    <w:p>
      <w:pPr>
        <w:ind w:left="0" w:leftChars="0" w:firstLine="638" w:firstLineChars="266"/>
        <w:outlineLvl w:val="9"/>
        <w:rPr>
          <w:rFonts w:hint="eastAsia" w:asciiTheme="minorEastAsia" w:hAnsiTheme="minorEastAsia" w:eastAsiaTheme="minorEastAsia" w:cstheme="minorEastAsia"/>
          <w:sz w:val="24"/>
          <w:szCs w:val="24"/>
          <w:highlight w:val="none"/>
        </w:rPr>
      </w:pPr>
    </w:p>
    <w:p>
      <w:pPr>
        <w:ind w:left="0" w:leftChars="0" w:firstLine="638" w:firstLineChars="266"/>
        <w:rPr>
          <w:rFonts w:hint="eastAsia" w:asciiTheme="minorEastAsia" w:hAnsiTheme="minorEastAsia" w:eastAsiaTheme="minorEastAsia" w:cstheme="minorEastAsia"/>
          <w:sz w:val="24"/>
          <w:szCs w:val="24"/>
          <w:highlight w:val="none"/>
        </w:rPr>
      </w:pPr>
    </w:p>
    <w:p>
      <w:pPr>
        <w:ind w:left="0" w:leftChars="0" w:firstLine="638" w:firstLineChars="266"/>
        <w:rPr>
          <w:rFonts w:hint="eastAsia" w:asciiTheme="minorEastAsia" w:hAnsiTheme="minorEastAsia" w:eastAsiaTheme="minorEastAsia" w:cstheme="minorEastAsia"/>
          <w:sz w:val="24"/>
          <w:szCs w:val="24"/>
          <w:highlight w:val="none"/>
        </w:rPr>
      </w:pPr>
    </w:p>
    <w:p>
      <w:pPr>
        <w:ind w:left="0" w:leftChars="0" w:firstLine="638" w:firstLineChars="266"/>
        <w:rPr>
          <w:rFonts w:hint="eastAsia" w:asciiTheme="minorEastAsia" w:hAnsiTheme="minorEastAsia" w:eastAsiaTheme="minorEastAsia" w:cstheme="minorEastAsia"/>
          <w:sz w:val="24"/>
          <w:szCs w:val="24"/>
          <w:highlight w:val="none"/>
        </w:rPr>
      </w:pPr>
    </w:p>
    <w:p>
      <w:pPr>
        <w:ind w:left="0" w:leftChars="0" w:firstLine="638" w:firstLineChars="266"/>
        <w:rPr>
          <w:rFonts w:hint="eastAsia" w:asciiTheme="minorEastAsia" w:hAnsiTheme="minorEastAsia" w:eastAsiaTheme="minorEastAsia" w:cstheme="minorEastAsia"/>
          <w:sz w:val="24"/>
          <w:szCs w:val="24"/>
          <w:highlight w:val="none"/>
        </w:rPr>
      </w:pPr>
    </w:p>
    <w:p>
      <w:pPr>
        <w:ind w:left="0" w:leftChars="0" w:firstLine="638" w:firstLineChars="266"/>
        <w:rPr>
          <w:rFonts w:hint="eastAsia" w:asciiTheme="minorEastAsia" w:hAnsiTheme="minorEastAsia" w:eastAsiaTheme="minorEastAsia" w:cstheme="minorEastAsia"/>
          <w:sz w:val="24"/>
          <w:szCs w:val="24"/>
          <w:highlight w:val="none"/>
        </w:rPr>
      </w:pPr>
    </w:p>
    <w:p>
      <w:pPr>
        <w:ind w:left="0" w:leftChars="0" w:firstLine="638" w:firstLineChars="266"/>
        <w:rPr>
          <w:rFonts w:hint="eastAsia" w:asciiTheme="minorEastAsia" w:hAnsiTheme="minorEastAsia" w:eastAsiaTheme="minorEastAsia" w:cstheme="minorEastAsia"/>
          <w:sz w:val="24"/>
          <w:szCs w:val="24"/>
          <w:highlight w:val="none"/>
        </w:rPr>
      </w:pPr>
    </w:p>
    <w:p>
      <w:pPr>
        <w:ind w:left="0" w:leftChars="0" w:firstLine="638" w:firstLineChars="266"/>
        <w:rPr>
          <w:rFonts w:hint="eastAsia" w:asciiTheme="minorEastAsia" w:hAnsiTheme="minorEastAsia" w:eastAsiaTheme="minorEastAsia" w:cstheme="minorEastAsia"/>
          <w:sz w:val="24"/>
          <w:szCs w:val="24"/>
          <w:highlight w:val="none"/>
        </w:rPr>
      </w:pPr>
    </w:p>
    <w:p>
      <w:pPr>
        <w:ind w:left="0" w:leftChars="0" w:firstLine="638" w:firstLineChars="266"/>
        <w:rPr>
          <w:rFonts w:hint="eastAsia" w:asciiTheme="minorEastAsia" w:hAnsiTheme="minorEastAsia" w:eastAsiaTheme="minorEastAsia" w:cstheme="minorEastAsia"/>
          <w:sz w:val="24"/>
          <w:szCs w:val="24"/>
          <w:highlight w:val="none"/>
        </w:rPr>
      </w:pPr>
    </w:p>
    <w:p>
      <w:pPr>
        <w:ind w:left="0" w:leftChars="0" w:firstLine="638" w:firstLineChars="266"/>
        <w:rPr>
          <w:rFonts w:hint="eastAsia" w:asciiTheme="minorEastAsia" w:hAnsiTheme="minorEastAsia" w:eastAsiaTheme="minorEastAsia" w:cstheme="minorEastAsia"/>
          <w:sz w:val="24"/>
          <w:szCs w:val="24"/>
          <w:highlight w:val="none"/>
        </w:rPr>
      </w:pPr>
    </w:p>
    <w:p>
      <w:pPr>
        <w:ind w:left="0" w:leftChars="0" w:firstLine="478" w:firstLineChars="266"/>
        <w:rPr>
          <w:rFonts w:hint="eastAsia" w:asciiTheme="minorEastAsia" w:hAnsiTheme="minorEastAsia" w:eastAsiaTheme="minorEastAsia" w:cstheme="minorEastAsia"/>
          <w:sz w:val="18"/>
          <w:szCs w:val="18"/>
          <w:highlight w:val="none"/>
        </w:rPr>
      </w:pPr>
      <w:r>
        <w:rPr>
          <w:rFonts w:hint="eastAsia" w:asciiTheme="minorEastAsia" w:hAnsiTheme="minorEastAsia" w:eastAsiaTheme="minorEastAsia" w:cstheme="minorEastAsia"/>
          <w:sz w:val="18"/>
          <w:szCs w:val="18"/>
          <w:highlight w:val="none"/>
        </w:rPr>
        <w:t>备注：项目不分标段的，第___标段空白处填写“/”。</w:t>
      </w: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shd w:val="clear"/>
        <w:spacing w:line="360" w:lineRule="auto"/>
        <w:jc w:val="center"/>
        <w:outlineLvl w:val="1"/>
        <w:rPr>
          <w:rFonts w:hint="eastAsia" w:asciiTheme="minorEastAsia" w:hAnsiTheme="minorEastAsia" w:eastAsiaTheme="minorEastAsia" w:cstheme="minorEastAsia"/>
          <w:b/>
          <w:bCs/>
          <w:sz w:val="24"/>
          <w:szCs w:val="24"/>
          <w:highlight w:val="none"/>
        </w:rPr>
      </w:pPr>
      <w:bookmarkStart w:id="13" w:name="_Toc2098"/>
      <w:r>
        <w:rPr>
          <w:rFonts w:hint="eastAsia" w:asciiTheme="minorEastAsia" w:hAnsiTheme="minorEastAsia" w:eastAsiaTheme="minorEastAsia" w:cstheme="minorEastAsia"/>
          <w:b/>
          <w:bCs/>
          <w:sz w:val="24"/>
          <w:szCs w:val="24"/>
          <w:highlight w:val="none"/>
        </w:rPr>
        <w:t>第二部分</w:t>
      </w:r>
      <w:r>
        <w:rPr>
          <w:rFonts w:hint="eastAsia" w:asciiTheme="minorEastAsia" w:hAnsiTheme="minorEastAsia" w:cstheme="minorEastAsia"/>
          <w:b/>
          <w:bCs/>
          <w:sz w:val="24"/>
          <w:szCs w:val="24"/>
          <w:highlight w:val="none"/>
          <w:lang w:val="en-US" w:eastAsia="zh-CN"/>
        </w:rPr>
        <w:t xml:space="preserve">  </w:t>
      </w:r>
      <w:r>
        <w:rPr>
          <w:rFonts w:hint="eastAsia" w:asciiTheme="minorEastAsia" w:hAnsiTheme="minorEastAsia" w:eastAsiaTheme="minorEastAsia" w:cstheme="minorEastAsia"/>
          <w:b/>
          <w:bCs/>
          <w:sz w:val="24"/>
          <w:szCs w:val="24"/>
          <w:highlight w:val="none"/>
        </w:rPr>
        <w:t>符合性证明文件</w:t>
      </w:r>
      <w:bookmarkEnd w:id="13"/>
    </w:p>
    <w:p>
      <w:pPr>
        <w:shd w:val="clear"/>
        <w:spacing w:line="360" w:lineRule="auto"/>
        <w:jc w:val="left"/>
        <w:outlineLvl w:val="9"/>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一、响应函格式</w:t>
      </w:r>
    </w:p>
    <w:p>
      <w:pPr>
        <w:jc w:val="center"/>
        <w:outlineLvl w:val="9"/>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响应函</w:t>
      </w:r>
    </w:p>
    <w:p>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cstheme="minorEastAsia"/>
          <w:sz w:val="24"/>
          <w:szCs w:val="24"/>
          <w:highlight w:val="none"/>
          <w:lang w:eastAsia="zh-CN"/>
        </w:rPr>
        <w:t>咸阳市秦都区政府采购中心</w:t>
      </w:r>
      <w:r>
        <w:rPr>
          <w:rFonts w:hint="eastAsia" w:asciiTheme="minorEastAsia" w:hAnsiTheme="minorEastAsia" w:eastAsiaTheme="minorEastAsia" w:cstheme="minorEastAsia"/>
          <w:sz w:val="24"/>
          <w:szCs w:val="24"/>
          <w:highlight w:val="none"/>
        </w:rPr>
        <w:t>：</w:t>
      </w:r>
    </w:p>
    <w:p>
      <w:pPr>
        <w:spacing w:line="360" w:lineRule="auto"/>
        <w:ind w:left="0" w:leftChars="0" w:firstLine="420" w:firstLineChars="175"/>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我方收到贵中心发布的</w:t>
      </w:r>
      <w:r>
        <w:rPr>
          <w:rFonts w:hint="eastAsia" w:asciiTheme="minorEastAsia" w:hAnsi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u w:val="single"/>
        </w:rPr>
        <w:t>《项目名称》</w:t>
      </w:r>
      <w:r>
        <w:rPr>
          <w:rFonts w:hint="eastAsia" w:asciiTheme="minorEastAsia" w:hAnsi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rPr>
        <w:t>（项目编号：</w:t>
      </w:r>
      <w:r>
        <w:rPr>
          <w:rFonts w:hint="eastAsia" w:asciiTheme="minorEastAsia" w:hAnsi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rPr>
        <w:t>）第</w:t>
      </w:r>
      <w:r>
        <w:rPr>
          <w:rFonts w:hint="eastAsia" w:asciiTheme="minorEastAsia" w:hAnsi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rPr>
        <w:t>标段磋商文件，经详细研究，我方决定参加该项目第标段磋商活动。为此，我方郑重声明以下诸点，并负法律责任。</w:t>
      </w:r>
    </w:p>
    <w:p>
      <w:pPr>
        <w:spacing w:line="360" w:lineRule="auto"/>
        <w:ind w:left="0" w:leftChars="0" w:firstLine="420" w:firstLineChars="175"/>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一、我方已详细阅读了磋商文件，完全理解并同意磋商文件的所有事项及内容。</w:t>
      </w:r>
    </w:p>
    <w:p>
      <w:pPr>
        <w:spacing w:line="360" w:lineRule="auto"/>
        <w:ind w:left="0" w:leftChars="0" w:firstLine="420" w:firstLineChars="175"/>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二、我方已悉知并关注了贵方在政府采购信息发布媒体（详见磋商文件第二章第三条中的“磋商文件的修改、澄清”）上发布的关于本项目的有关变更公告（包括但不限于对磋商文件做出的修改或澄清、答疑纪要，以及项目暂停、重启、延期、终止等）。</w:t>
      </w:r>
    </w:p>
    <w:p>
      <w:pPr>
        <w:spacing w:line="360" w:lineRule="auto"/>
        <w:ind w:left="0" w:leftChars="0" w:firstLine="420" w:firstLineChars="175"/>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三、我方同意向贵方提供与本磋商有关的任何证明材料，保证所提交的证明材料真实、合法、有效。我方理解最低价不是中标的唯一条件，并尊重磋商小组的评审结果。</w:t>
      </w:r>
    </w:p>
    <w:p>
      <w:pPr>
        <w:spacing w:line="360" w:lineRule="auto"/>
        <w:ind w:left="0" w:leftChars="0" w:firstLine="420" w:firstLineChars="175"/>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四、我方愿意按照磋商文件中的一切要求，完成本项目合同责任和义务。</w:t>
      </w:r>
    </w:p>
    <w:p>
      <w:pPr>
        <w:spacing w:line="360" w:lineRule="auto"/>
        <w:ind w:left="0" w:leftChars="0" w:firstLine="420" w:firstLineChars="175"/>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五、我方提交的电子响应文件1份。</w:t>
      </w:r>
    </w:p>
    <w:p>
      <w:pPr>
        <w:spacing w:line="360" w:lineRule="auto"/>
        <w:ind w:left="0" w:leftChars="0" w:firstLine="420" w:firstLineChars="175"/>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六、开标后在规定的投标有效期内撤回投标，我们愿接受政府采购的有关处罚决定。</w:t>
      </w:r>
    </w:p>
    <w:p>
      <w:pPr>
        <w:spacing w:line="360" w:lineRule="auto"/>
        <w:ind w:left="0" w:leftChars="0" w:firstLine="420" w:firstLineChars="175"/>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七、我方的响应文件在开标之日起</w:t>
      </w:r>
      <w:r>
        <w:rPr>
          <w:rFonts w:hint="eastAsia" w:asciiTheme="minorEastAsia" w:hAnsiTheme="minorEastAsia" w:eastAsiaTheme="minorEastAsia" w:cstheme="minorEastAsia"/>
          <w:sz w:val="24"/>
          <w:szCs w:val="24"/>
          <w:highlight w:val="none"/>
          <w:u w:val="single"/>
        </w:rPr>
        <w:t>90</w:t>
      </w:r>
      <w:r>
        <w:rPr>
          <w:rFonts w:hint="eastAsia" w:asciiTheme="minorEastAsia" w:hAnsiTheme="minorEastAsia" w:eastAsiaTheme="minorEastAsia" w:cstheme="minorEastAsia"/>
          <w:sz w:val="24"/>
          <w:szCs w:val="24"/>
          <w:highlight w:val="none"/>
        </w:rPr>
        <w:t>个日历日内有效，如成交，延长至合同执行完毕时止。</w:t>
      </w:r>
    </w:p>
    <w:p>
      <w:pPr>
        <w:spacing w:line="360" w:lineRule="auto"/>
        <w:ind w:left="0" w:leftChars="0" w:firstLine="420" w:firstLineChars="175"/>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八、所有关于此次磋商活动的函电，请按下列地址联系：</w:t>
      </w:r>
    </w:p>
    <w:p>
      <w:pPr>
        <w:spacing w:line="360" w:lineRule="auto"/>
        <w:ind w:left="0" w:leftChars="0" w:firstLine="420" w:firstLineChars="175"/>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供应商：</w:t>
      </w:r>
      <w:r>
        <w:rPr>
          <w:rFonts w:hint="eastAsia" w:asciiTheme="minorEastAsia" w:hAnsi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u w:val="single"/>
        </w:rPr>
        <w:t>名称</w:t>
      </w:r>
      <w:r>
        <w:rPr>
          <w:rFonts w:hint="eastAsia" w:asciiTheme="minorEastAsia" w:hAnsi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rPr>
        <w:t>（加盖公章）</w:t>
      </w:r>
    </w:p>
    <w:p>
      <w:pPr>
        <w:spacing w:line="360" w:lineRule="auto"/>
        <w:ind w:left="0" w:leftChars="0" w:firstLine="420" w:firstLineChars="175"/>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地址：</w:t>
      </w:r>
    </w:p>
    <w:p>
      <w:pPr>
        <w:spacing w:line="360" w:lineRule="auto"/>
        <w:ind w:left="0" w:leftChars="0" w:firstLine="420" w:firstLineChars="175"/>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电话：</w:t>
      </w:r>
      <w:r>
        <w:rPr>
          <w:rFonts w:hint="eastAsia" w:asciiTheme="minorEastAsia" w:hAnsi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rPr>
        <w:t>日期：</w:t>
      </w:r>
      <w:r>
        <w:rPr>
          <w:rFonts w:hint="eastAsia" w:asciiTheme="minorEastAsia" w:hAnsi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rPr>
        <w:t>年</w:t>
      </w:r>
      <w:r>
        <w:rPr>
          <w:rFonts w:hint="eastAsia" w:asciiTheme="minorEastAsia" w:hAnsi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rPr>
        <w:t>月</w:t>
      </w:r>
      <w:r>
        <w:rPr>
          <w:rFonts w:hint="eastAsia" w:asciiTheme="minorEastAsia" w:hAnsi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rPr>
        <w:t>日</w:t>
      </w:r>
    </w:p>
    <w:p>
      <w:pPr>
        <w:ind w:left="0" w:leftChars="0" w:firstLine="315" w:firstLineChars="175"/>
        <w:outlineLvl w:val="9"/>
        <w:rPr>
          <w:rFonts w:hint="eastAsia" w:asciiTheme="minorEastAsia" w:hAnsiTheme="minorEastAsia" w:eastAsiaTheme="minorEastAsia" w:cstheme="minorEastAsia"/>
          <w:sz w:val="18"/>
          <w:szCs w:val="18"/>
          <w:highlight w:val="none"/>
        </w:rPr>
      </w:pPr>
      <w:r>
        <w:rPr>
          <w:rFonts w:hint="eastAsia" w:asciiTheme="minorEastAsia" w:hAnsiTheme="minorEastAsia" w:eastAsiaTheme="minorEastAsia" w:cstheme="minorEastAsia"/>
          <w:sz w:val="18"/>
          <w:szCs w:val="18"/>
          <w:highlight w:val="none"/>
        </w:rPr>
        <w:t>备注：</w:t>
      </w:r>
    </w:p>
    <w:p>
      <w:pPr>
        <w:ind w:left="0" w:leftChars="0" w:firstLine="315" w:firstLineChars="175"/>
        <w:outlineLvl w:val="9"/>
        <w:rPr>
          <w:rFonts w:hint="eastAsia" w:asciiTheme="minorEastAsia" w:hAnsiTheme="minorEastAsia" w:eastAsiaTheme="minorEastAsia" w:cstheme="minorEastAsia"/>
          <w:sz w:val="18"/>
          <w:szCs w:val="18"/>
          <w:highlight w:val="none"/>
        </w:rPr>
      </w:pPr>
      <w:r>
        <w:rPr>
          <w:rFonts w:hint="eastAsia" w:asciiTheme="minorEastAsia" w:hAnsiTheme="minorEastAsia" w:eastAsiaTheme="minorEastAsia" w:cstheme="minorEastAsia"/>
          <w:sz w:val="18"/>
          <w:szCs w:val="18"/>
          <w:highlight w:val="none"/>
        </w:rPr>
        <w:t>1、项目不分标段的，第___标段空白处填写“/”。</w:t>
      </w:r>
    </w:p>
    <w:p>
      <w:pPr>
        <w:ind w:left="0" w:leftChars="0" w:firstLine="315" w:firstLineChars="175"/>
        <w:outlineLvl w:val="9"/>
        <w:rPr>
          <w:rFonts w:hint="eastAsia" w:asciiTheme="minorEastAsia" w:hAnsiTheme="minorEastAsia" w:eastAsiaTheme="minorEastAsia" w:cstheme="minorEastAsia"/>
          <w:sz w:val="18"/>
          <w:szCs w:val="18"/>
          <w:highlight w:val="none"/>
        </w:rPr>
      </w:pPr>
      <w:r>
        <w:rPr>
          <w:rFonts w:hint="eastAsia" w:asciiTheme="minorEastAsia" w:hAnsiTheme="minorEastAsia" w:eastAsiaTheme="minorEastAsia" w:cstheme="minorEastAsia"/>
          <w:sz w:val="18"/>
          <w:szCs w:val="18"/>
          <w:highlight w:val="none"/>
        </w:rPr>
        <w:t>2、除可填报项目外，对本响应函的任何实质性内容修改将被视为非实质性响应，在评审时将其视为无效响应。</w:t>
      </w:r>
    </w:p>
    <w:p>
      <w:pPr>
        <w:shd w:val="clear"/>
        <w:spacing w:line="360" w:lineRule="auto"/>
        <w:jc w:val="left"/>
        <w:outlineLvl w:val="9"/>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二、第一次磋商报价表</w:t>
      </w:r>
    </w:p>
    <w:p>
      <w:pPr>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项目编号：</w:t>
      </w:r>
    </w:p>
    <w:p>
      <w:pPr>
        <w:outlineLvl w:val="9"/>
        <w:rPr>
          <w:rFonts w:hint="eastAsia" w:asciiTheme="minorEastAsia" w:hAnsiTheme="minorEastAsia" w:eastAsiaTheme="minorEastAsia" w:cstheme="minorEastAsia"/>
          <w:sz w:val="24"/>
          <w:szCs w:val="24"/>
          <w:highlight w:val="none"/>
        </w:rPr>
      </w:pPr>
    </w:p>
    <w:p>
      <w:pPr>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项目名称：</w:t>
      </w:r>
    </w:p>
    <w:tbl>
      <w:tblPr>
        <w:tblStyle w:val="10"/>
        <w:tblW w:w="85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07"/>
        <w:gridCol w:w="70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trPr>
        <w:tc>
          <w:tcPr>
            <w:tcW w:w="1507" w:type="dxa"/>
            <w:vMerge w:val="restart"/>
            <w:vAlign w:val="center"/>
          </w:tcPr>
          <w:p>
            <w:pPr>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磋商报价</w:t>
            </w:r>
          </w:p>
          <w:p>
            <w:pPr>
              <w:jc w:val="center"/>
              <w:rPr>
                <w:rFonts w:hint="eastAsia" w:asciiTheme="minorEastAsia" w:hAnsiTheme="minorEastAsia" w:eastAsiaTheme="minorEastAsia" w:cstheme="minorEastAsia"/>
                <w:sz w:val="24"/>
                <w:szCs w:val="24"/>
                <w:highlight w:val="none"/>
                <w:vertAlign w:val="baseline"/>
              </w:rPr>
            </w:pPr>
          </w:p>
        </w:tc>
        <w:tc>
          <w:tcPr>
            <w:tcW w:w="7033" w:type="dxa"/>
            <w:vAlign w:val="center"/>
          </w:tcPr>
          <w:p>
            <w:pPr>
              <w:jc w:val="center"/>
              <w:rPr>
                <w:rFonts w:hint="eastAsia" w:asciiTheme="minorEastAsia" w:hAnsiTheme="minorEastAsia" w:eastAsiaTheme="minorEastAsia" w:cstheme="minorEastAsia"/>
                <w:sz w:val="24"/>
                <w:szCs w:val="24"/>
                <w:highlight w:val="none"/>
                <w:vertAlign w:val="baseline"/>
              </w:rPr>
            </w:pPr>
            <w:r>
              <w:rPr>
                <w:rFonts w:hint="eastAsia" w:asciiTheme="minorEastAsia" w:hAnsiTheme="minorEastAsia" w:eastAsiaTheme="minorEastAsia" w:cstheme="minorEastAsia"/>
                <w:sz w:val="21"/>
                <w:szCs w:val="21"/>
                <w:highlight w:val="none"/>
                <w:vertAlign w:val="baseli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4" w:hRule="atLeast"/>
        </w:trPr>
        <w:tc>
          <w:tcPr>
            <w:tcW w:w="1507" w:type="dxa"/>
            <w:vMerge w:val="continue"/>
          </w:tcPr>
          <w:p>
            <w:pPr>
              <w:rPr>
                <w:rFonts w:hint="eastAsia" w:asciiTheme="minorEastAsia" w:hAnsiTheme="minorEastAsia" w:eastAsiaTheme="minorEastAsia" w:cstheme="minorEastAsia"/>
                <w:sz w:val="24"/>
                <w:szCs w:val="24"/>
                <w:highlight w:val="none"/>
                <w:vertAlign w:val="baseline"/>
              </w:rPr>
            </w:pPr>
          </w:p>
        </w:tc>
        <w:tc>
          <w:tcPr>
            <w:tcW w:w="7033" w:type="dxa"/>
          </w:tcPr>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1"/>
                <w:szCs w:val="21"/>
                <w:highlight w:val="none"/>
              </w:rPr>
              <w:t>小写：</w:t>
            </w: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大写：</w:t>
            </w:r>
          </w:p>
          <w:p>
            <w:pPr>
              <w:rPr>
                <w:rFonts w:hint="eastAsia" w:asciiTheme="minorEastAsia" w:hAnsiTheme="minorEastAsia" w:eastAsiaTheme="minorEastAsia" w:cstheme="minorEastAsia"/>
                <w:sz w:val="24"/>
                <w:szCs w:val="24"/>
                <w:highlight w:val="none"/>
              </w:rPr>
            </w:pPr>
          </w:p>
          <w:p>
            <w:pPr>
              <w:ind w:firstLine="3600" w:firstLineChars="20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18"/>
                <w:szCs w:val="18"/>
                <w:highlight w:val="none"/>
              </w:rPr>
              <w:t>单位：元（报价最多保留至小数点后两位）</w:t>
            </w:r>
          </w:p>
        </w:tc>
      </w:tr>
    </w:tbl>
    <w:p>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备注：“磋商报价”为磋商总价</w:t>
      </w:r>
      <w:r>
        <w:rPr>
          <w:rFonts w:hint="eastAsia" w:asciiTheme="minorEastAsia" w:hAnsiTheme="minorEastAsia" w:cstheme="minorEastAsia"/>
          <w:sz w:val="21"/>
          <w:szCs w:val="21"/>
          <w:highlight w:val="none"/>
          <w:lang w:eastAsia="zh-CN"/>
        </w:rPr>
        <w:t>（</w:t>
      </w:r>
      <w:r>
        <w:rPr>
          <w:rFonts w:hint="eastAsia" w:asciiTheme="minorEastAsia" w:hAnsiTheme="minorEastAsia" w:cstheme="minorEastAsia"/>
          <w:sz w:val="21"/>
          <w:szCs w:val="21"/>
          <w:highlight w:val="none"/>
          <w:lang w:val="en-US" w:eastAsia="zh-CN"/>
        </w:rPr>
        <w:t>一年）</w:t>
      </w:r>
      <w:r>
        <w:rPr>
          <w:rFonts w:hint="eastAsia" w:asciiTheme="minorEastAsia" w:hAnsiTheme="minorEastAsia" w:eastAsiaTheme="minorEastAsia" w:cstheme="minorEastAsia"/>
          <w:sz w:val="21"/>
          <w:szCs w:val="21"/>
          <w:highlight w:val="none"/>
        </w:rPr>
        <w:t>。磋商报价必须包括本项目所需全部费用。</w:t>
      </w: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ind w:firstLine="4320" w:firstLineChars="18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供应商：</w:t>
      </w:r>
      <w:r>
        <w:rPr>
          <w:rFonts w:hint="eastAsia" w:asciiTheme="minorEastAsia" w:hAnsi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u w:val="single"/>
        </w:rPr>
        <w:t>名称</w:t>
      </w:r>
      <w:r>
        <w:rPr>
          <w:rFonts w:hint="eastAsia" w:asciiTheme="minorEastAsia" w:hAnsi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rPr>
        <w:t>（加盖公章）</w:t>
      </w:r>
    </w:p>
    <w:p>
      <w:pPr>
        <w:ind w:firstLine="4560" w:firstLineChars="1900"/>
        <w:rPr>
          <w:rFonts w:hint="eastAsia" w:asciiTheme="minorEastAsia" w:hAnsiTheme="minorEastAsia" w:eastAsiaTheme="minorEastAsia" w:cstheme="minorEastAsia"/>
          <w:sz w:val="24"/>
          <w:szCs w:val="24"/>
          <w:highlight w:val="none"/>
        </w:rPr>
      </w:pPr>
    </w:p>
    <w:p>
      <w:pPr>
        <w:ind w:firstLine="4560" w:firstLineChars="19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日期：</w:t>
      </w:r>
      <w:r>
        <w:rPr>
          <w:rFonts w:hint="eastAsia" w:asciiTheme="minorEastAsia" w:hAnsi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rPr>
        <w:t>年</w:t>
      </w:r>
      <w:r>
        <w:rPr>
          <w:rFonts w:hint="eastAsia" w:asciiTheme="minorEastAsia" w:hAnsiTheme="minorEastAsia" w:cstheme="minorEastAsia"/>
          <w:sz w:val="24"/>
          <w:szCs w:val="24"/>
          <w:highlight w:val="none"/>
          <w:lang w:val="en-US" w:eastAsia="zh-CN"/>
        </w:rPr>
        <w:t xml:space="preserve"> </w:t>
      </w:r>
      <w:r>
        <w:rPr>
          <w:rFonts w:hint="eastAsia" w:asciiTheme="minorEastAsia" w:hAnsi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rPr>
        <w:t>月</w:t>
      </w:r>
      <w:r>
        <w:rPr>
          <w:rFonts w:hint="eastAsia" w:asciiTheme="minorEastAsia" w:hAnsi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rPr>
        <w:t>日</w:t>
      </w:r>
    </w:p>
    <w:p>
      <w:pPr>
        <w:rPr>
          <w:rFonts w:hint="default" w:asciiTheme="minorEastAsia" w:hAnsiTheme="minorEastAsia" w:eastAsiaTheme="minorEastAsia" w:cstheme="minorEastAsia"/>
          <w:sz w:val="21"/>
          <w:szCs w:val="21"/>
          <w:highlight w:val="none"/>
          <w:lang w:val="en-US" w:eastAsia="zh-CN"/>
        </w:rPr>
      </w:pPr>
      <w:r>
        <w:rPr>
          <w:rFonts w:hint="eastAsia" w:asciiTheme="minorEastAsia" w:hAnsiTheme="minorEastAsia" w:cstheme="minorEastAsia"/>
          <w:sz w:val="21"/>
          <w:szCs w:val="21"/>
          <w:highlight w:val="none"/>
          <w:lang w:val="en-US" w:eastAsia="zh-CN"/>
        </w:rPr>
        <w:t xml:space="preserve">  </w:t>
      </w:r>
    </w:p>
    <w:p>
      <w:pPr>
        <w:rPr>
          <w:rFonts w:hint="eastAsia" w:asciiTheme="minorEastAsia" w:hAnsiTheme="minorEastAsia" w:eastAsiaTheme="minorEastAsia" w:cstheme="minorEastAsia"/>
          <w:sz w:val="21"/>
          <w:szCs w:val="21"/>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jc w:val="center"/>
        <w:outlineLvl w:val="9"/>
        <w:rPr>
          <w:rFonts w:hint="eastAsia" w:asciiTheme="minorEastAsia" w:hAnsiTheme="minorEastAsia" w:eastAsiaTheme="minorEastAsia" w:cstheme="minorEastAsia"/>
          <w:b/>
          <w:bCs/>
          <w:sz w:val="24"/>
          <w:szCs w:val="24"/>
          <w:highlight w:val="none"/>
        </w:rPr>
      </w:pPr>
    </w:p>
    <w:p>
      <w:pPr>
        <w:jc w:val="center"/>
        <w:outlineLvl w:val="9"/>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分项报价表</w:t>
      </w:r>
    </w:p>
    <w:p>
      <w:pPr>
        <w:jc w:val="center"/>
        <w:rPr>
          <w:rFonts w:hint="eastAsia" w:asciiTheme="minorEastAsia" w:hAnsiTheme="minorEastAsia" w:eastAsiaTheme="minorEastAsia" w:cstheme="minorEastAsia"/>
          <w:b/>
          <w:bCs/>
          <w:sz w:val="24"/>
          <w:szCs w:val="24"/>
          <w:highlight w:val="none"/>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2"/>
        <w:gridCol w:w="1062"/>
        <w:gridCol w:w="1062"/>
        <w:gridCol w:w="1062"/>
        <w:gridCol w:w="1062"/>
        <w:gridCol w:w="1062"/>
        <w:gridCol w:w="1063"/>
        <w:gridCol w:w="1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trPr>
        <w:tc>
          <w:tcPr>
            <w:tcW w:w="1062" w:type="dxa"/>
            <w:vAlign w:val="center"/>
          </w:tcPr>
          <w:p>
            <w:pPr>
              <w:jc w:val="center"/>
              <w:rPr>
                <w:rFonts w:hint="eastAsia" w:asciiTheme="minorEastAsia" w:hAnsiTheme="minorEastAsia" w:eastAsiaTheme="minorEastAsia" w:cstheme="minorEastAsia"/>
                <w:b/>
                <w:bCs/>
                <w:sz w:val="21"/>
                <w:szCs w:val="21"/>
                <w:highlight w:val="none"/>
                <w:vertAlign w:val="baseline"/>
              </w:rPr>
            </w:pPr>
            <w:r>
              <w:rPr>
                <w:rFonts w:hint="eastAsia" w:asciiTheme="minorEastAsia" w:hAnsiTheme="minorEastAsia" w:eastAsiaTheme="minorEastAsia" w:cstheme="minorEastAsia"/>
                <w:b/>
                <w:bCs/>
                <w:sz w:val="21"/>
                <w:szCs w:val="21"/>
                <w:highlight w:val="none"/>
              </w:rPr>
              <w:t>序号</w:t>
            </w:r>
          </w:p>
        </w:tc>
        <w:tc>
          <w:tcPr>
            <w:tcW w:w="1062" w:type="dxa"/>
            <w:vAlign w:val="center"/>
          </w:tcPr>
          <w:p>
            <w:pPr>
              <w:jc w:val="center"/>
              <w:rPr>
                <w:rFonts w:hint="eastAsia" w:asciiTheme="minorEastAsia" w:hAnsiTheme="minorEastAsia" w:eastAsiaTheme="minorEastAsia" w:cstheme="minorEastAsia"/>
                <w:b/>
                <w:bCs/>
                <w:sz w:val="21"/>
                <w:szCs w:val="21"/>
                <w:highlight w:val="none"/>
                <w:vertAlign w:val="baseline"/>
              </w:rPr>
            </w:pPr>
            <w:r>
              <w:rPr>
                <w:rFonts w:hint="eastAsia" w:asciiTheme="minorEastAsia" w:hAnsiTheme="minorEastAsia" w:eastAsiaTheme="minorEastAsia" w:cstheme="minorEastAsia"/>
                <w:b/>
                <w:bCs/>
                <w:sz w:val="21"/>
                <w:szCs w:val="21"/>
                <w:highlight w:val="none"/>
              </w:rPr>
              <w:t>服务项目</w:t>
            </w:r>
          </w:p>
        </w:tc>
        <w:tc>
          <w:tcPr>
            <w:tcW w:w="1062" w:type="dxa"/>
            <w:vAlign w:val="center"/>
          </w:tcPr>
          <w:p>
            <w:pPr>
              <w:jc w:val="center"/>
              <w:rPr>
                <w:rFonts w:hint="eastAsia" w:asciiTheme="minorEastAsia" w:hAnsiTheme="minorEastAsia" w:eastAsiaTheme="minorEastAsia" w:cstheme="minorEastAsia"/>
                <w:b/>
                <w:bCs/>
                <w:sz w:val="21"/>
                <w:szCs w:val="21"/>
                <w:highlight w:val="none"/>
                <w:vertAlign w:val="baseline"/>
              </w:rPr>
            </w:pPr>
            <w:r>
              <w:rPr>
                <w:rFonts w:hint="eastAsia" w:asciiTheme="minorEastAsia" w:hAnsiTheme="minorEastAsia" w:eastAsiaTheme="minorEastAsia" w:cstheme="minorEastAsia"/>
                <w:b/>
                <w:bCs/>
                <w:sz w:val="21"/>
                <w:szCs w:val="21"/>
                <w:highlight w:val="none"/>
              </w:rPr>
              <w:t>单位</w:t>
            </w:r>
          </w:p>
        </w:tc>
        <w:tc>
          <w:tcPr>
            <w:tcW w:w="1062" w:type="dxa"/>
            <w:vAlign w:val="center"/>
          </w:tcPr>
          <w:p>
            <w:pPr>
              <w:jc w:val="center"/>
              <w:rPr>
                <w:rFonts w:hint="eastAsia" w:asciiTheme="minorEastAsia" w:hAnsiTheme="minorEastAsia" w:eastAsiaTheme="minorEastAsia" w:cstheme="minorEastAsia"/>
                <w:b/>
                <w:bCs/>
                <w:sz w:val="21"/>
                <w:szCs w:val="21"/>
                <w:highlight w:val="none"/>
                <w:vertAlign w:val="baseline"/>
              </w:rPr>
            </w:pPr>
            <w:r>
              <w:rPr>
                <w:rFonts w:hint="eastAsia" w:asciiTheme="minorEastAsia" w:hAnsiTheme="minorEastAsia" w:eastAsiaTheme="minorEastAsia" w:cstheme="minorEastAsia"/>
                <w:b/>
                <w:bCs/>
                <w:sz w:val="21"/>
                <w:szCs w:val="21"/>
                <w:highlight w:val="none"/>
              </w:rPr>
              <w:t>具体事项说明</w:t>
            </w:r>
          </w:p>
        </w:tc>
        <w:tc>
          <w:tcPr>
            <w:tcW w:w="1062" w:type="dxa"/>
            <w:vAlign w:val="center"/>
          </w:tcPr>
          <w:p>
            <w:pPr>
              <w:jc w:val="center"/>
              <w:rPr>
                <w:rFonts w:hint="eastAsia" w:asciiTheme="minorEastAsia" w:hAnsiTheme="minorEastAsia" w:eastAsiaTheme="minorEastAsia" w:cstheme="minorEastAsia"/>
                <w:b/>
                <w:bCs/>
                <w:sz w:val="21"/>
                <w:szCs w:val="21"/>
                <w:highlight w:val="none"/>
                <w:vertAlign w:val="baseline"/>
              </w:rPr>
            </w:pPr>
            <w:r>
              <w:rPr>
                <w:rFonts w:hint="eastAsia" w:asciiTheme="minorEastAsia" w:hAnsiTheme="minorEastAsia" w:eastAsiaTheme="minorEastAsia" w:cstheme="minorEastAsia"/>
                <w:b/>
                <w:bCs/>
                <w:sz w:val="21"/>
                <w:szCs w:val="21"/>
                <w:highlight w:val="none"/>
              </w:rPr>
              <w:t>单价</w:t>
            </w:r>
          </w:p>
        </w:tc>
        <w:tc>
          <w:tcPr>
            <w:tcW w:w="1062" w:type="dxa"/>
            <w:vAlign w:val="center"/>
          </w:tcPr>
          <w:p>
            <w:pPr>
              <w:jc w:val="center"/>
              <w:rPr>
                <w:rFonts w:hint="eastAsia" w:asciiTheme="minorEastAsia" w:hAnsiTheme="minorEastAsia" w:eastAsiaTheme="minorEastAsia" w:cstheme="minorEastAsia"/>
                <w:b/>
                <w:bCs/>
                <w:sz w:val="21"/>
                <w:szCs w:val="21"/>
                <w:highlight w:val="none"/>
                <w:vertAlign w:val="baseline"/>
              </w:rPr>
            </w:pPr>
            <w:r>
              <w:rPr>
                <w:rFonts w:hint="eastAsia" w:asciiTheme="minorEastAsia" w:hAnsiTheme="minorEastAsia" w:eastAsiaTheme="minorEastAsia" w:cstheme="minorEastAsia"/>
                <w:b/>
                <w:bCs/>
                <w:sz w:val="21"/>
                <w:szCs w:val="21"/>
                <w:highlight w:val="none"/>
              </w:rPr>
              <w:t>数量</w:t>
            </w:r>
          </w:p>
        </w:tc>
        <w:tc>
          <w:tcPr>
            <w:tcW w:w="1063" w:type="dxa"/>
            <w:vAlign w:val="center"/>
          </w:tcPr>
          <w:p>
            <w:pPr>
              <w:jc w:val="center"/>
              <w:rPr>
                <w:rFonts w:hint="eastAsia" w:asciiTheme="minorEastAsia" w:hAnsiTheme="minorEastAsia" w:eastAsiaTheme="minorEastAsia" w:cstheme="minorEastAsia"/>
                <w:b/>
                <w:bCs/>
                <w:sz w:val="21"/>
                <w:szCs w:val="21"/>
                <w:highlight w:val="none"/>
                <w:vertAlign w:val="baseline"/>
              </w:rPr>
            </w:pPr>
            <w:r>
              <w:rPr>
                <w:rFonts w:hint="eastAsia" w:asciiTheme="minorEastAsia" w:hAnsiTheme="minorEastAsia" w:eastAsiaTheme="minorEastAsia" w:cstheme="minorEastAsia"/>
                <w:b/>
                <w:bCs/>
                <w:sz w:val="21"/>
                <w:szCs w:val="21"/>
                <w:highlight w:val="none"/>
              </w:rPr>
              <w:t>金额</w:t>
            </w:r>
          </w:p>
        </w:tc>
        <w:tc>
          <w:tcPr>
            <w:tcW w:w="1063" w:type="dxa"/>
            <w:vAlign w:val="center"/>
          </w:tcPr>
          <w:p>
            <w:pPr>
              <w:jc w:val="center"/>
              <w:rPr>
                <w:rFonts w:hint="eastAsia" w:asciiTheme="minorEastAsia" w:hAnsiTheme="minorEastAsia" w:eastAsiaTheme="minorEastAsia" w:cstheme="minorEastAsia"/>
                <w:b/>
                <w:bCs/>
                <w:sz w:val="21"/>
                <w:szCs w:val="21"/>
                <w:highlight w:val="none"/>
                <w:vertAlign w:val="baseline"/>
              </w:rPr>
            </w:pPr>
            <w:r>
              <w:rPr>
                <w:rFonts w:hint="eastAsia" w:asciiTheme="minorEastAsia" w:hAnsiTheme="minorEastAsia" w:eastAsiaTheme="minorEastAsia" w:cstheme="minorEastAsia"/>
                <w:b/>
                <w:bCs/>
                <w:sz w:val="21"/>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1062" w:type="dxa"/>
          </w:tcPr>
          <w:p>
            <w:pPr>
              <w:jc w:val="center"/>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cstheme="minorEastAsia"/>
                <w:sz w:val="21"/>
                <w:szCs w:val="21"/>
                <w:highlight w:val="none"/>
                <w:vertAlign w:val="baseline"/>
                <w:lang w:val="en-US" w:eastAsia="zh-CN"/>
              </w:rPr>
              <w:t>1</w:t>
            </w:r>
          </w:p>
        </w:tc>
        <w:tc>
          <w:tcPr>
            <w:tcW w:w="1062" w:type="dxa"/>
          </w:tcPr>
          <w:p>
            <w:pPr>
              <w:rPr>
                <w:rFonts w:hint="eastAsia" w:asciiTheme="minorEastAsia" w:hAnsiTheme="minorEastAsia" w:eastAsiaTheme="minorEastAsia" w:cstheme="minorEastAsia"/>
                <w:sz w:val="21"/>
                <w:szCs w:val="21"/>
                <w:highlight w:val="none"/>
                <w:vertAlign w:val="baseline"/>
              </w:rPr>
            </w:pPr>
          </w:p>
        </w:tc>
        <w:tc>
          <w:tcPr>
            <w:tcW w:w="1062" w:type="dxa"/>
          </w:tcPr>
          <w:p>
            <w:pPr>
              <w:rPr>
                <w:rFonts w:hint="eastAsia" w:asciiTheme="minorEastAsia" w:hAnsiTheme="minorEastAsia" w:eastAsiaTheme="minorEastAsia" w:cstheme="minorEastAsia"/>
                <w:sz w:val="21"/>
                <w:szCs w:val="21"/>
                <w:highlight w:val="none"/>
                <w:vertAlign w:val="baseline"/>
              </w:rPr>
            </w:pPr>
          </w:p>
        </w:tc>
        <w:tc>
          <w:tcPr>
            <w:tcW w:w="1062" w:type="dxa"/>
          </w:tcPr>
          <w:p>
            <w:pPr>
              <w:rPr>
                <w:rFonts w:hint="eastAsia" w:asciiTheme="minorEastAsia" w:hAnsiTheme="minorEastAsia" w:eastAsiaTheme="minorEastAsia" w:cstheme="minorEastAsia"/>
                <w:sz w:val="21"/>
                <w:szCs w:val="21"/>
                <w:highlight w:val="none"/>
                <w:vertAlign w:val="baseline"/>
              </w:rPr>
            </w:pPr>
          </w:p>
        </w:tc>
        <w:tc>
          <w:tcPr>
            <w:tcW w:w="1062" w:type="dxa"/>
          </w:tcPr>
          <w:p>
            <w:pPr>
              <w:rPr>
                <w:rFonts w:hint="eastAsia" w:asciiTheme="minorEastAsia" w:hAnsiTheme="minorEastAsia" w:eastAsiaTheme="minorEastAsia" w:cstheme="minorEastAsia"/>
                <w:sz w:val="21"/>
                <w:szCs w:val="21"/>
                <w:highlight w:val="none"/>
                <w:vertAlign w:val="baseline"/>
              </w:rPr>
            </w:pPr>
          </w:p>
        </w:tc>
        <w:tc>
          <w:tcPr>
            <w:tcW w:w="1062" w:type="dxa"/>
          </w:tcPr>
          <w:p>
            <w:pPr>
              <w:rPr>
                <w:rFonts w:hint="eastAsia" w:asciiTheme="minorEastAsia" w:hAnsiTheme="minorEastAsia" w:eastAsiaTheme="minorEastAsia" w:cstheme="minorEastAsia"/>
                <w:sz w:val="21"/>
                <w:szCs w:val="21"/>
                <w:highlight w:val="none"/>
                <w:vertAlign w:val="baseline"/>
              </w:rPr>
            </w:pPr>
          </w:p>
        </w:tc>
        <w:tc>
          <w:tcPr>
            <w:tcW w:w="1063" w:type="dxa"/>
          </w:tcPr>
          <w:p>
            <w:pPr>
              <w:rPr>
                <w:rFonts w:hint="eastAsia" w:asciiTheme="minorEastAsia" w:hAnsiTheme="minorEastAsia" w:eastAsiaTheme="minorEastAsia" w:cstheme="minorEastAsia"/>
                <w:sz w:val="21"/>
                <w:szCs w:val="21"/>
                <w:highlight w:val="none"/>
                <w:vertAlign w:val="baseline"/>
              </w:rPr>
            </w:pPr>
          </w:p>
        </w:tc>
        <w:tc>
          <w:tcPr>
            <w:tcW w:w="1063" w:type="dxa"/>
          </w:tcPr>
          <w:p>
            <w:pPr>
              <w:rPr>
                <w:rFonts w:hint="eastAsia" w:asciiTheme="minorEastAsia" w:hAnsiTheme="minorEastAsia" w:eastAsiaTheme="minorEastAsia" w:cstheme="minorEastAsia"/>
                <w:sz w:val="21"/>
                <w:szCs w:val="21"/>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1062" w:type="dxa"/>
          </w:tcPr>
          <w:p>
            <w:pPr>
              <w:jc w:val="center"/>
              <w:rPr>
                <w:rFonts w:hint="eastAsia" w:asciiTheme="minorEastAsia" w:hAnsiTheme="minorEastAsia" w:cstheme="minorEastAsia"/>
                <w:sz w:val="21"/>
                <w:szCs w:val="21"/>
                <w:highlight w:val="none"/>
                <w:vertAlign w:val="baseline"/>
                <w:lang w:val="en-US" w:eastAsia="zh-CN"/>
              </w:rPr>
            </w:pPr>
            <w:r>
              <w:rPr>
                <w:rFonts w:hint="eastAsia" w:asciiTheme="minorEastAsia" w:hAnsiTheme="minorEastAsia" w:cstheme="minorEastAsia"/>
                <w:sz w:val="21"/>
                <w:szCs w:val="21"/>
                <w:highlight w:val="none"/>
                <w:vertAlign w:val="baseline"/>
                <w:lang w:val="en-US" w:eastAsia="zh-CN"/>
              </w:rPr>
              <w:t>2</w:t>
            </w:r>
          </w:p>
        </w:tc>
        <w:tc>
          <w:tcPr>
            <w:tcW w:w="1062" w:type="dxa"/>
          </w:tcPr>
          <w:p>
            <w:pPr>
              <w:rPr>
                <w:rFonts w:hint="eastAsia" w:asciiTheme="minorEastAsia" w:hAnsiTheme="minorEastAsia" w:eastAsiaTheme="minorEastAsia" w:cstheme="minorEastAsia"/>
                <w:sz w:val="21"/>
                <w:szCs w:val="21"/>
                <w:highlight w:val="none"/>
                <w:vertAlign w:val="baseline"/>
              </w:rPr>
            </w:pPr>
          </w:p>
        </w:tc>
        <w:tc>
          <w:tcPr>
            <w:tcW w:w="1062" w:type="dxa"/>
          </w:tcPr>
          <w:p>
            <w:pPr>
              <w:rPr>
                <w:rFonts w:hint="eastAsia" w:asciiTheme="minorEastAsia" w:hAnsiTheme="minorEastAsia" w:eastAsiaTheme="minorEastAsia" w:cstheme="minorEastAsia"/>
                <w:sz w:val="21"/>
                <w:szCs w:val="21"/>
                <w:highlight w:val="none"/>
                <w:vertAlign w:val="baseline"/>
              </w:rPr>
            </w:pPr>
          </w:p>
        </w:tc>
        <w:tc>
          <w:tcPr>
            <w:tcW w:w="1062" w:type="dxa"/>
          </w:tcPr>
          <w:p>
            <w:pPr>
              <w:rPr>
                <w:rFonts w:hint="eastAsia" w:asciiTheme="minorEastAsia" w:hAnsiTheme="minorEastAsia" w:eastAsiaTheme="minorEastAsia" w:cstheme="minorEastAsia"/>
                <w:sz w:val="21"/>
                <w:szCs w:val="21"/>
                <w:highlight w:val="none"/>
                <w:vertAlign w:val="baseline"/>
              </w:rPr>
            </w:pPr>
          </w:p>
        </w:tc>
        <w:tc>
          <w:tcPr>
            <w:tcW w:w="1062" w:type="dxa"/>
          </w:tcPr>
          <w:p>
            <w:pPr>
              <w:rPr>
                <w:rFonts w:hint="eastAsia" w:asciiTheme="minorEastAsia" w:hAnsiTheme="minorEastAsia" w:eastAsiaTheme="minorEastAsia" w:cstheme="minorEastAsia"/>
                <w:sz w:val="21"/>
                <w:szCs w:val="21"/>
                <w:highlight w:val="none"/>
                <w:vertAlign w:val="baseline"/>
              </w:rPr>
            </w:pPr>
          </w:p>
        </w:tc>
        <w:tc>
          <w:tcPr>
            <w:tcW w:w="1062" w:type="dxa"/>
          </w:tcPr>
          <w:p>
            <w:pPr>
              <w:rPr>
                <w:rFonts w:hint="eastAsia" w:asciiTheme="minorEastAsia" w:hAnsiTheme="minorEastAsia" w:eastAsiaTheme="minorEastAsia" w:cstheme="minorEastAsia"/>
                <w:sz w:val="21"/>
                <w:szCs w:val="21"/>
                <w:highlight w:val="none"/>
                <w:vertAlign w:val="baseline"/>
              </w:rPr>
            </w:pPr>
          </w:p>
        </w:tc>
        <w:tc>
          <w:tcPr>
            <w:tcW w:w="1063" w:type="dxa"/>
          </w:tcPr>
          <w:p>
            <w:pPr>
              <w:rPr>
                <w:rFonts w:hint="eastAsia" w:asciiTheme="minorEastAsia" w:hAnsiTheme="minorEastAsia" w:eastAsiaTheme="minorEastAsia" w:cstheme="minorEastAsia"/>
                <w:sz w:val="21"/>
                <w:szCs w:val="21"/>
                <w:highlight w:val="none"/>
                <w:vertAlign w:val="baseline"/>
              </w:rPr>
            </w:pPr>
          </w:p>
        </w:tc>
        <w:tc>
          <w:tcPr>
            <w:tcW w:w="1063" w:type="dxa"/>
          </w:tcPr>
          <w:p>
            <w:pPr>
              <w:rPr>
                <w:rFonts w:hint="eastAsia" w:asciiTheme="minorEastAsia" w:hAnsiTheme="minorEastAsia" w:eastAsiaTheme="minorEastAsia" w:cstheme="minorEastAsia"/>
                <w:sz w:val="21"/>
                <w:szCs w:val="21"/>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1062" w:type="dxa"/>
          </w:tcPr>
          <w:p>
            <w:pPr>
              <w:jc w:val="center"/>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cstheme="minorEastAsia"/>
                <w:sz w:val="21"/>
                <w:szCs w:val="21"/>
                <w:highlight w:val="none"/>
                <w:vertAlign w:val="baseline"/>
                <w:lang w:val="en-US" w:eastAsia="zh-CN"/>
              </w:rPr>
              <w:t>3</w:t>
            </w:r>
          </w:p>
        </w:tc>
        <w:tc>
          <w:tcPr>
            <w:tcW w:w="1062" w:type="dxa"/>
          </w:tcPr>
          <w:p>
            <w:pPr>
              <w:rPr>
                <w:rFonts w:hint="eastAsia" w:asciiTheme="minorEastAsia" w:hAnsiTheme="minorEastAsia" w:eastAsiaTheme="minorEastAsia" w:cstheme="minorEastAsia"/>
                <w:sz w:val="21"/>
                <w:szCs w:val="21"/>
                <w:highlight w:val="none"/>
                <w:vertAlign w:val="baseline"/>
              </w:rPr>
            </w:pPr>
          </w:p>
        </w:tc>
        <w:tc>
          <w:tcPr>
            <w:tcW w:w="1062" w:type="dxa"/>
          </w:tcPr>
          <w:p>
            <w:pPr>
              <w:rPr>
                <w:rFonts w:hint="eastAsia" w:asciiTheme="minorEastAsia" w:hAnsiTheme="minorEastAsia" w:eastAsiaTheme="minorEastAsia" w:cstheme="minorEastAsia"/>
                <w:sz w:val="21"/>
                <w:szCs w:val="21"/>
                <w:highlight w:val="none"/>
                <w:vertAlign w:val="baseline"/>
              </w:rPr>
            </w:pPr>
          </w:p>
        </w:tc>
        <w:tc>
          <w:tcPr>
            <w:tcW w:w="1062" w:type="dxa"/>
          </w:tcPr>
          <w:p>
            <w:pPr>
              <w:rPr>
                <w:rFonts w:hint="eastAsia" w:asciiTheme="minorEastAsia" w:hAnsiTheme="minorEastAsia" w:eastAsiaTheme="minorEastAsia" w:cstheme="minorEastAsia"/>
                <w:sz w:val="21"/>
                <w:szCs w:val="21"/>
                <w:highlight w:val="none"/>
                <w:vertAlign w:val="baseline"/>
              </w:rPr>
            </w:pPr>
          </w:p>
        </w:tc>
        <w:tc>
          <w:tcPr>
            <w:tcW w:w="1062" w:type="dxa"/>
          </w:tcPr>
          <w:p>
            <w:pPr>
              <w:rPr>
                <w:rFonts w:hint="eastAsia" w:asciiTheme="minorEastAsia" w:hAnsiTheme="minorEastAsia" w:eastAsiaTheme="minorEastAsia" w:cstheme="minorEastAsia"/>
                <w:sz w:val="21"/>
                <w:szCs w:val="21"/>
                <w:highlight w:val="none"/>
                <w:vertAlign w:val="baseline"/>
              </w:rPr>
            </w:pPr>
          </w:p>
        </w:tc>
        <w:tc>
          <w:tcPr>
            <w:tcW w:w="1062" w:type="dxa"/>
          </w:tcPr>
          <w:p>
            <w:pPr>
              <w:rPr>
                <w:rFonts w:hint="eastAsia" w:asciiTheme="minorEastAsia" w:hAnsiTheme="minorEastAsia" w:eastAsiaTheme="minorEastAsia" w:cstheme="minorEastAsia"/>
                <w:sz w:val="21"/>
                <w:szCs w:val="21"/>
                <w:highlight w:val="none"/>
                <w:vertAlign w:val="baseline"/>
              </w:rPr>
            </w:pPr>
          </w:p>
        </w:tc>
        <w:tc>
          <w:tcPr>
            <w:tcW w:w="1063" w:type="dxa"/>
          </w:tcPr>
          <w:p>
            <w:pPr>
              <w:rPr>
                <w:rFonts w:hint="eastAsia" w:asciiTheme="minorEastAsia" w:hAnsiTheme="minorEastAsia" w:eastAsiaTheme="minorEastAsia" w:cstheme="minorEastAsia"/>
                <w:sz w:val="21"/>
                <w:szCs w:val="21"/>
                <w:highlight w:val="none"/>
                <w:vertAlign w:val="baseline"/>
              </w:rPr>
            </w:pPr>
          </w:p>
        </w:tc>
        <w:tc>
          <w:tcPr>
            <w:tcW w:w="1063" w:type="dxa"/>
          </w:tcPr>
          <w:p>
            <w:pPr>
              <w:rPr>
                <w:rFonts w:hint="eastAsia" w:asciiTheme="minorEastAsia" w:hAnsiTheme="minorEastAsia" w:eastAsiaTheme="minorEastAsia" w:cstheme="minorEastAsia"/>
                <w:sz w:val="21"/>
                <w:szCs w:val="21"/>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1062" w:type="dxa"/>
          </w:tcPr>
          <w:p>
            <w:pPr>
              <w:jc w:val="center"/>
              <w:rPr>
                <w:rFonts w:hint="default" w:asciiTheme="minorEastAsia" w:hAnsiTheme="minorEastAsia" w:cstheme="minorEastAsia"/>
                <w:sz w:val="21"/>
                <w:szCs w:val="21"/>
                <w:highlight w:val="none"/>
                <w:vertAlign w:val="baseline"/>
                <w:lang w:val="en-US" w:eastAsia="zh-CN"/>
              </w:rPr>
            </w:pPr>
            <w:r>
              <w:rPr>
                <w:rFonts w:hint="eastAsia" w:asciiTheme="minorEastAsia" w:hAnsiTheme="minorEastAsia" w:cstheme="minorEastAsia"/>
                <w:sz w:val="21"/>
                <w:szCs w:val="21"/>
                <w:highlight w:val="none"/>
                <w:vertAlign w:val="baseline"/>
                <w:lang w:val="en-US" w:eastAsia="zh-CN"/>
              </w:rPr>
              <w:t>......</w:t>
            </w:r>
          </w:p>
        </w:tc>
        <w:tc>
          <w:tcPr>
            <w:tcW w:w="1062" w:type="dxa"/>
          </w:tcPr>
          <w:p>
            <w:pPr>
              <w:rPr>
                <w:rFonts w:hint="eastAsia" w:asciiTheme="minorEastAsia" w:hAnsiTheme="minorEastAsia" w:eastAsiaTheme="minorEastAsia" w:cstheme="minorEastAsia"/>
                <w:sz w:val="21"/>
                <w:szCs w:val="21"/>
                <w:highlight w:val="none"/>
                <w:vertAlign w:val="baseline"/>
              </w:rPr>
            </w:pPr>
          </w:p>
        </w:tc>
        <w:tc>
          <w:tcPr>
            <w:tcW w:w="1062" w:type="dxa"/>
          </w:tcPr>
          <w:p>
            <w:pPr>
              <w:rPr>
                <w:rFonts w:hint="eastAsia" w:asciiTheme="minorEastAsia" w:hAnsiTheme="minorEastAsia" w:eastAsiaTheme="minorEastAsia" w:cstheme="minorEastAsia"/>
                <w:sz w:val="21"/>
                <w:szCs w:val="21"/>
                <w:highlight w:val="none"/>
                <w:vertAlign w:val="baseline"/>
              </w:rPr>
            </w:pPr>
          </w:p>
        </w:tc>
        <w:tc>
          <w:tcPr>
            <w:tcW w:w="1062" w:type="dxa"/>
          </w:tcPr>
          <w:p>
            <w:pPr>
              <w:rPr>
                <w:rFonts w:hint="eastAsia" w:asciiTheme="minorEastAsia" w:hAnsiTheme="minorEastAsia" w:eastAsiaTheme="minorEastAsia" w:cstheme="minorEastAsia"/>
                <w:sz w:val="21"/>
                <w:szCs w:val="21"/>
                <w:highlight w:val="none"/>
                <w:vertAlign w:val="baseline"/>
              </w:rPr>
            </w:pPr>
          </w:p>
        </w:tc>
        <w:tc>
          <w:tcPr>
            <w:tcW w:w="1062" w:type="dxa"/>
          </w:tcPr>
          <w:p>
            <w:pPr>
              <w:rPr>
                <w:rFonts w:hint="eastAsia" w:asciiTheme="minorEastAsia" w:hAnsiTheme="minorEastAsia" w:eastAsiaTheme="minorEastAsia" w:cstheme="minorEastAsia"/>
                <w:sz w:val="21"/>
                <w:szCs w:val="21"/>
                <w:highlight w:val="none"/>
                <w:vertAlign w:val="baseline"/>
              </w:rPr>
            </w:pPr>
          </w:p>
        </w:tc>
        <w:tc>
          <w:tcPr>
            <w:tcW w:w="1062" w:type="dxa"/>
          </w:tcPr>
          <w:p>
            <w:pPr>
              <w:rPr>
                <w:rFonts w:hint="eastAsia" w:asciiTheme="minorEastAsia" w:hAnsiTheme="minorEastAsia" w:eastAsiaTheme="minorEastAsia" w:cstheme="minorEastAsia"/>
                <w:sz w:val="21"/>
                <w:szCs w:val="21"/>
                <w:highlight w:val="none"/>
                <w:vertAlign w:val="baseline"/>
              </w:rPr>
            </w:pPr>
          </w:p>
        </w:tc>
        <w:tc>
          <w:tcPr>
            <w:tcW w:w="1063" w:type="dxa"/>
          </w:tcPr>
          <w:p>
            <w:pPr>
              <w:rPr>
                <w:rFonts w:hint="eastAsia" w:asciiTheme="minorEastAsia" w:hAnsiTheme="minorEastAsia" w:eastAsiaTheme="minorEastAsia" w:cstheme="minorEastAsia"/>
                <w:sz w:val="21"/>
                <w:szCs w:val="21"/>
                <w:highlight w:val="none"/>
                <w:vertAlign w:val="baseline"/>
              </w:rPr>
            </w:pPr>
          </w:p>
        </w:tc>
        <w:tc>
          <w:tcPr>
            <w:tcW w:w="1063" w:type="dxa"/>
          </w:tcPr>
          <w:p>
            <w:pPr>
              <w:rPr>
                <w:rFonts w:hint="eastAsia" w:asciiTheme="minorEastAsia" w:hAnsiTheme="minorEastAsia" w:eastAsiaTheme="minorEastAsia" w:cstheme="minorEastAsia"/>
                <w:sz w:val="21"/>
                <w:szCs w:val="21"/>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8" w:hRule="atLeast"/>
        </w:trPr>
        <w:tc>
          <w:tcPr>
            <w:tcW w:w="8498" w:type="dxa"/>
            <w:gridSpan w:val="8"/>
            <w:vAlign w:val="center"/>
          </w:tcPr>
          <w:p>
            <w:pPr>
              <w:jc w:val="both"/>
              <w:rPr>
                <w:rFonts w:hint="eastAsia" w:asciiTheme="minorEastAsia" w:hAnsiTheme="minorEastAsia" w:eastAsiaTheme="minorEastAsia" w:cstheme="minorEastAsia"/>
                <w:sz w:val="21"/>
                <w:szCs w:val="21"/>
                <w:highlight w:val="none"/>
                <w:vertAlign w:val="baseline"/>
              </w:rPr>
            </w:pPr>
            <w:r>
              <w:rPr>
                <w:rFonts w:hint="eastAsia" w:asciiTheme="minorEastAsia" w:hAnsiTheme="minorEastAsia" w:eastAsiaTheme="minorEastAsia" w:cstheme="minorEastAsia"/>
                <w:sz w:val="21"/>
                <w:szCs w:val="21"/>
                <w:highlight w:val="none"/>
              </w:rPr>
              <w:t>合计（元）：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4" w:hRule="atLeast"/>
        </w:trPr>
        <w:tc>
          <w:tcPr>
            <w:tcW w:w="1062" w:type="dxa"/>
            <w:vAlign w:val="center"/>
          </w:tcPr>
          <w:p>
            <w:pPr>
              <w:jc w:val="center"/>
              <w:rPr>
                <w:rFonts w:hint="eastAsia" w:asciiTheme="minorEastAsia" w:hAnsiTheme="minorEastAsia" w:eastAsiaTheme="minorEastAsia" w:cstheme="minorEastAsia"/>
                <w:sz w:val="21"/>
                <w:szCs w:val="21"/>
                <w:highlight w:val="none"/>
                <w:vertAlign w:val="baseline"/>
              </w:rPr>
            </w:pPr>
            <w:r>
              <w:rPr>
                <w:rFonts w:hint="eastAsia" w:asciiTheme="minorEastAsia" w:hAnsiTheme="minorEastAsia" w:eastAsiaTheme="minorEastAsia" w:cstheme="minorEastAsia"/>
                <w:sz w:val="21"/>
                <w:szCs w:val="21"/>
                <w:highlight w:val="none"/>
              </w:rPr>
              <w:t>磋商报价</w:t>
            </w:r>
          </w:p>
        </w:tc>
        <w:tc>
          <w:tcPr>
            <w:tcW w:w="7436" w:type="dxa"/>
            <w:gridSpan w:val="7"/>
          </w:tcPr>
          <w:p>
            <w:pPr>
              <w:rPr>
                <w:rFonts w:hint="eastAsia" w:asciiTheme="minorEastAsia" w:hAnsiTheme="minorEastAsia" w:eastAsiaTheme="minorEastAsia" w:cstheme="minorEastAsia"/>
                <w:sz w:val="18"/>
                <w:szCs w:val="18"/>
                <w:highlight w:val="none"/>
              </w:rPr>
            </w:pPr>
          </w:p>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18"/>
                <w:szCs w:val="18"/>
                <w:highlight w:val="none"/>
              </w:rPr>
              <w:t>小写：</w:t>
            </w:r>
          </w:p>
          <w:p>
            <w:pPr>
              <w:rPr>
                <w:rFonts w:hint="eastAsia" w:asciiTheme="minorEastAsia" w:hAnsiTheme="minorEastAsia" w:eastAsiaTheme="minorEastAsia" w:cstheme="minorEastAsia"/>
                <w:sz w:val="24"/>
                <w:szCs w:val="24"/>
                <w:highlight w:val="none"/>
              </w:rPr>
            </w:pPr>
          </w:p>
          <w:p>
            <w:pPr>
              <w:ind w:firstLine="3780" w:firstLineChars="21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18"/>
                <w:szCs w:val="18"/>
                <w:highlight w:val="none"/>
              </w:rPr>
              <w:t>单位：元（报价最多保留至小数点后两位）</w:t>
            </w:r>
          </w:p>
        </w:tc>
      </w:tr>
    </w:tbl>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备注：1、本表“磋商报价”金额应与“第一次磋商报价表”中的“磋商报价”一致；</w:t>
      </w:r>
    </w:p>
    <w:p>
      <w:pPr>
        <w:ind w:firstLine="630" w:firstLineChars="3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2、本表为样表，仅供参考，供应商根据项目实际需求进行填写。</w:t>
      </w:r>
    </w:p>
    <w:p>
      <w:pPr>
        <w:rPr>
          <w:rFonts w:hint="eastAsia" w:asciiTheme="minorEastAsia" w:hAnsiTheme="minorEastAsia" w:eastAsiaTheme="minorEastAsia" w:cstheme="minorEastAsia"/>
          <w:sz w:val="21"/>
          <w:szCs w:val="21"/>
          <w:highlight w:val="none"/>
        </w:rPr>
      </w:pPr>
    </w:p>
    <w:p>
      <w:pPr>
        <w:rPr>
          <w:rFonts w:hint="eastAsia" w:asciiTheme="minorEastAsia" w:hAnsiTheme="minorEastAsia" w:eastAsiaTheme="minorEastAsia" w:cstheme="minorEastAsia"/>
          <w:sz w:val="21"/>
          <w:szCs w:val="21"/>
          <w:highlight w:val="none"/>
        </w:rPr>
      </w:pPr>
    </w:p>
    <w:p>
      <w:pPr>
        <w:ind w:firstLine="3570" w:firstLineChars="17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供应商：</w:t>
      </w:r>
      <w:r>
        <w:rPr>
          <w:rFonts w:hint="eastAsia" w:asciiTheme="minorEastAsia" w:hAnsiTheme="minorEastAsia" w:cstheme="minorEastAsia"/>
          <w:sz w:val="21"/>
          <w:szCs w:val="21"/>
          <w:highlight w:val="none"/>
          <w:u w:val="single"/>
          <w:lang w:val="en-US" w:eastAsia="zh-CN"/>
        </w:rPr>
        <w:t xml:space="preserve">     </w:t>
      </w:r>
      <w:r>
        <w:rPr>
          <w:rFonts w:hint="eastAsia" w:asciiTheme="minorEastAsia" w:hAnsiTheme="minorEastAsia" w:eastAsiaTheme="minorEastAsia" w:cstheme="minorEastAsia"/>
          <w:sz w:val="21"/>
          <w:szCs w:val="21"/>
          <w:highlight w:val="none"/>
          <w:u w:val="single"/>
        </w:rPr>
        <w:t>名称</w:t>
      </w:r>
      <w:r>
        <w:rPr>
          <w:rFonts w:hint="eastAsia" w:asciiTheme="minorEastAsia" w:hAnsiTheme="minorEastAsia" w:cstheme="minorEastAsia"/>
          <w:sz w:val="21"/>
          <w:szCs w:val="21"/>
          <w:highlight w:val="none"/>
          <w:u w:val="single"/>
          <w:lang w:val="en-US" w:eastAsia="zh-CN"/>
        </w:rPr>
        <w:t xml:space="preserve">    </w:t>
      </w:r>
      <w:r>
        <w:rPr>
          <w:rFonts w:hint="eastAsia" w:asciiTheme="minorEastAsia" w:hAnsiTheme="minorEastAsia" w:eastAsiaTheme="minorEastAsia" w:cstheme="minorEastAsia"/>
          <w:sz w:val="21"/>
          <w:szCs w:val="21"/>
          <w:highlight w:val="none"/>
        </w:rPr>
        <w:t>（加盖公章）</w:t>
      </w:r>
    </w:p>
    <w:p>
      <w:pPr>
        <w:ind w:firstLine="3780" w:firstLineChars="18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日期：</w:t>
      </w:r>
      <w:r>
        <w:rPr>
          <w:rFonts w:hint="eastAsia" w:asciiTheme="minorEastAsia" w:hAnsiTheme="minorEastAsia" w:cstheme="minorEastAsia"/>
          <w:sz w:val="21"/>
          <w:szCs w:val="21"/>
          <w:highlight w:val="none"/>
          <w:u w:val="single"/>
          <w:lang w:val="en-US" w:eastAsia="zh-CN"/>
        </w:rPr>
        <w:t xml:space="preserve">        </w:t>
      </w:r>
      <w:r>
        <w:rPr>
          <w:rFonts w:hint="eastAsia" w:asciiTheme="minorEastAsia" w:hAnsiTheme="minorEastAsia" w:eastAsiaTheme="minorEastAsia" w:cstheme="minorEastAsia"/>
          <w:sz w:val="21"/>
          <w:szCs w:val="21"/>
          <w:highlight w:val="none"/>
        </w:rPr>
        <w:t>年</w:t>
      </w:r>
      <w:r>
        <w:rPr>
          <w:rFonts w:hint="eastAsia" w:asciiTheme="minorEastAsia" w:hAnsiTheme="minorEastAsia" w:cstheme="minorEastAsia"/>
          <w:sz w:val="21"/>
          <w:szCs w:val="21"/>
          <w:highlight w:val="none"/>
          <w:u w:val="single"/>
          <w:lang w:val="en-US" w:eastAsia="zh-CN"/>
        </w:rPr>
        <w:t xml:space="preserve">    </w:t>
      </w:r>
      <w:r>
        <w:rPr>
          <w:rFonts w:hint="eastAsia" w:asciiTheme="minorEastAsia" w:hAnsiTheme="minorEastAsia" w:eastAsiaTheme="minorEastAsia" w:cstheme="minorEastAsia"/>
          <w:sz w:val="21"/>
          <w:szCs w:val="21"/>
          <w:highlight w:val="none"/>
        </w:rPr>
        <w:t>月</w:t>
      </w:r>
      <w:r>
        <w:rPr>
          <w:rFonts w:hint="eastAsia" w:asciiTheme="minorEastAsia" w:hAnsiTheme="minorEastAsia" w:cstheme="minorEastAsia"/>
          <w:sz w:val="21"/>
          <w:szCs w:val="21"/>
          <w:highlight w:val="none"/>
          <w:u w:val="single"/>
          <w:lang w:val="en-US" w:eastAsia="zh-CN"/>
        </w:rPr>
        <w:t xml:space="preserve">     </w:t>
      </w:r>
      <w:r>
        <w:rPr>
          <w:rFonts w:hint="eastAsia" w:asciiTheme="minorEastAsia" w:hAnsiTheme="minorEastAsia" w:eastAsiaTheme="minorEastAsia" w:cstheme="minorEastAsia"/>
          <w:sz w:val="21"/>
          <w:szCs w:val="21"/>
          <w:highlight w:val="none"/>
        </w:rPr>
        <w:t>日</w:t>
      </w: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spacing w:before="320" w:after="120" w:line="288" w:lineRule="auto"/>
        <w:ind w:left="0"/>
        <w:jc w:val="center"/>
        <w:outlineLvl w:val="1"/>
        <w:rPr>
          <w:rFonts w:ascii="Arial" w:hAnsi="Arial" w:eastAsia="等线" w:cs="Arial"/>
          <w:b/>
          <w:sz w:val="32"/>
          <w:highlight w:val="none"/>
        </w:rPr>
      </w:pPr>
      <w:bookmarkStart w:id="14" w:name="heading_0"/>
    </w:p>
    <w:p>
      <w:pPr>
        <w:spacing w:before="320" w:after="120" w:line="288" w:lineRule="auto"/>
        <w:ind w:left="0"/>
        <w:jc w:val="center"/>
        <w:outlineLvl w:val="1"/>
        <w:rPr>
          <w:rFonts w:ascii="Arial" w:hAnsi="Arial" w:eastAsia="等线" w:cs="Arial"/>
          <w:b/>
          <w:sz w:val="32"/>
          <w:highlight w:val="none"/>
        </w:rPr>
      </w:pPr>
    </w:p>
    <w:p>
      <w:pPr>
        <w:spacing w:before="320" w:after="120" w:line="288" w:lineRule="auto"/>
        <w:ind w:left="0"/>
        <w:jc w:val="center"/>
        <w:outlineLvl w:val="1"/>
        <w:rPr>
          <w:rFonts w:ascii="Arial" w:hAnsi="Arial" w:eastAsia="等线" w:cs="Arial"/>
          <w:b/>
          <w:sz w:val="32"/>
          <w:highlight w:val="none"/>
        </w:rPr>
      </w:pPr>
    </w:p>
    <w:p>
      <w:pPr>
        <w:spacing w:before="320" w:after="120" w:line="288" w:lineRule="auto"/>
        <w:ind w:left="0"/>
        <w:jc w:val="center"/>
        <w:outlineLvl w:val="1"/>
        <w:rPr>
          <w:rFonts w:ascii="Arial" w:hAnsi="Arial" w:eastAsia="等线" w:cs="Arial"/>
          <w:b/>
          <w:sz w:val="32"/>
          <w:highlight w:val="none"/>
        </w:rPr>
      </w:pPr>
    </w:p>
    <w:p>
      <w:pPr>
        <w:spacing w:before="320" w:after="120" w:line="288" w:lineRule="auto"/>
        <w:ind w:left="0"/>
        <w:jc w:val="center"/>
        <w:outlineLvl w:val="1"/>
        <w:rPr>
          <w:rFonts w:ascii="Arial" w:hAnsi="Arial" w:eastAsia="等线" w:cs="Arial"/>
          <w:b/>
          <w:sz w:val="32"/>
          <w:highlight w:val="none"/>
        </w:rPr>
      </w:pPr>
    </w:p>
    <w:p>
      <w:pPr>
        <w:spacing w:before="320" w:after="120" w:line="288" w:lineRule="auto"/>
        <w:ind w:left="0"/>
        <w:jc w:val="center"/>
        <w:outlineLvl w:val="1"/>
        <w:rPr>
          <w:highlight w:val="none"/>
        </w:rPr>
      </w:pPr>
      <w:r>
        <w:rPr>
          <w:rFonts w:ascii="Arial" w:hAnsi="Arial" w:eastAsia="等线" w:cs="Arial"/>
          <w:b/>
          <w:sz w:val="32"/>
          <w:highlight w:val="none"/>
        </w:rPr>
        <w:t>商务响应偏离表</w:t>
      </w:r>
      <w:bookmarkEnd w:id="14"/>
    </w:p>
    <w:tbl>
      <w:tblPr>
        <w:tblStyle w:val="9"/>
        <w:tblW w:w="0" w:type="auto"/>
        <w:tblInd w:w="0" w:type="dxa"/>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Layout w:type="fixed"/>
        <w:tblCellMar>
          <w:top w:w="0" w:type="dxa"/>
          <w:left w:w="10" w:type="dxa"/>
          <w:bottom w:w="0" w:type="dxa"/>
          <w:right w:w="10" w:type="dxa"/>
        </w:tblCellMar>
      </w:tblPr>
      <w:tblGrid>
        <w:gridCol w:w="831"/>
        <w:gridCol w:w="1929"/>
        <w:gridCol w:w="1380"/>
        <w:gridCol w:w="1380"/>
        <w:gridCol w:w="1380"/>
        <w:gridCol w:w="1380"/>
      </w:tblGrid>
      <w:tr>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c>
          <w:tcPr>
            <w:tcW w:w="83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pPr>
              <w:spacing w:before="120" w:after="120" w:line="288" w:lineRule="auto"/>
              <w:ind w:left="0"/>
              <w:jc w:val="center"/>
              <w:rPr>
                <w:rFonts w:hint="eastAsia" w:ascii="仿宋_GB2312" w:hAnsi="仿宋_GB2312" w:eastAsia="仿宋_GB2312" w:cs="仿宋_GB2312"/>
                <w:b/>
                <w:bCs/>
                <w:sz w:val="24"/>
                <w:szCs w:val="24"/>
                <w:highlight w:val="none"/>
              </w:rPr>
            </w:pPr>
            <w:r>
              <w:rPr>
                <w:rFonts w:hint="eastAsia" w:ascii="仿宋_GB2312" w:hAnsi="仿宋_GB2312" w:eastAsia="仿宋_GB2312" w:cs="仿宋_GB2312"/>
                <w:b/>
                <w:bCs/>
                <w:sz w:val="24"/>
                <w:szCs w:val="24"/>
                <w:highlight w:val="none"/>
              </w:rPr>
              <w:t>序号</w:t>
            </w:r>
          </w:p>
        </w:tc>
        <w:tc>
          <w:tcPr>
            <w:tcW w:w="192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pPr>
              <w:spacing w:before="120" w:after="120" w:line="288" w:lineRule="auto"/>
              <w:ind w:left="0"/>
              <w:jc w:val="center"/>
              <w:rPr>
                <w:rFonts w:hint="eastAsia" w:ascii="仿宋_GB2312" w:hAnsi="仿宋_GB2312" w:eastAsia="仿宋_GB2312" w:cs="仿宋_GB2312"/>
                <w:b/>
                <w:bCs/>
                <w:sz w:val="24"/>
                <w:szCs w:val="24"/>
                <w:highlight w:val="none"/>
              </w:rPr>
            </w:pPr>
            <w:r>
              <w:rPr>
                <w:rFonts w:hint="eastAsia" w:ascii="仿宋_GB2312" w:hAnsi="仿宋_GB2312" w:eastAsia="仿宋_GB2312" w:cs="仿宋_GB2312"/>
                <w:b/>
                <w:bCs/>
                <w:sz w:val="24"/>
                <w:szCs w:val="24"/>
                <w:highlight w:val="none"/>
              </w:rPr>
              <w:t>商务条款名称</w:t>
            </w:r>
          </w:p>
        </w:tc>
        <w:tc>
          <w:tcPr>
            <w:tcW w:w="138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pPr>
              <w:spacing w:before="120" w:after="120" w:line="288" w:lineRule="auto"/>
              <w:ind w:left="0"/>
              <w:jc w:val="center"/>
              <w:rPr>
                <w:rFonts w:hint="eastAsia" w:ascii="仿宋_GB2312" w:hAnsi="仿宋_GB2312" w:eastAsia="仿宋_GB2312" w:cs="仿宋_GB2312"/>
                <w:b/>
                <w:bCs/>
                <w:sz w:val="24"/>
                <w:szCs w:val="24"/>
                <w:highlight w:val="none"/>
              </w:rPr>
            </w:pPr>
            <w:r>
              <w:rPr>
                <w:rFonts w:hint="eastAsia" w:ascii="仿宋_GB2312" w:hAnsi="仿宋_GB2312" w:eastAsia="仿宋_GB2312" w:cs="仿宋_GB2312"/>
                <w:b/>
                <w:bCs/>
                <w:sz w:val="24"/>
                <w:szCs w:val="24"/>
                <w:highlight w:val="none"/>
              </w:rPr>
              <w:t>磋商文件商务要求内容</w:t>
            </w:r>
          </w:p>
        </w:tc>
        <w:tc>
          <w:tcPr>
            <w:tcW w:w="138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pPr>
              <w:spacing w:before="120" w:after="120" w:line="288" w:lineRule="auto"/>
              <w:ind w:left="0"/>
              <w:jc w:val="center"/>
              <w:rPr>
                <w:rFonts w:hint="eastAsia" w:ascii="仿宋_GB2312" w:hAnsi="仿宋_GB2312" w:eastAsia="仿宋_GB2312" w:cs="仿宋_GB2312"/>
                <w:b/>
                <w:bCs/>
                <w:sz w:val="24"/>
                <w:szCs w:val="24"/>
                <w:highlight w:val="none"/>
              </w:rPr>
            </w:pPr>
            <w:r>
              <w:rPr>
                <w:rFonts w:hint="eastAsia" w:ascii="仿宋_GB2312" w:hAnsi="仿宋_GB2312" w:eastAsia="仿宋_GB2312" w:cs="仿宋_GB2312"/>
                <w:b/>
                <w:bCs/>
                <w:sz w:val="24"/>
                <w:szCs w:val="24"/>
                <w:highlight w:val="none"/>
              </w:rPr>
              <w:t>响应文件响应内容</w:t>
            </w:r>
          </w:p>
        </w:tc>
        <w:tc>
          <w:tcPr>
            <w:tcW w:w="138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pPr>
              <w:spacing w:before="120" w:after="120" w:line="288" w:lineRule="auto"/>
              <w:ind w:left="0"/>
              <w:jc w:val="center"/>
              <w:rPr>
                <w:rFonts w:hint="eastAsia" w:ascii="仿宋_GB2312" w:hAnsi="仿宋_GB2312" w:eastAsia="仿宋_GB2312" w:cs="仿宋_GB2312"/>
                <w:b/>
                <w:bCs/>
                <w:sz w:val="24"/>
                <w:szCs w:val="24"/>
                <w:highlight w:val="none"/>
              </w:rPr>
            </w:pPr>
            <w:r>
              <w:rPr>
                <w:rFonts w:hint="eastAsia" w:ascii="仿宋_GB2312" w:hAnsi="仿宋_GB2312" w:eastAsia="仿宋_GB2312" w:cs="仿宋_GB2312"/>
                <w:b/>
                <w:bCs/>
                <w:sz w:val="24"/>
                <w:szCs w:val="24"/>
                <w:highlight w:val="none"/>
              </w:rPr>
              <w:t>偏离情况（无偏离/正偏离/负偏离）</w:t>
            </w:r>
          </w:p>
        </w:tc>
        <w:tc>
          <w:tcPr>
            <w:tcW w:w="138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pPr>
              <w:spacing w:before="120" w:after="120" w:line="288" w:lineRule="auto"/>
              <w:ind w:left="0"/>
              <w:jc w:val="center"/>
              <w:rPr>
                <w:rFonts w:hint="eastAsia" w:ascii="仿宋_GB2312" w:hAnsi="仿宋_GB2312" w:eastAsia="仿宋_GB2312" w:cs="仿宋_GB2312"/>
                <w:b/>
                <w:bCs/>
                <w:sz w:val="24"/>
                <w:szCs w:val="24"/>
                <w:highlight w:val="none"/>
              </w:rPr>
            </w:pPr>
            <w:r>
              <w:rPr>
                <w:rFonts w:hint="eastAsia" w:ascii="仿宋_GB2312" w:hAnsi="仿宋_GB2312" w:eastAsia="仿宋_GB2312" w:cs="仿宋_GB2312"/>
                <w:b/>
                <w:bCs/>
                <w:sz w:val="24"/>
                <w:szCs w:val="24"/>
                <w:highlight w:val="none"/>
              </w:rPr>
              <w:t>备注说明</w:t>
            </w:r>
          </w:p>
        </w:tc>
      </w:tr>
      <w:tr>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c>
          <w:tcPr>
            <w:tcW w:w="83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pPr>
              <w:spacing w:before="120" w:after="120" w:line="288" w:lineRule="auto"/>
              <w:ind w:left="0"/>
              <w:jc w:val="left"/>
              <w:rPr>
                <w:highlight w:val="none"/>
              </w:rPr>
            </w:pPr>
          </w:p>
        </w:tc>
        <w:tc>
          <w:tcPr>
            <w:tcW w:w="192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pPr>
              <w:spacing w:before="120" w:after="120" w:line="288" w:lineRule="auto"/>
              <w:ind w:left="0"/>
              <w:jc w:val="left"/>
              <w:rPr>
                <w:highlight w:val="none"/>
              </w:rPr>
            </w:pPr>
          </w:p>
        </w:tc>
        <w:tc>
          <w:tcPr>
            <w:tcW w:w="138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pPr>
              <w:spacing w:before="120" w:after="120" w:line="288" w:lineRule="auto"/>
              <w:ind w:left="0"/>
              <w:jc w:val="left"/>
              <w:rPr>
                <w:highlight w:val="none"/>
              </w:rPr>
            </w:pPr>
          </w:p>
        </w:tc>
        <w:tc>
          <w:tcPr>
            <w:tcW w:w="138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pPr>
              <w:spacing w:before="120" w:after="120" w:line="288" w:lineRule="auto"/>
              <w:ind w:left="0"/>
              <w:jc w:val="left"/>
              <w:rPr>
                <w:highlight w:val="none"/>
              </w:rPr>
            </w:pPr>
          </w:p>
        </w:tc>
        <w:tc>
          <w:tcPr>
            <w:tcW w:w="138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pPr>
              <w:spacing w:before="120" w:after="120" w:line="288" w:lineRule="auto"/>
              <w:ind w:left="0"/>
              <w:jc w:val="left"/>
              <w:rPr>
                <w:highlight w:val="none"/>
              </w:rPr>
            </w:pPr>
          </w:p>
        </w:tc>
        <w:tc>
          <w:tcPr>
            <w:tcW w:w="138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pPr>
              <w:spacing w:before="120" w:after="120" w:line="288" w:lineRule="auto"/>
              <w:ind w:left="0"/>
              <w:jc w:val="left"/>
              <w:rPr>
                <w:highlight w:val="none"/>
              </w:rPr>
            </w:pPr>
          </w:p>
        </w:tc>
      </w:tr>
      <w:tr>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c>
          <w:tcPr>
            <w:tcW w:w="83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pPr>
              <w:spacing w:before="120" w:after="120" w:line="288" w:lineRule="auto"/>
              <w:ind w:left="0"/>
              <w:jc w:val="left"/>
              <w:rPr>
                <w:highlight w:val="none"/>
              </w:rPr>
            </w:pPr>
          </w:p>
        </w:tc>
        <w:tc>
          <w:tcPr>
            <w:tcW w:w="192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pPr>
              <w:spacing w:before="120" w:after="120" w:line="288" w:lineRule="auto"/>
              <w:ind w:left="0"/>
              <w:jc w:val="left"/>
              <w:rPr>
                <w:highlight w:val="none"/>
              </w:rPr>
            </w:pPr>
          </w:p>
        </w:tc>
        <w:tc>
          <w:tcPr>
            <w:tcW w:w="138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pPr>
              <w:spacing w:before="120" w:after="120" w:line="288" w:lineRule="auto"/>
              <w:ind w:left="0"/>
              <w:jc w:val="left"/>
              <w:rPr>
                <w:highlight w:val="none"/>
              </w:rPr>
            </w:pPr>
          </w:p>
        </w:tc>
        <w:tc>
          <w:tcPr>
            <w:tcW w:w="138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pPr>
              <w:spacing w:before="120" w:after="120" w:line="288" w:lineRule="auto"/>
              <w:ind w:left="0"/>
              <w:jc w:val="left"/>
              <w:rPr>
                <w:highlight w:val="none"/>
              </w:rPr>
            </w:pPr>
          </w:p>
        </w:tc>
        <w:tc>
          <w:tcPr>
            <w:tcW w:w="138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pPr>
              <w:spacing w:before="120" w:after="120" w:line="288" w:lineRule="auto"/>
              <w:ind w:left="0"/>
              <w:jc w:val="left"/>
              <w:rPr>
                <w:highlight w:val="none"/>
              </w:rPr>
            </w:pPr>
          </w:p>
        </w:tc>
        <w:tc>
          <w:tcPr>
            <w:tcW w:w="138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pPr>
              <w:spacing w:before="120" w:after="120" w:line="288" w:lineRule="auto"/>
              <w:ind w:left="0"/>
              <w:jc w:val="left"/>
              <w:rPr>
                <w:highlight w:val="none"/>
              </w:rPr>
            </w:pPr>
          </w:p>
        </w:tc>
      </w:tr>
      <w:tr>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c>
          <w:tcPr>
            <w:tcW w:w="83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pPr>
              <w:spacing w:before="120" w:after="120" w:line="288" w:lineRule="auto"/>
              <w:ind w:left="0"/>
              <w:jc w:val="left"/>
              <w:rPr>
                <w:highlight w:val="none"/>
              </w:rPr>
            </w:pPr>
          </w:p>
        </w:tc>
        <w:tc>
          <w:tcPr>
            <w:tcW w:w="192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pPr>
              <w:spacing w:before="120" w:after="120" w:line="288" w:lineRule="auto"/>
              <w:ind w:left="0"/>
              <w:jc w:val="left"/>
              <w:rPr>
                <w:highlight w:val="none"/>
              </w:rPr>
            </w:pPr>
          </w:p>
        </w:tc>
        <w:tc>
          <w:tcPr>
            <w:tcW w:w="138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pPr>
              <w:spacing w:before="120" w:after="120" w:line="288" w:lineRule="auto"/>
              <w:ind w:left="0"/>
              <w:jc w:val="left"/>
              <w:rPr>
                <w:highlight w:val="none"/>
              </w:rPr>
            </w:pPr>
          </w:p>
        </w:tc>
        <w:tc>
          <w:tcPr>
            <w:tcW w:w="138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pPr>
              <w:spacing w:before="120" w:after="120" w:line="288" w:lineRule="auto"/>
              <w:ind w:left="0"/>
              <w:jc w:val="left"/>
              <w:rPr>
                <w:highlight w:val="none"/>
              </w:rPr>
            </w:pPr>
          </w:p>
        </w:tc>
        <w:tc>
          <w:tcPr>
            <w:tcW w:w="138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pPr>
              <w:spacing w:before="120" w:after="120" w:line="288" w:lineRule="auto"/>
              <w:ind w:left="0"/>
              <w:jc w:val="left"/>
              <w:rPr>
                <w:highlight w:val="none"/>
              </w:rPr>
            </w:pPr>
          </w:p>
        </w:tc>
        <w:tc>
          <w:tcPr>
            <w:tcW w:w="138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pPr>
              <w:spacing w:before="120" w:after="120" w:line="288" w:lineRule="auto"/>
              <w:ind w:left="0"/>
              <w:jc w:val="left"/>
              <w:rPr>
                <w:highlight w:val="none"/>
              </w:rPr>
            </w:pPr>
          </w:p>
        </w:tc>
      </w:tr>
      <w:tr>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c>
          <w:tcPr>
            <w:tcW w:w="83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pPr>
              <w:spacing w:before="120" w:after="120" w:line="288" w:lineRule="auto"/>
              <w:ind w:left="0"/>
              <w:jc w:val="left"/>
              <w:rPr>
                <w:highlight w:val="none"/>
              </w:rPr>
            </w:pPr>
          </w:p>
        </w:tc>
        <w:tc>
          <w:tcPr>
            <w:tcW w:w="192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pPr>
              <w:spacing w:before="120" w:after="120" w:line="288" w:lineRule="auto"/>
              <w:ind w:left="0"/>
              <w:jc w:val="left"/>
              <w:rPr>
                <w:highlight w:val="none"/>
              </w:rPr>
            </w:pPr>
          </w:p>
        </w:tc>
        <w:tc>
          <w:tcPr>
            <w:tcW w:w="138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pPr>
              <w:spacing w:before="120" w:after="120" w:line="288" w:lineRule="auto"/>
              <w:ind w:left="0"/>
              <w:jc w:val="left"/>
              <w:rPr>
                <w:highlight w:val="none"/>
              </w:rPr>
            </w:pPr>
          </w:p>
        </w:tc>
        <w:tc>
          <w:tcPr>
            <w:tcW w:w="138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pPr>
              <w:spacing w:before="120" w:after="120" w:line="288" w:lineRule="auto"/>
              <w:ind w:left="0"/>
              <w:jc w:val="left"/>
              <w:rPr>
                <w:highlight w:val="none"/>
              </w:rPr>
            </w:pPr>
          </w:p>
        </w:tc>
        <w:tc>
          <w:tcPr>
            <w:tcW w:w="138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pPr>
              <w:spacing w:before="120" w:after="120" w:line="288" w:lineRule="auto"/>
              <w:ind w:left="0"/>
              <w:jc w:val="left"/>
              <w:rPr>
                <w:highlight w:val="none"/>
              </w:rPr>
            </w:pPr>
          </w:p>
        </w:tc>
        <w:tc>
          <w:tcPr>
            <w:tcW w:w="138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pPr>
              <w:spacing w:before="120" w:after="120" w:line="288" w:lineRule="auto"/>
              <w:ind w:left="0"/>
              <w:jc w:val="left"/>
              <w:rPr>
                <w:highlight w:val="none"/>
              </w:rPr>
            </w:pPr>
          </w:p>
        </w:tc>
      </w:tr>
      <w:tr>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c>
          <w:tcPr>
            <w:tcW w:w="83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pPr>
              <w:spacing w:before="120" w:after="120" w:line="288" w:lineRule="auto"/>
              <w:ind w:left="0"/>
              <w:jc w:val="left"/>
              <w:rPr>
                <w:highlight w:val="none"/>
              </w:rPr>
            </w:pPr>
          </w:p>
        </w:tc>
        <w:tc>
          <w:tcPr>
            <w:tcW w:w="192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pPr>
              <w:spacing w:before="120" w:after="120" w:line="288" w:lineRule="auto"/>
              <w:ind w:left="0"/>
              <w:jc w:val="left"/>
              <w:rPr>
                <w:highlight w:val="none"/>
              </w:rPr>
            </w:pPr>
          </w:p>
        </w:tc>
        <w:tc>
          <w:tcPr>
            <w:tcW w:w="138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pPr>
              <w:spacing w:before="120" w:after="120" w:line="288" w:lineRule="auto"/>
              <w:ind w:left="0"/>
              <w:jc w:val="left"/>
              <w:rPr>
                <w:highlight w:val="none"/>
              </w:rPr>
            </w:pPr>
          </w:p>
        </w:tc>
        <w:tc>
          <w:tcPr>
            <w:tcW w:w="138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pPr>
              <w:spacing w:before="120" w:after="120" w:line="288" w:lineRule="auto"/>
              <w:ind w:left="0"/>
              <w:jc w:val="left"/>
              <w:rPr>
                <w:highlight w:val="none"/>
              </w:rPr>
            </w:pPr>
          </w:p>
        </w:tc>
        <w:tc>
          <w:tcPr>
            <w:tcW w:w="138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pPr>
              <w:spacing w:before="120" w:after="120" w:line="288" w:lineRule="auto"/>
              <w:ind w:left="0"/>
              <w:jc w:val="left"/>
              <w:rPr>
                <w:highlight w:val="none"/>
              </w:rPr>
            </w:pPr>
          </w:p>
        </w:tc>
        <w:tc>
          <w:tcPr>
            <w:tcW w:w="138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pPr>
              <w:spacing w:before="120" w:after="120" w:line="288" w:lineRule="auto"/>
              <w:ind w:left="0"/>
              <w:jc w:val="left"/>
              <w:rPr>
                <w:highlight w:val="none"/>
              </w:rPr>
            </w:pPr>
          </w:p>
        </w:tc>
      </w:tr>
      <w:tr>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c>
          <w:tcPr>
            <w:tcW w:w="83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pPr>
              <w:spacing w:before="120" w:after="120" w:line="288" w:lineRule="auto"/>
              <w:ind w:left="0"/>
              <w:jc w:val="left"/>
              <w:rPr>
                <w:highlight w:val="none"/>
              </w:rPr>
            </w:pPr>
          </w:p>
        </w:tc>
        <w:tc>
          <w:tcPr>
            <w:tcW w:w="192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pPr>
              <w:spacing w:before="120" w:after="120" w:line="288" w:lineRule="auto"/>
              <w:ind w:left="0"/>
              <w:jc w:val="left"/>
              <w:rPr>
                <w:highlight w:val="none"/>
              </w:rPr>
            </w:pPr>
          </w:p>
        </w:tc>
        <w:tc>
          <w:tcPr>
            <w:tcW w:w="138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pPr>
              <w:spacing w:before="120" w:after="120" w:line="288" w:lineRule="auto"/>
              <w:ind w:left="0"/>
              <w:jc w:val="left"/>
              <w:rPr>
                <w:highlight w:val="none"/>
              </w:rPr>
            </w:pPr>
          </w:p>
        </w:tc>
        <w:tc>
          <w:tcPr>
            <w:tcW w:w="138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pPr>
              <w:spacing w:before="120" w:after="120" w:line="288" w:lineRule="auto"/>
              <w:ind w:left="0"/>
              <w:jc w:val="left"/>
              <w:rPr>
                <w:highlight w:val="none"/>
              </w:rPr>
            </w:pPr>
          </w:p>
        </w:tc>
        <w:tc>
          <w:tcPr>
            <w:tcW w:w="138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pPr>
              <w:spacing w:before="120" w:after="120" w:line="288" w:lineRule="auto"/>
              <w:ind w:left="0"/>
              <w:jc w:val="left"/>
              <w:rPr>
                <w:highlight w:val="none"/>
              </w:rPr>
            </w:pPr>
          </w:p>
        </w:tc>
        <w:tc>
          <w:tcPr>
            <w:tcW w:w="138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pPr>
              <w:spacing w:before="120" w:after="120" w:line="288" w:lineRule="auto"/>
              <w:ind w:left="0"/>
              <w:jc w:val="left"/>
              <w:rPr>
                <w:highlight w:val="none"/>
              </w:rPr>
            </w:pPr>
          </w:p>
        </w:tc>
      </w:tr>
    </w:tbl>
    <w:p>
      <w:pPr>
        <w:spacing w:before="120" w:after="120" w:line="288" w:lineRule="auto"/>
        <w:ind w:left="0"/>
        <w:jc w:val="left"/>
        <w:rPr>
          <w:rFonts w:hint="eastAsia" w:ascii="仿宋_GB2312" w:hAnsi="仿宋_GB2312" w:eastAsia="仿宋_GB2312" w:cs="仿宋_GB2312"/>
          <w:sz w:val="22"/>
          <w:highlight w:val="none"/>
        </w:rPr>
      </w:pPr>
    </w:p>
    <w:p>
      <w:pPr>
        <w:spacing w:before="120" w:after="120" w:line="288" w:lineRule="auto"/>
        <w:ind w:left="0"/>
        <w:jc w:val="left"/>
        <w:rPr>
          <w:rFonts w:hint="default" w:ascii="仿宋_GB2312" w:hAnsi="仿宋_GB2312" w:eastAsia="仿宋_GB2312" w:cs="仿宋_GB2312"/>
          <w:sz w:val="22"/>
          <w:highlight w:val="none"/>
          <w:lang w:val="en-US" w:eastAsia="zh-CN"/>
        </w:rPr>
      </w:pPr>
      <w:r>
        <w:rPr>
          <w:rFonts w:hint="eastAsia" w:ascii="仿宋_GB2312" w:hAnsi="仿宋_GB2312" w:eastAsia="仿宋_GB2312" w:cs="仿宋_GB2312"/>
          <w:sz w:val="22"/>
          <w:highlight w:val="none"/>
        </w:rPr>
        <w:t>填表说明：</w:t>
      </w:r>
      <w:r>
        <w:rPr>
          <w:rFonts w:hint="eastAsia" w:ascii="仿宋_GB2312" w:hAnsi="仿宋_GB2312" w:eastAsia="仿宋_GB2312" w:cs="仿宋_GB2312"/>
          <w:sz w:val="22"/>
          <w:szCs w:val="22"/>
          <w:highlight w:val="none"/>
          <w:lang w:val="en-US" w:eastAsia="zh-CN"/>
        </w:rPr>
        <w:t>如果完全响应可提交空白表。</w:t>
      </w:r>
      <w:r>
        <w:rPr>
          <w:rFonts w:hint="eastAsia" w:ascii="仿宋_GB2312" w:hAnsi="仿宋_GB2312" w:eastAsia="仿宋_GB2312" w:cs="仿宋_GB2312"/>
          <w:sz w:val="22"/>
          <w:highlight w:val="none"/>
          <w:lang w:val="en-US" w:eastAsia="zh-CN"/>
        </w:rPr>
        <w:t>如存在偏离项，可仅就偏离项内容分别列出即可</w:t>
      </w:r>
      <w:bookmarkStart w:id="15" w:name="heading_1"/>
      <w:r>
        <w:rPr>
          <w:rFonts w:hint="eastAsia" w:ascii="仿宋_GB2312" w:hAnsi="仿宋_GB2312" w:eastAsia="仿宋_GB2312" w:cs="仿宋_GB2312"/>
          <w:sz w:val="22"/>
          <w:szCs w:val="22"/>
          <w:highlight w:val="none"/>
          <w:lang w:val="en-US" w:eastAsia="zh-CN"/>
        </w:rPr>
        <w:t>。</w:t>
      </w:r>
    </w:p>
    <w:p>
      <w:pPr>
        <w:pStyle w:val="4"/>
        <w:rPr>
          <w:rFonts w:hint="eastAsia" w:cs="Times New Roman" w:asciiTheme="minorEastAsia" w:hAnsiTheme="minorEastAsia" w:eastAsiaTheme="minorEastAsia"/>
          <w:kern w:val="0"/>
          <w:highlight w:val="none"/>
        </w:rPr>
      </w:pPr>
    </w:p>
    <w:p>
      <w:pPr>
        <w:pStyle w:val="4"/>
        <w:rPr>
          <w:rFonts w:hint="eastAsia" w:cs="Times New Roman" w:asciiTheme="minorEastAsia" w:hAnsiTheme="minorEastAsia" w:eastAsiaTheme="minorEastAsia"/>
          <w:kern w:val="0"/>
          <w:highlight w:val="none"/>
        </w:rPr>
      </w:pPr>
    </w:p>
    <w:p>
      <w:pPr>
        <w:pStyle w:val="4"/>
        <w:rPr>
          <w:rFonts w:hint="eastAsia" w:cs="Times New Roman" w:asciiTheme="minorEastAsia" w:hAnsiTheme="minorEastAsia" w:eastAsiaTheme="minorEastAsia"/>
          <w:kern w:val="0"/>
          <w:highlight w:val="none"/>
        </w:rPr>
      </w:pPr>
    </w:p>
    <w:p>
      <w:pPr>
        <w:pStyle w:val="4"/>
        <w:rPr>
          <w:rFonts w:hint="eastAsia" w:cs="Times New Roman" w:asciiTheme="minorEastAsia" w:hAnsiTheme="minorEastAsia" w:eastAsiaTheme="minorEastAsia"/>
          <w:kern w:val="0"/>
          <w:highlight w:val="none"/>
        </w:rPr>
      </w:pPr>
    </w:p>
    <w:p>
      <w:pPr>
        <w:spacing w:before="120" w:after="120" w:line="288" w:lineRule="auto"/>
        <w:ind w:left="0"/>
        <w:jc w:val="left"/>
        <w:rPr>
          <w:rFonts w:hint="eastAsia" w:ascii="仿宋_GB2312" w:hAnsi="仿宋_GB2312" w:eastAsia="仿宋_GB2312" w:cs="仿宋_GB2312"/>
          <w:sz w:val="22"/>
          <w:highlight w:val="none"/>
          <w:lang w:val="en-US" w:eastAsia="zh-CN"/>
        </w:rPr>
      </w:pPr>
      <w:r>
        <w:rPr>
          <w:rFonts w:hint="eastAsia" w:ascii="仿宋_GB2312" w:hAnsi="仿宋_GB2312" w:eastAsia="仿宋_GB2312" w:cs="仿宋_GB2312"/>
          <w:sz w:val="22"/>
          <w:highlight w:val="none"/>
          <w:lang w:val="en-US" w:eastAsia="zh-CN"/>
        </w:rPr>
        <w:t xml:space="preserve">响应供应商（公章）：                     法定代表人或被授权人（签字或盖章）：                                                        </w:t>
      </w:r>
    </w:p>
    <w:p>
      <w:pPr>
        <w:spacing w:before="120" w:after="120" w:line="288" w:lineRule="auto"/>
        <w:ind w:left="0"/>
        <w:jc w:val="left"/>
        <w:rPr>
          <w:rFonts w:hint="eastAsia" w:ascii="仿宋_GB2312" w:hAnsi="仿宋_GB2312" w:eastAsia="仿宋_GB2312" w:cs="仿宋_GB2312"/>
          <w:sz w:val="22"/>
          <w:highlight w:val="none"/>
          <w:lang w:val="en-US" w:eastAsia="zh-CN"/>
        </w:rPr>
      </w:pPr>
      <w:r>
        <w:rPr>
          <w:rFonts w:hint="eastAsia" w:ascii="仿宋_GB2312" w:hAnsi="仿宋_GB2312" w:eastAsia="仿宋_GB2312" w:cs="仿宋_GB2312"/>
          <w:sz w:val="22"/>
          <w:highlight w:val="none"/>
          <w:lang w:val="en-US" w:eastAsia="zh-CN"/>
        </w:rPr>
        <w:t xml:space="preserve">                                                              </w:t>
      </w:r>
    </w:p>
    <w:p>
      <w:pPr>
        <w:spacing w:before="120" w:after="120" w:line="288" w:lineRule="auto"/>
        <w:ind w:left="0"/>
        <w:jc w:val="left"/>
        <w:rPr>
          <w:rFonts w:hint="eastAsia" w:ascii="仿宋_GB2312" w:hAnsi="仿宋_GB2312" w:eastAsia="仿宋_GB2312" w:cs="仿宋_GB2312"/>
          <w:sz w:val="22"/>
          <w:highlight w:val="none"/>
          <w:lang w:val="en-US" w:eastAsia="zh-CN"/>
        </w:rPr>
      </w:pPr>
    </w:p>
    <w:p>
      <w:pPr>
        <w:spacing w:before="120" w:after="120" w:line="288" w:lineRule="auto"/>
        <w:ind w:left="0"/>
        <w:jc w:val="left"/>
        <w:rPr>
          <w:rFonts w:hint="eastAsia" w:ascii="仿宋_GB2312" w:hAnsi="仿宋_GB2312" w:eastAsia="仿宋_GB2312" w:cs="仿宋_GB2312"/>
          <w:sz w:val="22"/>
          <w:highlight w:val="none"/>
          <w:lang w:val="en-US" w:eastAsia="zh-CN"/>
        </w:rPr>
      </w:pPr>
      <w:r>
        <w:rPr>
          <w:rFonts w:hint="eastAsia" w:ascii="仿宋_GB2312" w:hAnsi="仿宋_GB2312" w:eastAsia="仿宋_GB2312" w:cs="仿宋_GB2312"/>
          <w:sz w:val="22"/>
          <w:highlight w:val="none"/>
          <w:lang w:val="en-US" w:eastAsia="zh-CN"/>
        </w:rPr>
        <w:t xml:space="preserve">                                                    年   月   日</w:t>
      </w:r>
    </w:p>
    <w:p>
      <w:pPr>
        <w:spacing w:before="320" w:after="120" w:line="288" w:lineRule="auto"/>
        <w:ind w:left="0"/>
        <w:jc w:val="left"/>
        <w:outlineLvl w:val="1"/>
        <w:rPr>
          <w:rFonts w:ascii="Arial" w:hAnsi="Arial" w:eastAsia="等线" w:cs="Arial"/>
          <w:b/>
          <w:sz w:val="32"/>
          <w:highlight w:val="none"/>
        </w:rPr>
      </w:pPr>
    </w:p>
    <w:p>
      <w:pPr>
        <w:spacing w:before="320" w:after="120" w:line="288" w:lineRule="auto"/>
        <w:ind w:left="0"/>
        <w:jc w:val="both"/>
        <w:outlineLvl w:val="1"/>
        <w:rPr>
          <w:rFonts w:ascii="Arial" w:hAnsi="Arial" w:eastAsia="等线" w:cs="Arial"/>
          <w:b/>
          <w:sz w:val="32"/>
          <w:highlight w:val="none"/>
        </w:rPr>
      </w:pPr>
    </w:p>
    <w:p>
      <w:pPr>
        <w:spacing w:before="320" w:after="120" w:line="288" w:lineRule="auto"/>
        <w:ind w:left="0"/>
        <w:jc w:val="center"/>
        <w:outlineLvl w:val="1"/>
        <w:rPr>
          <w:highlight w:val="none"/>
        </w:rPr>
      </w:pPr>
      <w:r>
        <w:rPr>
          <w:rFonts w:ascii="Arial" w:hAnsi="Arial" w:eastAsia="等线" w:cs="Arial"/>
          <w:b/>
          <w:sz w:val="32"/>
          <w:highlight w:val="none"/>
        </w:rPr>
        <w:t>技术服务</w:t>
      </w:r>
      <w:r>
        <w:rPr>
          <w:rFonts w:hint="eastAsia" w:ascii="Arial" w:hAnsi="Arial" w:eastAsia="等线" w:cs="Arial"/>
          <w:b/>
          <w:sz w:val="32"/>
          <w:highlight w:val="none"/>
          <w:lang w:val="en-US" w:eastAsia="zh-CN"/>
        </w:rPr>
        <w:t>响应</w:t>
      </w:r>
      <w:r>
        <w:rPr>
          <w:rFonts w:ascii="Arial" w:hAnsi="Arial" w:eastAsia="等线" w:cs="Arial"/>
          <w:b/>
          <w:sz w:val="32"/>
          <w:highlight w:val="none"/>
        </w:rPr>
        <w:t>偏离表</w:t>
      </w:r>
      <w:bookmarkEnd w:id="15"/>
    </w:p>
    <w:tbl>
      <w:tblPr>
        <w:tblStyle w:val="9"/>
        <w:tblW w:w="0" w:type="auto"/>
        <w:tblInd w:w="0" w:type="dxa"/>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Layout w:type="fixed"/>
        <w:tblCellMar>
          <w:top w:w="0" w:type="dxa"/>
          <w:left w:w="10" w:type="dxa"/>
          <w:bottom w:w="0" w:type="dxa"/>
          <w:right w:w="10" w:type="dxa"/>
        </w:tblCellMar>
      </w:tblPr>
      <w:tblGrid>
        <w:gridCol w:w="1380"/>
        <w:gridCol w:w="1380"/>
        <w:gridCol w:w="1380"/>
        <w:gridCol w:w="1380"/>
        <w:gridCol w:w="1380"/>
        <w:gridCol w:w="1380"/>
      </w:tblGrid>
      <w:tr>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c>
          <w:tcPr>
            <w:tcW w:w="138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pPr>
              <w:spacing w:before="120" w:after="120" w:line="288" w:lineRule="auto"/>
              <w:ind w:left="0"/>
              <w:jc w:val="center"/>
              <w:rPr>
                <w:rFonts w:hint="eastAsia" w:ascii="仿宋_GB2312" w:hAnsi="仿宋_GB2312" w:eastAsia="仿宋_GB2312" w:cs="仿宋_GB2312"/>
                <w:b/>
                <w:bCs/>
                <w:sz w:val="24"/>
                <w:szCs w:val="24"/>
                <w:highlight w:val="none"/>
              </w:rPr>
            </w:pPr>
            <w:r>
              <w:rPr>
                <w:rFonts w:hint="eastAsia" w:ascii="仿宋_GB2312" w:hAnsi="仿宋_GB2312" w:eastAsia="仿宋_GB2312" w:cs="仿宋_GB2312"/>
                <w:b/>
                <w:bCs/>
                <w:sz w:val="24"/>
                <w:szCs w:val="24"/>
                <w:highlight w:val="none"/>
              </w:rPr>
              <w:t>序号</w:t>
            </w:r>
          </w:p>
        </w:tc>
        <w:tc>
          <w:tcPr>
            <w:tcW w:w="138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pPr>
              <w:spacing w:before="120" w:after="120" w:line="288" w:lineRule="auto"/>
              <w:ind w:left="0"/>
              <w:jc w:val="center"/>
              <w:rPr>
                <w:rFonts w:hint="eastAsia" w:ascii="仿宋_GB2312" w:hAnsi="仿宋_GB2312" w:eastAsia="仿宋_GB2312" w:cs="仿宋_GB2312"/>
                <w:b/>
                <w:bCs/>
                <w:sz w:val="24"/>
                <w:szCs w:val="24"/>
                <w:highlight w:val="none"/>
              </w:rPr>
            </w:pPr>
            <w:r>
              <w:rPr>
                <w:rFonts w:hint="eastAsia" w:ascii="仿宋_GB2312" w:hAnsi="仿宋_GB2312" w:eastAsia="仿宋_GB2312" w:cs="仿宋_GB2312"/>
                <w:b/>
                <w:bCs/>
                <w:sz w:val="24"/>
                <w:szCs w:val="24"/>
                <w:highlight w:val="none"/>
              </w:rPr>
              <w:t>服务模块/技术条款名称</w:t>
            </w:r>
          </w:p>
        </w:tc>
        <w:tc>
          <w:tcPr>
            <w:tcW w:w="138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pPr>
              <w:spacing w:before="120" w:after="120" w:line="288" w:lineRule="auto"/>
              <w:ind w:left="0"/>
              <w:jc w:val="center"/>
              <w:rPr>
                <w:rFonts w:hint="eastAsia" w:ascii="仿宋_GB2312" w:hAnsi="仿宋_GB2312" w:eastAsia="仿宋_GB2312" w:cs="仿宋_GB2312"/>
                <w:b/>
                <w:bCs/>
                <w:sz w:val="24"/>
                <w:szCs w:val="24"/>
                <w:highlight w:val="none"/>
              </w:rPr>
            </w:pPr>
            <w:r>
              <w:rPr>
                <w:rFonts w:hint="eastAsia" w:ascii="仿宋_GB2312" w:hAnsi="仿宋_GB2312" w:eastAsia="仿宋_GB2312" w:cs="仿宋_GB2312"/>
                <w:b/>
                <w:bCs/>
                <w:sz w:val="24"/>
                <w:szCs w:val="24"/>
                <w:highlight w:val="none"/>
              </w:rPr>
              <w:t>磋商文件技术服务要求</w:t>
            </w:r>
          </w:p>
        </w:tc>
        <w:tc>
          <w:tcPr>
            <w:tcW w:w="138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pPr>
              <w:spacing w:before="120" w:after="120" w:line="288" w:lineRule="auto"/>
              <w:ind w:left="0"/>
              <w:jc w:val="center"/>
              <w:rPr>
                <w:rFonts w:hint="eastAsia" w:ascii="仿宋_GB2312" w:hAnsi="仿宋_GB2312" w:eastAsia="仿宋_GB2312" w:cs="仿宋_GB2312"/>
                <w:b/>
                <w:bCs/>
                <w:sz w:val="24"/>
                <w:szCs w:val="24"/>
                <w:highlight w:val="none"/>
              </w:rPr>
            </w:pPr>
            <w:r>
              <w:rPr>
                <w:rFonts w:hint="eastAsia" w:ascii="仿宋_GB2312" w:hAnsi="仿宋_GB2312" w:eastAsia="仿宋_GB2312" w:cs="仿宋_GB2312"/>
                <w:b/>
                <w:bCs/>
                <w:sz w:val="24"/>
                <w:szCs w:val="24"/>
                <w:highlight w:val="none"/>
              </w:rPr>
              <w:t>响应文件技术响应内容</w:t>
            </w:r>
          </w:p>
        </w:tc>
        <w:tc>
          <w:tcPr>
            <w:tcW w:w="138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pPr>
              <w:spacing w:before="120" w:after="120" w:line="288" w:lineRule="auto"/>
              <w:ind w:left="0"/>
              <w:jc w:val="center"/>
              <w:rPr>
                <w:rFonts w:hint="eastAsia" w:ascii="仿宋_GB2312" w:hAnsi="仿宋_GB2312" w:eastAsia="仿宋_GB2312" w:cs="仿宋_GB2312"/>
                <w:b/>
                <w:bCs/>
                <w:sz w:val="24"/>
                <w:szCs w:val="24"/>
                <w:highlight w:val="none"/>
              </w:rPr>
            </w:pPr>
            <w:r>
              <w:rPr>
                <w:rFonts w:hint="eastAsia" w:ascii="仿宋_GB2312" w:hAnsi="仿宋_GB2312" w:eastAsia="仿宋_GB2312" w:cs="仿宋_GB2312"/>
                <w:b/>
                <w:bCs/>
                <w:sz w:val="24"/>
                <w:szCs w:val="24"/>
                <w:highlight w:val="none"/>
              </w:rPr>
              <w:t>偏离情况（无偏离/正偏离/负偏离）</w:t>
            </w:r>
          </w:p>
        </w:tc>
        <w:tc>
          <w:tcPr>
            <w:tcW w:w="138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pPr>
              <w:spacing w:before="120" w:after="120" w:line="288" w:lineRule="auto"/>
              <w:ind w:left="0"/>
              <w:jc w:val="center"/>
              <w:rPr>
                <w:rFonts w:hint="eastAsia" w:ascii="仿宋_GB2312" w:hAnsi="仿宋_GB2312" w:eastAsia="仿宋_GB2312" w:cs="仿宋_GB2312"/>
                <w:b/>
                <w:bCs/>
                <w:sz w:val="24"/>
                <w:szCs w:val="24"/>
                <w:highlight w:val="none"/>
              </w:rPr>
            </w:pPr>
            <w:r>
              <w:rPr>
                <w:rFonts w:hint="eastAsia" w:ascii="仿宋_GB2312" w:hAnsi="仿宋_GB2312" w:eastAsia="仿宋_GB2312" w:cs="仿宋_GB2312"/>
                <w:b/>
                <w:bCs/>
                <w:sz w:val="24"/>
                <w:szCs w:val="24"/>
                <w:highlight w:val="none"/>
              </w:rPr>
              <w:t>详细响应及备注</w:t>
            </w:r>
          </w:p>
        </w:tc>
      </w:tr>
      <w:tr>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c>
          <w:tcPr>
            <w:tcW w:w="138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pPr>
              <w:spacing w:before="120" w:after="120" w:line="288" w:lineRule="auto"/>
              <w:ind w:left="0"/>
              <w:jc w:val="left"/>
              <w:rPr>
                <w:rFonts w:hint="eastAsia" w:ascii="仿宋_GB2312" w:hAnsi="仿宋_GB2312" w:eastAsia="仿宋_GB2312" w:cs="仿宋_GB2312"/>
                <w:sz w:val="24"/>
                <w:szCs w:val="24"/>
                <w:highlight w:val="none"/>
              </w:rPr>
            </w:pPr>
          </w:p>
        </w:tc>
        <w:tc>
          <w:tcPr>
            <w:tcW w:w="138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pPr>
              <w:spacing w:before="120" w:after="120" w:line="288" w:lineRule="auto"/>
              <w:ind w:left="0"/>
              <w:jc w:val="left"/>
              <w:rPr>
                <w:rFonts w:hint="eastAsia" w:ascii="仿宋_GB2312" w:hAnsi="仿宋_GB2312" w:eastAsia="仿宋_GB2312" w:cs="仿宋_GB2312"/>
                <w:sz w:val="24"/>
                <w:szCs w:val="24"/>
                <w:highlight w:val="none"/>
              </w:rPr>
            </w:pPr>
          </w:p>
        </w:tc>
        <w:tc>
          <w:tcPr>
            <w:tcW w:w="138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pPr>
              <w:spacing w:before="120" w:after="120" w:line="288" w:lineRule="auto"/>
              <w:ind w:left="0"/>
              <w:jc w:val="left"/>
              <w:rPr>
                <w:rFonts w:hint="eastAsia" w:ascii="仿宋_GB2312" w:hAnsi="仿宋_GB2312" w:eastAsia="仿宋_GB2312" w:cs="仿宋_GB2312"/>
                <w:sz w:val="24"/>
                <w:szCs w:val="24"/>
                <w:highlight w:val="none"/>
              </w:rPr>
            </w:pPr>
          </w:p>
        </w:tc>
        <w:tc>
          <w:tcPr>
            <w:tcW w:w="138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pPr>
              <w:spacing w:before="120" w:after="120" w:line="288" w:lineRule="auto"/>
              <w:ind w:left="0"/>
              <w:jc w:val="left"/>
              <w:rPr>
                <w:rFonts w:hint="eastAsia" w:ascii="仿宋_GB2312" w:hAnsi="仿宋_GB2312" w:eastAsia="仿宋_GB2312" w:cs="仿宋_GB2312"/>
                <w:sz w:val="24"/>
                <w:szCs w:val="24"/>
                <w:highlight w:val="none"/>
              </w:rPr>
            </w:pPr>
          </w:p>
        </w:tc>
        <w:tc>
          <w:tcPr>
            <w:tcW w:w="138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pPr>
              <w:spacing w:before="120" w:after="120" w:line="288" w:lineRule="auto"/>
              <w:ind w:left="0"/>
              <w:jc w:val="left"/>
              <w:rPr>
                <w:rFonts w:hint="eastAsia" w:ascii="仿宋_GB2312" w:hAnsi="仿宋_GB2312" w:eastAsia="仿宋_GB2312" w:cs="仿宋_GB2312"/>
                <w:sz w:val="24"/>
                <w:szCs w:val="24"/>
                <w:highlight w:val="none"/>
              </w:rPr>
            </w:pPr>
          </w:p>
        </w:tc>
        <w:tc>
          <w:tcPr>
            <w:tcW w:w="138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pPr>
              <w:spacing w:before="120" w:after="120" w:line="288" w:lineRule="auto"/>
              <w:ind w:left="0"/>
              <w:jc w:val="left"/>
              <w:rPr>
                <w:rFonts w:hint="eastAsia" w:ascii="仿宋_GB2312" w:hAnsi="仿宋_GB2312" w:eastAsia="仿宋_GB2312" w:cs="仿宋_GB2312"/>
                <w:sz w:val="24"/>
                <w:szCs w:val="24"/>
                <w:highlight w:val="none"/>
              </w:rPr>
            </w:pPr>
          </w:p>
        </w:tc>
      </w:tr>
      <w:tr>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c>
          <w:tcPr>
            <w:tcW w:w="138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pPr>
              <w:spacing w:before="120" w:after="120" w:line="288" w:lineRule="auto"/>
              <w:ind w:left="0"/>
              <w:jc w:val="left"/>
              <w:rPr>
                <w:rFonts w:hint="eastAsia" w:ascii="仿宋_GB2312" w:hAnsi="仿宋_GB2312" w:eastAsia="仿宋_GB2312" w:cs="仿宋_GB2312"/>
                <w:sz w:val="24"/>
                <w:szCs w:val="24"/>
                <w:highlight w:val="none"/>
              </w:rPr>
            </w:pPr>
          </w:p>
        </w:tc>
        <w:tc>
          <w:tcPr>
            <w:tcW w:w="138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pPr>
              <w:spacing w:before="120" w:after="120" w:line="288" w:lineRule="auto"/>
              <w:ind w:left="0"/>
              <w:jc w:val="left"/>
              <w:rPr>
                <w:rFonts w:hint="eastAsia" w:ascii="仿宋_GB2312" w:hAnsi="仿宋_GB2312" w:eastAsia="仿宋_GB2312" w:cs="仿宋_GB2312"/>
                <w:sz w:val="24"/>
                <w:szCs w:val="24"/>
                <w:highlight w:val="none"/>
              </w:rPr>
            </w:pPr>
          </w:p>
        </w:tc>
        <w:tc>
          <w:tcPr>
            <w:tcW w:w="138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pPr>
              <w:spacing w:before="120" w:after="120" w:line="288" w:lineRule="auto"/>
              <w:ind w:left="0"/>
              <w:jc w:val="left"/>
              <w:rPr>
                <w:rFonts w:hint="eastAsia" w:ascii="仿宋_GB2312" w:hAnsi="仿宋_GB2312" w:eastAsia="仿宋_GB2312" w:cs="仿宋_GB2312"/>
                <w:sz w:val="24"/>
                <w:szCs w:val="24"/>
                <w:highlight w:val="none"/>
              </w:rPr>
            </w:pPr>
          </w:p>
        </w:tc>
        <w:tc>
          <w:tcPr>
            <w:tcW w:w="138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pPr>
              <w:spacing w:before="120" w:after="120" w:line="288" w:lineRule="auto"/>
              <w:ind w:left="0"/>
              <w:jc w:val="left"/>
              <w:rPr>
                <w:rFonts w:hint="eastAsia" w:ascii="仿宋_GB2312" w:hAnsi="仿宋_GB2312" w:eastAsia="仿宋_GB2312" w:cs="仿宋_GB2312"/>
                <w:sz w:val="24"/>
                <w:szCs w:val="24"/>
                <w:highlight w:val="none"/>
              </w:rPr>
            </w:pPr>
          </w:p>
        </w:tc>
        <w:tc>
          <w:tcPr>
            <w:tcW w:w="138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pPr>
              <w:spacing w:before="120" w:after="120" w:line="288" w:lineRule="auto"/>
              <w:ind w:left="0"/>
              <w:jc w:val="left"/>
              <w:rPr>
                <w:rFonts w:hint="eastAsia" w:ascii="仿宋_GB2312" w:hAnsi="仿宋_GB2312" w:eastAsia="仿宋_GB2312" w:cs="仿宋_GB2312"/>
                <w:sz w:val="24"/>
                <w:szCs w:val="24"/>
                <w:highlight w:val="none"/>
              </w:rPr>
            </w:pPr>
          </w:p>
        </w:tc>
        <w:tc>
          <w:tcPr>
            <w:tcW w:w="138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pPr>
              <w:spacing w:before="120" w:after="120" w:line="288" w:lineRule="auto"/>
              <w:ind w:left="0"/>
              <w:jc w:val="left"/>
              <w:rPr>
                <w:rFonts w:hint="eastAsia" w:ascii="仿宋_GB2312" w:hAnsi="仿宋_GB2312" w:eastAsia="仿宋_GB2312" w:cs="仿宋_GB2312"/>
                <w:sz w:val="24"/>
                <w:szCs w:val="24"/>
                <w:highlight w:val="none"/>
              </w:rPr>
            </w:pPr>
          </w:p>
        </w:tc>
      </w:tr>
      <w:tr>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c>
          <w:tcPr>
            <w:tcW w:w="138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pPr>
              <w:spacing w:before="120" w:after="120" w:line="288" w:lineRule="auto"/>
              <w:ind w:left="0"/>
              <w:jc w:val="left"/>
              <w:rPr>
                <w:rFonts w:hint="eastAsia" w:ascii="仿宋_GB2312" w:hAnsi="仿宋_GB2312" w:eastAsia="仿宋_GB2312" w:cs="仿宋_GB2312"/>
                <w:sz w:val="24"/>
                <w:szCs w:val="24"/>
                <w:highlight w:val="none"/>
              </w:rPr>
            </w:pPr>
          </w:p>
        </w:tc>
        <w:tc>
          <w:tcPr>
            <w:tcW w:w="138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pPr>
              <w:spacing w:before="120" w:after="120" w:line="288" w:lineRule="auto"/>
              <w:ind w:left="0"/>
              <w:jc w:val="left"/>
              <w:rPr>
                <w:rFonts w:hint="eastAsia" w:ascii="仿宋_GB2312" w:hAnsi="仿宋_GB2312" w:eastAsia="仿宋_GB2312" w:cs="仿宋_GB2312"/>
                <w:sz w:val="24"/>
                <w:szCs w:val="24"/>
                <w:highlight w:val="none"/>
              </w:rPr>
            </w:pPr>
          </w:p>
        </w:tc>
        <w:tc>
          <w:tcPr>
            <w:tcW w:w="138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pPr>
              <w:spacing w:before="120" w:after="120" w:line="288" w:lineRule="auto"/>
              <w:ind w:left="0"/>
              <w:jc w:val="left"/>
              <w:rPr>
                <w:rFonts w:hint="eastAsia" w:ascii="仿宋_GB2312" w:hAnsi="仿宋_GB2312" w:eastAsia="仿宋_GB2312" w:cs="仿宋_GB2312"/>
                <w:sz w:val="24"/>
                <w:szCs w:val="24"/>
                <w:highlight w:val="none"/>
              </w:rPr>
            </w:pPr>
          </w:p>
        </w:tc>
        <w:tc>
          <w:tcPr>
            <w:tcW w:w="138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pPr>
              <w:spacing w:before="120" w:after="120" w:line="288" w:lineRule="auto"/>
              <w:ind w:left="0"/>
              <w:jc w:val="left"/>
              <w:rPr>
                <w:rFonts w:hint="eastAsia" w:ascii="仿宋_GB2312" w:hAnsi="仿宋_GB2312" w:eastAsia="仿宋_GB2312" w:cs="仿宋_GB2312"/>
                <w:sz w:val="24"/>
                <w:szCs w:val="24"/>
                <w:highlight w:val="none"/>
              </w:rPr>
            </w:pPr>
          </w:p>
        </w:tc>
        <w:tc>
          <w:tcPr>
            <w:tcW w:w="138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pPr>
              <w:spacing w:before="120" w:after="120" w:line="288" w:lineRule="auto"/>
              <w:ind w:left="0"/>
              <w:jc w:val="left"/>
              <w:rPr>
                <w:rFonts w:hint="eastAsia" w:ascii="仿宋_GB2312" w:hAnsi="仿宋_GB2312" w:eastAsia="仿宋_GB2312" w:cs="仿宋_GB2312"/>
                <w:sz w:val="24"/>
                <w:szCs w:val="24"/>
                <w:highlight w:val="none"/>
              </w:rPr>
            </w:pPr>
          </w:p>
        </w:tc>
        <w:tc>
          <w:tcPr>
            <w:tcW w:w="138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pPr>
              <w:spacing w:before="120" w:after="120" w:line="288" w:lineRule="auto"/>
              <w:ind w:left="0"/>
              <w:jc w:val="left"/>
              <w:rPr>
                <w:rFonts w:hint="eastAsia" w:ascii="仿宋_GB2312" w:hAnsi="仿宋_GB2312" w:eastAsia="仿宋_GB2312" w:cs="仿宋_GB2312"/>
                <w:sz w:val="24"/>
                <w:szCs w:val="24"/>
                <w:highlight w:val="none"/>
              </w:rPr>
            </w:pPr>
          </w:p>
        </w:tc>
      </w:tr>
      <w:tr>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c>
          <w:tcPr>
            <w:tcW w:w="138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pPr>
              <w:spacing w:before="120" w:after="120" w:line="288" w:lineRule="auto"/>
              <w:ind w:left="0"/>
              <w:jc w:val="left"/>
              <w:rPr>
                <w:rFonts w:hint="eastAsia" w:ascii="仿宋_GB2312" w:hAnsi="仿宋_GB2312" w:eastAsia="仿宋_GB2312" w:cs="仿宋_GB2312"/>
                <w:sz w:val="24"/>
                <w:szCs w:val="24"/>
                <w:highlight w:val="none"/>
              </w:rPr>
            </w:pPr>
          </w:p>
        </w:tc>
        <w:tc>
          <w:tcPr>
            <w:tcW w:w="138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pPr>
              <w:spacing w:before="120" w:after="120" w:line="288" w:lineRule="auto"/>
              <w:ind w:left="0"/>
              <w:jc w:val="left"/>
              <w:rPr>
                <w:rFonts w:hint="eastAsia" w:ascii="仿宋_GB2312" w:hAnsi="仿宋_GB2312" w:eastAsia="仿宋_GB2312" w:cs="仿宋_GB2312"/>
                <w:sz w:val="24"/>
                <w:szCs w:val="24"/>
                <w:highlight w:val="none"/>
              </w:rPr>
            </w:pPr>
          </w:p>
        </w:tc>
        <w:tc>
          <w:tcPr>
            <w:tcW w:w="138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pPr>
              <w:spacing w:before="120" w:after="120" w:line="288" w:lineRule="auto"/>
              <w:ind w:left="0"/>
              <w:jc w:val="left"/>
              <w:rPr>
                <w:rFonts w:hint="eastAsia" w:ascii="仿宋_GB2312" w:hAnsi="仿宋_GB2312" w:eastAsia="仿宋_GB2312" w:cs="仿宋_GB2312"/>
                <w:sz w:val="24"/>
                <w:szCs w:val="24"/>
                <w:highlight w:val="none"/>
              </w:rPr>
            </w:pPr>
          </w:p>
        </w:tc>
        <w:tc>
          <w:tcPr>
            <w:tcW w:w="138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pPr>
              <w:spacing w:before="120" w:after="120" w:line="288" w:lineRule="auto"/>
              <w:ind w:left="0"/>
              <w:jc w:val="left"/>
              <w:rPr>
                <w:rFonts w:hint="eastAsia" w:ascii="仿宋_GB2312" w:hAnsi="仿宋_GB2312" w:eastAsia="仿宋_GB2312" w:cs="仿宋_GB2312"/>
                <w:sz w:val="24"/>
                <w:szCs w:val="24"/>
                <w:highlight w:val="none"/>
              </w:rPr>
            </w:pPr>
          </w:p>
        </w:tc>
        <w:tc>
          <w:tcPr>
            <w:tcW w:w="138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pPr>
              <w:spacing w:before="120" w:after="120" w:line="288" w:lineRule="auto"/>
              <w:ind w:left="0"/>
              <w:jc w:val="left"/>
              <w:rPr>
                <w:rFonts w:hint="eastAsia" w:ascii="仿宋_GB2312" w:hAnsi="仿宋_GB2312" w:eastAsia="仿宋_GB2312" w:cs="仿宋_GB2312"/>
                <w:sz w:val="24"/>
                <w:szCs w:val="24"/>
                <w:highlight w:val="none"/>
              </w:rPr>
            </w:pPr>
          </w:p>
        </w:tc>
        <w:tc>
          <w:tcPr>
            <w:tcW w:w="138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pPr>
              <w:spacing w:before="120" w:after="120" w:line="288" w:lineRule="auto"/>
              <w:ind w:left="0"/>
              <w:jc w:val="left"/>
              <w:rPr>
                <w:rFonts w:hint="eastAsia" w:ascii="仿宋_GB2312" w:hAnsi="仿宋_GB2312" w:eastAsia="仿宋_GB2312" w:cs="仿宋_GB2312"/>
                <w:sz w:val="24"/>
                <w:szCs w:val="24"/>
                <w:highlight w:val="none"/>
              </w:rPr>
            </w:pPr>
          </w:p>
        </w:tc>
      </w:tr>
      <w:tr>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c>
          <w:tcPr>
            <w:tcW w:w="138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pPr>
              <w:spacing w:before="120" w:after="120" w:line="288" w:lineRule="auto"/>
              <w:ind w:left="0"/>
              <w:jc w:val="left"/>
              <w:rPr>
                <w:rFonts w:hint="eastAsia" w:ascii="仿宋_GB2312" w:hAnsi="仿宋_GB2312" w:eastAsia="仿宋_GB2312" w:cs="仿宋_GB2312"/>
                <w:sz w:val="24"/>
                <w:szCs w:val="24"/>
                <w:highlight w:val="none"/>
              </w:rPr>
            </w:pPr>
          </w:p>
        </w:tc>
        <w:tc>
          <w:tcPr>
            <w:tcW w:w="138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pPr>
              <w:spacing w:before="120" w:after="120" w:line="288" w:lineRule="auto"/>
              <w:ind w:left="0"/>
              <w:jc w:val="left"/>
              <w:rPr>
                <w:rFonts w:hint="eastAsia" w:ascii="仿宋_GB2312" w:hAnsi="仿宋_GB2312" w:eastAsia="仿宋_GB2312" w:cs="仿宋_GB2312"/>
                <w:sz w:val="24"/>
                <w:szCs w:val="24"/>
                <w:highlight w:val="none"/>
              </w:rPr>
            </w:pPr>
          </w:p>
        </w:tc>
        <w:tc>
          <w:tcPr>
            <w:tcW w:w="138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pPr>
              <w:spacing w:before="120" w:after="120" w:line="288" w:lineRule="auto"/>
              <w:ind w:left="0"/>
              <w:jc w:val="left"/>
              <w:rPr>
                <w:rFonts w:hint="eastAsia" w:ascii="仿宋_GB2312" w:hAnsi="仿宋_GB2312" w:eastAsia="仿宋_GB2312" w:cs="仿宋_GB2312"/>
                <w:sz w:val="24"/>
                <w:szCs w:val="24"/>
                <w:highlight w:val="none"/>
              </w:rPr>
            </w:pPr>
          </w:p>
        </w:tc>
        <w:tc>
          <w:tcPr>
            <w:tcW w:w="138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pPr>
              <w:spacing w:before="120" w:after="120" w:line="288" w:lineRule="auto"/>
              <w:ind w:left="0"/>
              <w:jc w:val="left"/>
              <w:rPr>
                <w:rFonts w:hint="eastAsia" w:ascii="仿宋_GB2312" w:hAnsi="仿宋_GB2312" w:eastAsia="仿宋_GB2312" w:cs="仿宋_GB2312"/>
                <w:sz w:val="24"/>
                <w:szCs w:val="24"/>
                <w:highlight w:val="none"/>
              </w:rPr>
            </w:pPr>
          </w:p>
        </w:tc>
        <w:tc>
          <w:tcPr>
            <w:tcW w:w="138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pPr>
              <w:spacing w:before="120" w:after="120" w:line="288" w:lineRule="auto"/>
              <w:ind w:left="0"/>
              <w:jc w:val="left"/>
              <w:rPr>
                <w:rFonts w:hint="eastAsia" w:ascii="仿宋_GB2312" w:hAnsi="仿宋_GB2312" w:eastAsia="仿宋_GB2312" w:cs="仿宋_GB2312"/>
                <w:sz w:val="24"/>
                <w:szCs w:val="24"/>
                <w:highlight w:val="none"/>
              </w:rPr>
            </w:pPr>
          </w:p>
        </w:tc>
        <w:tc>
          <w:tcPr>
            <w:tcW w:w="138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pPr>
              <w:spacing w:before="120" w:after="120" w:line="288" w:lineRule="auto"/>
              <w:ind w:left="0"/>
              <w:jc w:val="left"/>
              <w:rPr>
                <w:rFonts w:hint="eastAsia" w:ascii="仿宋_GB2312" w:hAnsi="仿宋_GB2312" w:eastAsia="仿宋_GB2312" w:cs="仿宋_GB2312"/>
                <w:sz w:val="24"/>
                <w:szCs w:val="24"/>
                <w:highlight w:val="none"/>
              </w:rPr>
            </w:pPr>
          </w:p>
        </w:tc>
      </w:tr>
      <w:tr>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c>
          <w:tcPr>
            <w:tcW w:w="138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pPr>
              <w:spacing w:before="120" w:after="120" w:line="288" w:lineRule="auto"/>
              <w:ind w:left="0"/>
              <w:jc w:val="left"/>
              <w:rPr>
                <w:rFonts w:hint="eastAsia" w:ascii="仿宋_GB2312" w:hAnsi="仿宋_GB2312" w:eastAsia="仿宋_GB2312" w:cs="仿宋_GB2312"/>
                <w:sz w:val="24"/>
                <w:szCs w:val="24"/>
                <w:highlight w:val="none"/>
              </w:rPr>
            </w:pPr>
          </w:p>
        </w:tc>
        <w:tc>
          <w:tcPr>
            <w:tcW w:w="138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pPr>
              <w:spacing w:before="120" w:after="120" w:line="288" w:lineRule="auto"/>
              <w:ind w:left="0"/>
              <w:jc w:val="left"/>
              <w:rPr>
                <w:rFonts w:hint="eastAsia" w:ascii="仿宋_GB2312" w:hAnsi="仿宋_GB2312" w:eastAsia="仿宋_GB2312" w:cs="仿宋_GB2312"/>
                <w:sz w:val="24"/>
                <w:szCs w:val="24"/>
                <w:highlight w:val="none"/>
              </w:rPr>
            </w:pPr>
          </w:p>
        </w:tc>
        <w:tc>
          <w:tcPr>
            <w:tcW w:w="138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pPr>
              <w:spacing w:before="120" w:after="120" w:line="288" w:lineRule="auto"/>
              <w:ind w:left="0"/>
              <w:jc w:val="left"/>
              <w:rPr>
                <w:rFonts w:hint="eastAsia" w:ascii="仿宋_GB2312" w:hAnsi="仿宋_GB2312" w:eastAsia="仿宋_GB2312" w:cs="仿宋_GB2312"/>
                <w:sz w:val="24"/>
                <w:szCs w:val="24"/>
                <w:highlight w:val="none"/>
              </w:rPr>
            </w:pPr>
          </w:p>
        </w:tc>
        <w:tc>
          <w:tcPr>
            <w:tcW w:w="138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pPr>
              <w:spacing w:before="120" w:after="120" w:line="288" w:lineRule="auto"/>
              <w:ind w:left="0"/>
              <w:jc w:val="left"/>
              <w:rPr>
                <w:rFonts w:hint="eastAsia" w:ascii="仿宋_GB2312" w:hAnsi="仿宋_GB2312" w:eastAsia="仿宋_GB2312" w:cs="仿宋_GB2312"/>
                <w:sz w:val="24"/>
                <w:szCs w:val="24"/>
                <w:highlight w:val="none"/>
              </w:rPr>
            </w:pPr>
          </w:p>
        </w:tc>
        <w:tc>
          <w:tcPr>
            <w:tcW w:w="138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pPr>
              <w:spacing w:before="120" w:after="120" w:line="288" w:lineRule="auto"/>
              <w:ind w:left="0"/>
              <w:jc w:val="left"/>
              <w:rPr>
                <w:rFonts w:hint="eastAsia" w:ascii="仿宋_GB2312" w:hAnsi="仿宋_GB2312" w:eastAsia="仿宋_GB2312" w:cs="仿宋_GB2312"/>
                <w:sz w:val="24"/>
                <w:szCs w:val="24"/>
                <w:highlight w:val="none"/>
              </w:rPr>
            </w:pPr>
          </w:p>
        </w:tc>
        <w:tc>
          <w:tcPr>
            <w:tcW w:w="138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pPr>
              <w:spacing w:before="120" w:after="120" w:line="288" w:lineRule="auto"/>
              <w:ind w:left="0"/>
              <w:jc w:val="left"/>
              <w:rPr>
                <w:rFonts w:hint="eastAsia" w:ascii="仿宋_GB2312" w:hAnsi="仿宋_GB2312" w:eastAsia="仿宋_GB2312" w:cs="仿宋_GB2312"/>
                <w:sz w:val="24"/>
                <w:szCs w:val="24"/>
                <w:highlight w:val="none"/>
              </w:rPr>
            </w:pPr>
          </w:p>
        </w:tc>
      </w:tr>
    </w:tbl>
    <w:p>
      <w:pPr>
        <w:spacing w:before="120" w:after="120" w:line="288" w:lineRule="auto"/>
        <w:ind w:left="0"/>
        <w:jc w:val="left"/>
        <w:rPr>
          <w:rFonts w:hint="default" w:ascii="仿宋_GB2312" w:hAnsi="仿宋_GB2312" w:eastAsia="仿宋_GB2312" w:cs="仿宋_GB2312"/>
          <w:sz w:val="22"/>
          <w:highlight w:val="none"/>
          <w:lang w:val="en-US" w:eastAsia="zh-CN"/>
        </w:rPr>
      </w:pPr>
      <w:r>
        <w:rPr>
          <w:rFonts w:hint="eastAsia" w:ascii="仿宋_GB2312" w:hAnsi="仿宋_GB2312" w:eastAsia="仿宋_GB2312" w:cs="仿宋_GB2312"/>
          <w:sz w:val="22"/>
          <w:highlight w:val="none"/>
        </w:rPr>
        <w:t>填表说明：</w:t>
      </w:r>
      <w:r>
        <w:rPr>
          <w:rFonts w:hint="eastAsia" w:ascii="仿宋_GB2312" w:hAnsi="仿宋_GB2312" w:eastAsia="仿宋_GB2312" w:cs="仿宋_GB2312"/>
          <w:sz w:val="22"/>
          <w:szCs w:val="22"/>
          <w:highlight w:val="none"/>
          <w:lang w:val="en-US" w:eastAsia="zh-CN"/>
        </w:rPr>
        <w:t>如果完全响应可提交空白表。</w:t>
      </w:r>
      <w:r>
        <w:rPr>
          <w:rFonts w:hint="eastAsia" w:ascii="仿宋_GB2312" w:hAnsi="仿宋_GB2312" w:eastAsia="仿宋_GB2312" w:cs="仿宋_GB2312"/>
          <w:sz w:val="22"/>
          <w:highlight w:val="none"/>
          <w:lang w:val="en-US" w:eastAsia="zh-CN"/>
        </w:rPr>
        <w:t>如存在偏离项，可仅就偏离项内容分别列出即可</w:t>
      </w:r>
      <w:r>
        <w:rPr>
          <w:rFonts w:hint="eastAsia" w:ascii="仿宋_GB2312" w:hAnsi="仿宋_GB2312" w:eastAsia="仿宋_GB2312" w:cs="仿宋_GB2312"/>
          <w:sz w:val="22"/>
          <w:szCs w:val="22"/>
          <w:highlight w:val="none"/>
          <w:lang w:val="en-US" w:eastAsia="zh-CN"/>
        </w:rPr>
        <w:t>。</w:t>
      </w:r>
    </w:p>
    <w:p>
      <w:pPr>
        <w:spacing w:before="120" w:after="120" w:line="288" w:lineRule="auto"/>
        <w:ind w:left="0"/>
        <w:jc w:val="left"/>
        <w:rPr>
          <w:rFonts w:hint="eastAsia" w:ascii="仿宋_GB2312" w:hAnsi="仿宋_GB2312" w:eastAsia="仿宋_GB2312" w:cs="仿宋_GB2312"/>
          <w:sz w:val="22"/>
          <w:highlight w:val="none"/>
          <w:lang w:val="en-US" w:eastAsia="zh-CN"/>
        </w:rPr>
      </w:pPr>
    </w:p>
    <w:p>
      <w:pPr>
        <w:spacing w:before="120" w:after="120" w:line="288" w:lineRule="auto"/>
        <w:ind w:left="0"/>
        <w:jc w:val="left"/>
        <w:rPr>
          <w:rFonts w:hint="eastAsia" w:ascii="仿宋_GB2312" w:hAnsi="仿宋_GB2312" w:eastAsia="仿宋_GB2312" w:cs="仿宋_GB2312"/>
          <w:sz w:val="22"/>
          <w:highlight w:val="none"/>
          <w:lang w:val="en-US" w:eastAsia="zh-CN"/>
        </w:rPr>
      </w:pPr>
    </w:p>
    <w:p>
      <w:pPr>
        <w:spacing w:before="120" w:after="120" w:line="288" w:lineRule="auto"/>
        <w:ind w:left="0"/>
        <w:jc w:val="left"/>
        <w:rPr>
          <w:rFonts w:hint="eastAsia" w:ascii="仿宋_GB2312" w:hAnsi="仿宋_GB2312" w:eastAsia="仿宋_GB2312" w:cs="仿宋_GB2312"/>
          <w:sz w:val="22"/>
          <w:highlight w:val="none"/>
          <w:lang w:val="en-US" w:eastAsia="zh-CN"/>
        </w:rPr>
      </w:pPr>
    </w:p>
    <w:p>
      <w:pPr>
        <w:spacing w:before="120" w:after="120" w:line="288" w:lineRule="auto"/>
        <w:ind w:left="0"/>
        <w:jc w:val="left"/>
        <w:rPr>
          <w:rFonts w:hint="eastAsia" w:ascii="仿宋_GB2312" w:hAnsi="仿宋_GB2312" w:eastAsia="仿宋_GB2312" w:cs="仿宋_GB2312"/>
          <w:sz w:val="22"/>
          <w:highlight w:val="none"/>
          <w:lang w:val="en-US" w:eastAsia="zh-CN"/>
        </w:rPr>
      </w:pPr>
      <w:r>
        <w:rPr>
          <w:rFonts w:hint="eastAsia" w:ascii="仿宋_GB2312" w:hAnsi="仿宋_GB2312" w:eastAsia="仿宋_GB2312" w:cs="仿宋_GB2312"/>
          <w:sz w:val="22"/>
          <w:highlight w:val="none"/>
          <w:lang w:val="en-US" w:eastAsia="zh-CN"/>
        </w:rPr>
        <w:t xml:space="preserve">响应供应商（公章）：                     法定代表人或被授权人（签字或盖章）：                                                        </w:t>
      </w:r>
    </w:p>
    <w:p>
      <w:pPr>
        <w:spacing w:before="120" w:after="120" w:line="288" w:lineRule="auto"/>
        <w:ind w:left="0"/>
        <w:jc w:val="left"/>
        <w:rPr>
          <w:rFonts w:hint="eastAsia" w:ascii="仿宋_GB2312" w:hAnsi="仿宋_GB2312" w:eastAsia="仿宋_GB2312" w:cs="仿宋_GB2312"/>
          <w:sz w:val="22"/>
          <w:highlight w:val="none"/>
          <w:lang w:val="en-US" w:eastAsia="zh-CN"/>
        </w:rPr>
      </w:pPr>
      <w:r>
        <w:rPr>
          <w:rFonts w:hint="eastAsia" w:ascii="仿宋_GB2312" w:hAnsi="仿宋_GB2312" w:eastAsia="仿宋_GB2312" w:cs="仿宋_GB2312"/>
          <w:sz w:val="22"/>
          <w:highlight w:val="none"/>
          <w:lang w:val="en-US" w:eastAsia="zh-CN"/>
        </w:rPr>
        <w:t xml:space="preserve">                                                              </w:t>
      </w:r>
    </w:p>
    <w:p>
      <w:pPr>
        <w:spacing w:before="120" w:after="120" w:line="288" w:lineRule="auto"/>
        <w:ind w:left="0"/>
        <w:jc w:val="left"/>
        <w:rPr>
          <w:rFonts w:hint="eastAsia" w:ascii="仿宋_GB2312" w:hAnsi="仿宋_GB2312" w:eastAsia="仿宋_GB2312" w:cs="仿宋_GB2312"/>
          <w:sz w:val="22"/>
          <w:highlight w:val="none"/>
          <w:lang w:val="en-US" w:eastAsia="zh-CN"/>
        </w:rPr>
      </w:pPr>
    </w:p>
    <w:p>
      <w:pPr>
        <w:spacing w:before="120" w:after="120" w:line="288" w:lineRule="auto"/>
        <w:ind w:left="0"/>
        <w:jc w:val="left"/>
        <w:rPr>
          <w:rFonts w:hint="eastAsia" w:ascii="仿宋_GB2312" w:hAnsi="仿宋_GB2312" w:eastAsia="仿宋_GB2312" w:cs="仿宋_GB2312"/>
          <w:sz w:val="22"/>
          <w:highlight w:val="none"/>
          <w:lang w:val="en-US" w:eastAsia="zh-CN"/>
        </w:rPr>
      </w:pPr>
      <w:r>
        <w:rPr>
          <w:rFonts w:hint="eastAsia" w:ascii="仿宋_GB2312" w:hAnsi="仿宋_GB2312" w:eastAsia="仿宋_GB2312" w:cs="仿宋_GB2312"/>
          <w:sz w:val="22"/>
          <w:highlight w:val="none"/>
          <w:lang w:val="en-US" w:eastAsia="zh-CN"/>
        </w:rPr>
        <w:t xml:space="preserve">                                                    年   月   日</w:t>
      </w:r>
    </w:p>
    <w:p>
      <w:pPr>
        <w:spacing w:before="120" w:after="120" w:line="288" w:lineRule="auto"/>
        <w:ind w:left="0"/>
        <w:jc w:val="left"/>
        <w:rPr>
          <w:rFonts w:hint="default" w:ascii="仿宋_GB2312" w:hAnsi="仿宋_GB2312" w:eastAsia="仿宋_GB2312" w:cs="仿宋_GB2312"/>
          <w:sz w:val="22"/>
          <w:highlight w:val="none"/>
          <w:lang w:val="en-US" w:eastAsia="zh-CN"/>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shd w:val="clear"/>
        <w:spacing w:line="360" w:lineRule="auto"/>
        <w:jc w:val="left"/>
        <w:outlineLvl w:val="9"/>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三、供应商承诺书</w:t>
      </w:r>
    </w:p>
    <w:p>
      <w:pPr>
        <w:spacing w:line="360" w:lineRule="auto"/>
        <w:ind w:left="0" w:leftChars="0" w:firstLine="729" w:firstLineChars="304"/>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未签署下列承诺书的，其责任由供应商自行承担。</w:t>
      </w:r>
    </w:p>
    <w:p>
      <w:pPr>
        <w:shd w:val="clear"/>
        <w:spacing w:line="360" w:lineRule="auto"/>
        <w:ind w:left="0" w:leftChars="0" w:firstLine="732" w:firstLineChars="304"/>
        <w:jc w:val="left"/>
        <w:outlineLvl w:val="9"/>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（一）质量安全责任承诺书</w:t>
      </w:r>
    </w:p>
    <w:p>
      <w:pPr>
        <w:spacing w:line="360" w:lineRule="auto"/>
        <w:ind w:left="0" w:leftChars="0" w:firstLine="729" w:firstLineChars="304"/>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为保证本采购项目顺利进行，作为供应商，现郑重承诺：</w:t>
      </w:r>
    </w:p>
    <w:p>
      <w:pPr>
        <w:spacing w:line="360" w:lineRule="auto"/>
        <w:ind w:left="0" w:leftChars="0" w:firstLine="729" w:firstLineChars="304"/>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1、我方所投产品的生产（包括设计、制造、安装、改造、维修等）、投入使用的材料等均完全符合国家现行质量、安全、环保标准和要求。</w:t>
      </w:r>
    </w:p>
    <w:p>
      <w:pPr>
        <w:spacing w:line="360" w:lineRule="auto"/>
        <w:ind w:left="0" w:leftChars="0" w:firstLine="729" w:firstLineChars="304"/>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2、我方将严格按照国家现行相关储存、运输、安装调试技术标准及规范、服务标准及规范、施工标准及规范，在规定的时限内，保质、保量完成项目全部内容，并向采购人交付合格产品。</w:t>
      </w:r>
    </w:p>
    <w:p>
      <w:pPr>
        <w:spacing w:line="360" w:lineRule="auto"/>
        <w:ind w:left="0" w:leftChars="0" w:firstLine="729" w:firstLineChars="304"/>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3、对于因产品生产质量以及储存、运输、安装调试、服务、施工等过程中产生的任何安全事故，我方承担全部责任。</w:t>
      </w:r>
    </w:p>
    <w:p>
      <w:pPr>
        <w:spacing w:line="360" w:lineRule="auto"/>
        <w:ind w:left="0" w:leftChars="0" w:firstLine="729" w:firstLineChars="304"/>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4、我方提供的货物、工程、服务等符合现行的国家、行业、地区、企业标准及要求，标准不一致的，以更为严格的为准，我方对提供的货物、工程、服务等的质量、安全、环保等承担全部责任。</w:t>
      </w:r>
    </w:p>
    <w:p>
      <w:pPr>
        <w:spacing w:line="360" w:lineRule="auto"/>
        <w:ind w:firstLine="3840" w:firstLineChars="1600"/>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供应商：</w:t>
      </w:r>
      <w:r>
        <w:rPr>
          <w:rFonts w:hint="eastAsia" w:asciiTheme="minorEastAsia" w:hAnsi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u w:val="single"/>
        </w:rPr>
        <w:t>名称</w:t>
      </w:r>
      <w:r>
        <w:rPr>
          <w:rFonts w:hint="eastAsia" w:asciiTheme="minorEastAsia" w:hAnsi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rPr>
        <w:t>（加盖公章）</w:t>
      </w:r>
    </w:p>
    <w:p>
      <w:pPr>
        <w:spacing w:line="360" w:lineRule="auto"/>
        <w:ind w:firstLine="4080" w:firstLineChars="1700"/>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日期：</w:t>
      </w:r>
      <w:r>
        <w:rPr>
          <w:rFonts w:hint="eastAsia" w:asciiTheme="minorEastAsia" w:hAnsi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rPr>
        <w:t>年</w:t>
      </w:r>
      <w:r>
        <w:rPr>
          <w:rFonts w:hint="eastAsia" w:asciiTheme="minorEastAsia" w:hAnsi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rPr>
        <w:t>月</w:t>
      </w:r>
      <w:r>
        <w:rPr>
          <w:rFonts w:hint="eastAsia" w:asciiTheme="minorEastAsia" w:hAnsi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rPr>
        <w:t>日</w:t>
      </w:r>
    </w:p>
    <w:p>
      <w:pPr>
        <w:outlineLvl w:val="9"/>
        <w:rPr>
          <w:rFonts w:hint="eastAsia" w:asciiTheme="minorEastAsia" w:hAnsiTheme="minorEastAsia" w:eastAsiaTheme="minorEastAsia" w:cstheme="minorEastAsia"/>
          <w:sz w:val="24"/>
          <w:szCs w:val="24"/>
          <w:highlight w:val="none"/>
        </w:rPr>
      </w:pPr>
    </w:p>
    <w:p>
      <w:pPr>
        <w:outlineLvl w:val="9"/>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outlineLvl w:val="9"/>
        <w:rPr>
          <w:rFonts w:hint="eastAsia" w:asciiTheme="minorEastAsia" w:hAnsiTheme="minorEastAsia" w:eastAsiaTheme="minorEastAsia" w:cstheme="minorEastAsia"/>
          <w:sz w:val="24"/>
          <w:szCs w:val="24"/>
          <w:highlight w:val="none"/>
        </w:rPr>
      </w:pPr>
    </w:p>
    <w:p>
      <w:pPr>
        <w:shd w:val="clear"/>
        <w:spacing w:line="360" w:lineRule="auto"/>
        <w:ind w:left="0" w:leftChars="0" w:firstLine="641" w:firstLineChars="304"/>
        <w:jc w:val="left"/>
        <w:outlineLvl w:val="9"/>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（二）拒绝政府采购领域商业贿赂承诺书</w:t>
      </w:r>
    </w:p>
    <w:p>
      <w:pPr>
        <w:spacing w:line="360" w:lineRule="auto"/>
        <w:ind w:left="0" w:leftChars="0" w:firstLine="638" w:firstLineChars="266"/>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为响应党中央、国务院关于治理政府采购领域商业贿赂行为的号召，我公司在此庄严承诺：</w:t>
      </w:r>
    </w:p>
    <w:p>
      <w:pPr>
        <w:spacing w:line="360" w:lineRule="auto"/>
        <w:ind w:left="0" w:leftChars="0" w:firstLine="638" w:firstLineChars="266"/>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1、在参与政府采购活动中遵纪守法、诚信经营、公平竞标。</w:t>
      </w:r>
    </w:p>
    <w:p>
      <w:pPr>
        <w:spacing w:line="360" w:lineRule="auto"/>
        <w:ind w:left="0" w:leftChars="0" w:firstLine="638" w:firstLineChars="266"/>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2、不向政府采购人、采购代理机构和政府采购评审专家进行任何形式的商业贿赂以谋取交易机会。</w:t>
      </w:r>
    </w:p>
    <w:p>
      <w:pPr>
        <w:spacing w:line="360" w:lineRule="auto"/>
        <w:ind w:left="0" w:leftChars="0" w:firstLine="638" w:firstLineChars="266"/>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3、不向政府采购代理机构和采购人提供虚假资质文件或采用虚假应标方式参与政府采购市场竞争并谋取中标、成交。</w:t>
      </w:r>
    </w:p>
    <w:p>
      <w:pPr>
        <w:spacing w:line="360" w:lineRule="auto"/>
        <w:ind w:left="0" w:leftChars="0" w:firstLine="638" w:firstLineChars="266"/>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4、不采取“围标、陪标”等商业欺诈手段获得政府采购定单。</w:t>
      </w:r>
    </w:p>
    <w:p>
      <w:pPr>
        <w:spacing w:line="360" w:lineRule="auto"/>
        <w:ind w:left="0" w:leftChars="0" w:firstLine="638" w:firstLineChars="266"/>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5、不采取不正当手段诋毁、排挤其他供应商。</w:t>
      </w:r>
    </w:p>
    <w:p>
      <w:pPr>
        <w:spacing w:line="360" w:lineRule="auto"/>
        <w:ind w:left="0" w:leftChars="0" w:firstLine="638" w:firstLineChars="266"/>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6、不在提供商品和服务时“偷梁换柱、以次充好”损害采购人的合法权益。</w:t>
      </w:r>
    </w:p>
    <w:p>
      <w:pPr>
        <w:spacing w:line="360" w:lineRule="auto"/>
        <w:ind w:left="0" w:leftChars="0" w:firstLine="638" w:firstLineChars="266"/>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7、不与采购人、采购代理机构政府采购评审专家或其它供应商恶意串通，进行质疑和投诉，维护政府采购市场秩序。</w:t>
      </w:r>
    </w:p>
    <w:p>
      <w:pPr>
        <w:spacing w:line="360" w:lineRule="auto"/>
        <w:ind w:left="0" w:leftChars="0" w:firstLine="638" w:firstLineChars="266"/>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8、尊重和接受政府采购监督管理部门的监督和政府采购代理机构招标采购要求，承担因违约行为给采购人造成的损失。</w:t>
      </w:r>
    </w:p>
    <w:p>
      <w:pPr>
        <w:spacing w:line="360" w:lineRule="auto"/>
        <w:ind w:left="0" w:leftChars="0" w:firstLine="638" w:firstLineChars="266"/>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9、不发生其他有悖于政府采购公开、公平、公正和诚信原则的行为。</w:t>
      </w:r>
    </w:p>
    <w:p>
      <w:pPr>
        <w:spacing w:line="360" w:lineRule="auto"/>
        <w:ind w:left="0" w:leftChars="0" w:firstLine="3033" w:firstLineChars="1264"/>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供应商：</w:t>
      </w:r>
      <w:r>
        <w:rPr>
          <w:rFonts w:hint="eastAsia" w:asciiTheme="minorEastAsia" w:hAnsi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u w:val="single"/>
        </w:rPr>
        <w:t>名称</w:t>
      </w:r>
      <w:r>
        <w:rPr>
          <w:rFonts w:hint="eastAsia" w:asciiTheme="minorEastAsia" w:hAnsi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rPr>
        <w:t>（加盖公章）</w:t>
      </w:r>
    </w:p>
    <w:p>
      <w:pPr>
        <w:spacing w:line="360" w:lineRule="auto"/>
        <w:ind w:left="0" w:leftChars="0" w:firstLine="3273" w:firstLineChars="1364"/>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日期：</w:t>
      </w:r>
      <w:r>
        <w:rPr>
          <w:rFonts w:hint="eastAsia" w:asciiTheme="minorEastAsia" w:hAnsi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rPr>
        <w:t>年</w:t>
      </w:r>
      <w:r>
        <w:rPr>
          <w:rFonts w:hint="eastAsia" w:asciiTheme="minorEastAsia" w:hAnsi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rPr>
        <w:t>月</w:t>
      </w:r>
      <w:r>
        <w:rPr>
          <w:rFonts w:hint="eastAsia" w:asciiTheme="minorEastAsia" w:hAnsi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rPr>
        <w:t>日</w:t>
      </w: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shd w:val="clear"/>
        <w:spacing w:line="360" w:lineRule="auto"/>
        <w:jc w:val="left"/>
        <w:outlineLvl w:val="9"/>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四、实质性条款响应</w:t>
      </w:r>
    </w:p>
    <w:p>
      <w:pPr>
        <w:ind w:left="0" w:leftChars="0" w:firstLine="480" w:firstLineChars="200"/>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（一）按照磋商文件第三章“磋商内容及采购要求”中“★”内容要求，如须提供相关承诺函，供应商将承诺函附至此处。</w:t>
      </w:r>
    </w:p>
    <w:p>
      <w:pPr>
        <w:ind w:left="0" w:leftChars="0" w:firstLine="480" w:firstLineChars="200"/>
        <w:outlineLvl w:val="9"/>
        <w:rPr>
          <w:rFonts w:hint="eastAsia" w:asciiTheme="minorEastAsia" w:hAnsiTheme="minorEastAsia" w:eastAsiaTheme="minorEastAsia" w:cstheme="minorEastAsia"/>
          <w:sz w:val="24"/>
          <w:szCs w:val="24"/>
          <w:highlight w:val="none"/>
        </w:rPr>
      </w:pPr>
    </w:p>
    <w:p>
      <w:pPr>
        <w:ind w:left="0" w:leftChars="0" w:firstLine="480" w:firstLineChars="200"/>
        <w:outlineLvl w:val="9"/>
        <w:rPr>
          <w:rFonts w:hint="eastAsia" w:asciiTheme="minorEastAsia" w:hAnsiTheme="minorEastAsia" w:eastAsiaTheme="minorEastAsia" w:cstheme="minorEastAsia"/>
          <w:sz w:val="24"/>
          <w:szCs w:val="24"/>
          <w:highlight w:val="none"/>
        </w:rPr>
      </w:pPr>
    </w:p>
    <w:p>
      <w:pPr>
        <w:ind w:left="0" w:leftChars="0" w:firstLine="480" w:firstLineChars="200"/>
        <w:outlineLvl w:val="9"/>
        <w:rPr>
          <w:rFonts w:hint="eastAsia" w:asciiTheme="minorEastAsia" w:hAnsiTheme="minorEastAsia" w:eastAsiaTheme="minorEastAsia" w:cstheme="minorEastAsia"/>
          <w:sz w:val="24"/>
          <w:szCs w:val="24"/>
          <w:highlight w:val="none"/>
        </w:rPr>
      </w:pPr>
    </w:p>
    <w:p>
      <w:pPr>
        <w:ind w:left="0" w:leftChars="0" w:firstLine="480" w:firstLineChars="200"/>
        <w:outlineLvl w:val="9"/>
        <w:rPr>
          <w:rFonts w:hint="eastAsia" w:asciiTheme="minorEastAsia" w:hAnsiTheme="minorEastAsia" w:eastAsiaTheme="minorEastAsia" w:cstheme="minorEastAsia"/>
          <w:sz w:val="24"/>
          <w:szCs w:val="24"/>
          <w:highlight w:val="none"/>
        </w:rPr>
      </w:pPr>
    </w:p>
    <w:p>
      <w:pPr>
        <w:ind w:left="0" w:leftChars="0" w:firstLine="480" w:firstLineChars="200"/>
        <w:outlineLvl w:val="9"/>
        <w:rPr>
          <w:rFonts w:hint="eastAsia" w:asciiTheme="minorEastAsia" w:hAnsiTheme="minorEastAsia" w:eastAsiaTheme="minorEastAsia" w:cstheme="minorEastAsia"/>
          <w:sz w:val="24"/>
          <w:szCs w:val="24"/>
          <w:highlight w:val="none"/>
        </w:rPr>
      </w:pPr>
    </w:p>
    <w:p>
      <w:pPr>
        <w:ind w:left="0" w:leftChars="0" w:firstLine="480" w:firstLineChars="200"/>
        <w:outlineLvl w:val="9"/>
        <w:rPr>
          <w:rFonts w:hint="eastAsia" w:asciiTheme="minorEastAsia" w:hAnsiTheme="minorEastAsia" w:eastAsiaTheme="minorEastAsia" w:cstheme="minorEastAsia"/>
          <w:sz w:val="24"/>
          <w:szCs w:val="24"/>
          <w:highlight w:val="none"/>
        </w:rPr>
      </w:pPr>
    </w:p>
    <w:p>
      <w:pPr>
        <w:ind w:left="0" w:leftChars="0" w:firstLine="480" w:firstLineChars="200"/>
        <w:outlineLvl w:val="9"/>
        <w:rPr>
          <w:rFonts w:hint="eastAsia" w:asciiTheme="minorEastAsia" w:hAnsiTheme="minorEastAsia" w:eastAsiaTheme="minorEastAsia" w:cstheme="minorEastAsia"/>
          <w:sz w:val="24"/>
          <w:szCs w:val="24"/>
          <w:highlight w:val="none"/>
        </w:rPr>
      </w:pPr>
    </w:p>
    <w:p>
      <w:pPr>
        <w:ind w:left="0" w:leftChars="0" w:firstLine="480" w:firstLineChars="200"/>
        <w:outlineLvl w:val="9"/>
        <w:rPr>
          <w:rFonts w:hint="eastAsia" w:asciiTheme="minorEastAsia" w:hAnsiTheme="minorEastAsia" w:eastAsiaTheme="minorEastAsia" w:cstheme="minorEastAsia"/>
          <w:sz w:val="24"/>
          <w:szCs w:val="24"/>
          <w:highlight w:val="none"/>
        </w:rPr>
      </w:pPr>
    </w:p>
    <w:p>
      <w:pPr>
        <w:ind w:left="0" w:leftChars="0" w:firstLine="480" w:firstLineChars="200"/>
        <w:outlineLvl w:val="9"/>
        <w:rPr>
          <w:rFonts w:hint="eastAsia" w:asciiTheme="minorEastAsia" w:hAnsiTheme="minorEastAsia" w:eastAsiaTheme="minorEastAsia" w:cstheme="minorEastAsia"/>
          <w:sz w:val="24"/>
          <w:szCs w:val="24"/>
          <w:highlight w:val="none"/>
        </w:rPr>
      </w:pPr>
    </w:p>
    <w:p>
      <w:pPr>
        <w:ind w:left="0" w:leftChars="0" w:firstLine="480" w:firstLineChars="200"/>
        <w:outlineLvl w:val="9"/>
        <w:rPr>
          <w:rFonts w:hint="eastAsia" w:asciiTheme="minorEastAsia" w:hAnsiTheme="minorEastAsia" w:eastAsiaTheme="minorEastAsia" w:cstheme="minorEastAsia"/>
          <w:sz w:val="24"/>
          <w:szCs w:val="24"/>
          <w:highlight w:val="none"/>
        </w:rPr>
      </w:pPr>
    </w:p>
    <w:p>
      <w:pPr>
        <w:ind w:left="0" w:leftChars="0" w:firstLine="480" w:firstLineChars="200"/>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（二）按照磋商文件第三章“磋商内容及采购要求”中“★”内容要求，如须提供证书复印件等相关证明材料，供应商将证书复印件附至此处。</w:t>
      </w:r>
    </w:p>
    <w:p>
      <w:pPr>
        <w:outlineLvl w:val="9"/>
        <w:rPr>
          <w:rFonts w:hint="eastAsia" w:asciiTheme="minorEastAsia" w:hAnsiTheme="minorEastAsia" w:eastAsiaTheme="minorEastAsia" w:cstheme="minorEastAsia"/>
          <w:sz w:val="24"/>
          <w:szCs w:val="24"/>
          <w:highlight w:val="none"/>
        </w:rPr>
      </w:pPr>
    </w:p>
    <w:p>
      <w:pPr>
        <w:outlineLvl w:val="9"/>
        <w:rPr>
          <w:rFonts w:hint="eastAsia" w:asciiTheme="minorEastAsia" w:hAnsiTheme="minorEastAsia" w:eastAsiaTheme="minorEastAsia" w:cstheme="minorEastAsia"/>
          <w:sz w:val="24"/>
          <w:szCs w:val="24"/>
          <w:highlight w:val="none"/>
        </w:rPr>
      </w:pPr>
    </w:p>
    <w:p>
      <w:pPr>
        <w:outlineLvl w:val="9"/>
        <w:rPr>
          <w:rFonts w:hint="eastAsia" w:asciiTheme="minorEastAsia" w:hAnsiTheme="minorEastAsia" w:eastAsiaTheme="minorEastAsia" w:cstheme="minorEastAsia"/>
          <w:sz w:val="24"/>
          <w:szCs w:val="24"/>
          <w:highlight w:val="none"/>
        </w:rPr>
      </w:pPr>
    </w:p>
    <w:p>
      <w:pPr>
        <w:outlineLvl w:val="9"/>
        <w:rPr>
          <w:rFonts w:hint="eastAsia" w:asciiTheme="minorEastAsia" w:hAnsiTheme="minorEastAsia" w:eastAsiaTheme="minorEastAsia" w:cstheme="minorEastAsia"/>
          <w:sz w:val="24"/>
          <w:szCs w:val="24"/>
          <w:highlight w:val="none"/>
        </w:rPr>
      </w:pPr>
    </w:p>
    <w:p>
      <w:pPr>
        <w:outlineLvl w:val="9"/>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ind w:left="0" w:leftChars="0" w:firstLine="489" w:firstLineChars="233"/>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备注：</w:t>
      </w:r>
    </w:p>
    <w:p>
      <w:pPr>
        <w:ind w:left="0" w:leftChars="0" w:firstLine="489" w:firstLineChars="233"/>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1、供应商填写须以第三章“磋商内容及采购要求”中“★”内容项为基本响应要求，须逐条</w:t>
      </w:r>
    </w:p>
    <w:p>
      <w:pPr>
        <w:ind w:left="0" w:leftChars="0" w:firstLine="489" w:firstLineChars="233"/>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响应，未逐条响应、有缺漏将视为无效响应。</w:t>
      </w:r>
    </w:p>
    <w:p>
      <w:pPr>
        <w:ind w:left="0" w:leftChars="0" w:firstLine="489" w:firstLineChars="233"/>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2、承诺函、证书复印件等相关证明材料均须加盖供应商公章。</w:t>
      </w: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 xml:space="preserve"> </w:t>
      </w:r>
    </w:p>
    <w:p>
      <w:pPr>
        <w:rPr>
          <w:rFonts w:hint="eastAsia" w:asciiTheme="minorEastAsia" w:hAnsiTheme="minorEastAsia" w:cstheme="minorEastAsia"/>
          <w:sz w:val="24"/>
          <w:szCs w:val="24"/>
          <w:highlight w:val="none"/>
          <w:lang w:val="en-US" w:eastAsia="zh-CN"/>
        </w:rPr>
      </w:pPr>
    </w:p>
    <w:p>
      <w:pPr>
        <w:rPr>
          <w:rFonts w:hint="eastAsia" w:asciiTheme="minorEastAsia" w:hAnsiTheme="minorEastAsia" w:cstheme="minorEastAsia"/>
          <w:sz w:val="24"/>
          <w:szCs w:val="24"/>
          <w:highlight w:val="none"/>
          <w:lang w:val="en-US" w:eastAsia="zh-CN"/>
        </w:rPr>
      </w:pPr>
    </w:p>
    <w:p>
      <w:pPr>
        <w:rPr>
          <w:rFonts w:hint="default" w:asciiTheme="minorEastAsia" w:hAnsiTheme="minorEastAsia" w:cstheme="minorEastAsia"/>
          <w:sz w:val="24"/>
          <w:szCs w:val="24"/>
          <w:highlight w:val="none"/>
          <w:lang w:val="en-US" w:eastAsia="zh-CN"/>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shd w:val="clear"/>
        <w:spacing w:line="360" w:lineRule="auto"/>
        <w:jc w:val="left"/>
        <w:outlineLvl w:val="9"/>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五、合同草案条款响应</w:t>
      </w:r>
    </w:p>
    <w:p>
      <w:pPr>
        <w:ind w:left="0" w:leftChars="0" w:firstLine="420" w:firstLineChars="175"/>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完全理解并接受磋商文件中“合同草案条款”要求。</w:t>
      </w:r>
    </w:p>
    <w:p>
      <w:pPr>
        <w:ind w:firstLine="1920" w:firstLineChars="800"/>
        <w:outlineLvl w:val="9"/>
        <w:rPr>
          <w:rFonts w:hint="eastAsia" w:asciiTheme="minorEastAsia" w:hAnsiTheme="minorEastAsia" w:eastAsiaTheme="minorEastAsia" w:cstheme="minorEastAsia"/>
          <w:sz w:val="24"/>
          <w:szCs w:val="24"/>
          <w:highlight w:val="none"/>
        </w:rPr>
      </w:pPr>
    </w:p>
    <w:p>
      <w:pPr>
        <w:ind w:firstLine="1920" w:firstLineChars="800"/>
        <w:outlineLvl w:val="9"/>
        <w:rPr>
          <w:rFonts w:hint="eastAsia" w:asciiTheme="minorEastAsia" w:hAnsiTheme="minorEastAsia" w:eastAsiaTheme="minorEastAsia" w:cstheme="minorEastAsia"/>
          <w:sz w:val="24"/>
          <w:szCs w:val="24"/>
          <w:highlight w:val="none"/>
        </w:rPr>
      </w:pPr>
    </w:p>
    <w:p>
      <w:pPr>
        <w:ind w:firstLine="2880" w:firstLineChars="1200"/>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供应商：</w:t>
      </w:r>
      <w:r>
        <w:rPr>
          <w:rFonts w:hint="eastAsia" w:asciiTheme="minorEastAsia" w:hAnsi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u w:val="single"/>
        </w:rPr>
        <w:t>名称</w:t>
      </w:r>
      <w:r>
        <w:rPr>
          <w:rFonts w:hint="eastAsia" w:asciiTheme="minorEastAsia" w:hAnsi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rPr>
        <w:t>（加盖公章）</w:t>
      </w:r>
    </w:p>
    <w:p>
      <w:pPr>
        <w:ind w:firstLine="3120" w:firstLineChars="1300"/>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日期：</w:t>
      </w:r>
      <w:r>
        <w:rPr>
          <w:rFonts w:hint="eastAsia" w:asciiTheme="minorEastAsia" w:hAnsi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rPr>
        <w:t>年</w:t>
      </w:r>
      <w:r>
        <w:rPr>
          <w:rFonts w:hint="eastAsia" w:asciiTheme="minorEastAsia" w:hAnsi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rPr>
        <w:t>月</w:t>
      </w:r>
      <w:r>
        <w:rPr>
          <w:rFonts w:hint="eastAsia" w:asciiTheme="minorEastAsia" w:hAnsi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rPr>
        <w:t>日</w:t>
      </w:r>
    </w:p>
    <w:p>
      <w:pPr>
        <w:outlineLvl w:val="9"/>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pStyle w:val="3"/>
        <w:rPr>
          <w:rFonts w:hint="eastAsia"/>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shd w:val="clear"/>
        <w:spacing w:line="360" w:lineRule="auto"/>
        <w:jc w:val="center"/>
        <w:outlineLvl w:val="9"/>
        <w:rPr>
          <w:rFonts w:hint="eastAsia" w:asciiTheme="minorEastAsia" w:hAnsiTheme="minorEastAsia" w:eastAsiaTheme="minorEastAsia" w:cstheme="minorEastAsia"/>
          <w:b/>
          <w:bCs/>
          <w:sz w:val="24"/>
          <w:szCs w:val="24"/>
          <w:highlight w:val="none"/>
        </w:rPr>
      </w:pPr>
      <w:bookmarkStart w:id="16" w:name="_Toc23155"/>
    </w:p>
    <w:p>
      <w:pPr>
        <w:shd w:val="clear"/>
        <w:spacing w:line="360" w:lineRule="auto"/>
        <w:jc w:val="center"/>
        <w:outlineLvl w:val="9"/>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第三部分响应方案</w:t>
      </w:r>
      <w:bookmarkEnd w:id="16"/>
    </w:p>
    <w:p>
      <w:pPr>
        <w:shd w:val="clear"/>
        <w:spacing w:line="360" w:lineRule="auto"/>
        <w:ind w:left="0" w:leftChars="0" w:firstLine="422" w:firstLineChars="175"/>
        <w:jc w:val="left"/>
        <w:outlineLvl w:val="9"/>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一、供应商性质及概况</w:t>
      </w:r>
    </w:p>
    <w:p>
      <w:pPr>
        <w:shd w:val="clear"/>
        <w:spacing w:line="360" w:lineRule="auto"/>
        <w:ind w:left="0" w:leftChars="0" w:firstLine="422" w:firstLineChars="175"/>
        <w:jc w:val="left"/>
        <w:outlineLvl w:val="9"/>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（一）供应商性质</w:t>
      </w:r>
    </w:p>
    <w:p>
      <w:pPr>
        <w:spacing w:line="360" w:lineRule="auto"/>
        <w:ind w:left="0" w:leftChars="0" w:firstLine="420" w:firstLineChars="175"/>
        <w:outlineLvl w:val="9"/>
        <w:rPr>
          <w:rFonts w:ascii="宋体" w:hAnsi="宋体" w:eastAsia="宋体" w:cs="宋体"/>
          <w:sz w:val="24"/>
          <w:szCs w:val="24"/>
          <w:highlight w:val="none"/>
        </w:rPr>
      </w:pPr>
      <w:r>
        <w:rPr>
          <w:rFonts w:ascii="宋体" w:hAnsi="宋体" w:eastAsia="宋体" w:cs="宋体"/>
          <w:sz w:val="24"/>
          <w:szCs w:val="24"/>
          <w:highlight w:val="none"/>
        </w:rPr>
        <w:t xml:space="preserve">本项目为专门面向中小企业项目，供应商应为中型企业、小型企业和 微型企业或监狱企业或残疾人福利性单位。供应商为中小企业的，提供《中小企业声明函》，且中小企业的划分标准所属行业为物业管理；供应商为监狱企业的，应提供监狱企业的证明文件；供应商为残疾人福利性单位的， 应提供《残疾人福利性单位声明函》（监狱企业或残疾人福利性单位视同小型、微型企业）。 </w:t>
      </w:r>
    </w:p>
    <w:p>
      <w:pPr>
        <w:spacing w:line="360" w:lineRule="auto"/>
        <w:ind w:left="0" w:leftChars="0" w:firstLine="422" w:firstLineChars="175"/>
        <w:outlineLvl w:val="9"/>
        <w:rPr>
          <w:rFonts w:ascii="宋体" w:hAnsi="宋体" w:eastAsia="宋体" w:cs="宋体"/>
          <w:b/>
          <w:bCs/>
          <w:sz w:val="24"/>
          <w:szCs w:val="24"/>
          <w:highlight w:val="none"/>
        </w:rPr>
      </w:pPr>
      <w:r>
        <w:rPr>
          <w:rFonts w:ascii="宋体" w:hAnsi="宋体" w:eastAsia="宋体" w:cs="宋体"/>
          <w:b/>
          <w:bCs/>
          <w:sz w:val="24"/>
          <w:szCs w:val="24"/>
          <w:highlight w:val="none"/>
        </w:rPr>
        <w:t>特别提醒：成交供应商的《中小企业声明函》或《残疾人福利性单位声明函》或监狱企业证明文件将随成交结果公告一同公布，接受社会监督。</w:t>
      </w:r>
    </w:p>
    <w:p>
      <w:pPr>
        <w:spacing w:line="360" w:lineRule="auto"/>
        <w:ind w:left="0" w:leftChars="0" w:firstLine="367" w:firstLineChars="175"/>
        <w:outlineLvl w:val="9"/>
        <w:rPr>
          <w:rFonts w:ascii="宋体" w:hAnsi="宋体" w:eastAsia="宋体" w:cs="宋体"/>
          <w:sz w:val="21"/>
          <w:szCs w:val="21"/>
          <w:highlight w:val="none"/>
        </w:rPr>
      </w:pPr>
    </w:p>
    <w:p>
      <w:pPr>
        <w:spacing w:line="360" w:lineRule="auto"/>
        <w:ind w:left="0" w:leftChars="0" w:firstLine="367" w:firstLineChars="175"/>
        <w:outlineLvl w:val="9"/>
        <w:rPr>
          <w:rFonts w:ascii="宋体" w:hAnsi="宋体" w:eastAsia="宋体" w:cs="宋体"/>
          <w:sz w:val="21"/>
          <w:szCs w:val="21"/>
          <w:highlight w:val="none"/>
        </w:rPr>
      </w:pPr>
    </w:p>
    <w:p>
      <w:pPr>
        <w:spacing w:line="360" w:lineRule="auto"/>
        <w:ind w:left="0" w:leftChars="0" w:firstLine="367" w:firstLineChars="175"/>
        <w:outlineLvl w:val="9"/>
        <w:rPr>
          <w:rFonts w:ascii="宋体" w:hAnsi="宋体" w:eastAsia="宋体" w:cs="宋体"/>
          <w:sz w:val="21"/>
          <w:szCs w:val="21"/>
          <w:highlight w:val="none"/>
        </w:rPr>
      </w:pPr>
    </w:p>
    <w:p>
      <w:pPr>
        <w:spacing w:line="360" w:lineRule="auto"/>
        <w:ind w:left="0" w:leftChars="0" w:firstLine="367" w:firstLineChars="175"/>
        <w:outlineLvl w:val="9"/>
        <w:rPr>
          <w:rFonts w:ascii="宋体" w:hAnsi="宋体" w:eastAsia="宋体" w:cs="宋体"/>
          <w:sz w:val="21"/>
          <w:szCs w:val="21"/>
          <w:highlight w:val="none"/>
        </w:rPr>
      </w:pPr>
    </w:p>
    <w:p>
      <w:pPr>
        <w:spacing w:line="360" w:lineRule="auto"/>
        <w:ind w:left="0" w:leftChars="0" w:firstLine="367" w:firstLineChars="175"/>
        <w:outlineLvl w:val="9"/>
        <w:rPr>
          <w:rFonts w:ascii="宋体" w:hAnsi="宋体" w:eastAsia="宋体" w:cs="宋体"/>
          <w:sz w:val="21"/>
          <w:szCs w:val="21"/>
          <w:highlight w:val="none"/>
        </w:rPr>
      </w:pPr>
    </w:p>
    <w:p>
      <w:pPr>
        <w:spacing w:line="360" w:lineRule="auto"/>
        <w:ind w:left="0" w:leftChars="0" w:firstLine="367" w:firstLineChars="175"/>
        <w:outlineLvl w:val="9"/>
        <w:rPr>
          <w:rFonts w:hint="eastAsia" w:asciiTheme="minorEastAsia" w:hAnsiTheme="minorEastAsia" w:eastAsiaTheme="minorEastAsia" w:cstheme="minorEastAsia"/>
          <w:sz w:val="21"/>
          <w:szCs w:val="21"/>
          <w:highlight w:val="none"/>
        </w:rPr>
      </w:pPr>
      <w:r>
        <w:rPr>
          <w:rFonts w:ascii="宋体" w:hAnsi="宋体" w:eastAsia="宋体" w:cs="宋体"/>
          <w:sz w:val="21"/>
          <w:szCs w:val="21"/>
          <w:highlight w:val="none"/>
        </w:rPr>
        <w:t xml:space="preserve"> 备注：各供应商可根据企业从业人员、营业收入、资产总额等指标，按照磋商文件约定的 采购标的对应的中小企业划分标准所属行业和《中小企业划型标准规定》（工信部联企业〔2011〕 300 号）进行自测，判断属于中型、小型还是微型企业。也可在微信小程序中搜索中小企业规 模类型自测小程序进行测算。</w:t>
      </w:r>
    </w:p>
    <w:p>
      <w:pPr>
        <w:outlineLvl w:val="9"/>
        <w:rPr>
          <w:rFonts w:hint="eastAsia" w:asciiTheme="minorEastAsia" w:hAnsiTheme="minorEastAsia" w:eastAsiaTheme="minorEastAsia" w:cstheme="minorEastAsia"/>
          <w:sz w:val="24"/>
          <w:szCs w:val="24"/>
          <w:highlight w:val="none"/>
        </w:rPr>
      </w:pPr>
    </w:p>
    <w:p>
      <w:pPr>
        <w:outlineLvl w:val="9"/>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jc w:val="center"/>
        <w:outlineLvl w:val="9"/>
        <w:rPr>
          <w:rFonts w:hint="eastAsia" w:ascii="宋体" w:hAnsi="宋体" w:eastAsia="宋体" w:cs="宋体"/>
          <w:b/>
          <w:bCs/>
          <w:sz w:val="24"/>
          <w:szCs w:val="24"/>
          <w:highlight w:val="none"/>
          <w:lang w:eastAsia="zh-CN"/>
        </w:rPr>
      </w:pPr>
      <w:r>
        <w:rPr>
          <w:rFonts w:ascii="宋体" w:hAnsi="宋体" w:eastAsia="宋体" w:cs="宋体"/>
          <w:b/>
          <w:bCs/>
          <w:sz w:val="24"/>
          <w:szCs w:val="24"/>
          <w:highlight w:val="none"/>
        </w:rPr>
        <w:t>中小企业声明函</w:t>
      </w:r>
    </w:p>
    <w:p>
      <w:pPr>
        <w:spacing w:line="360" w:lineRule="auto"/>
        <w:ind w:left="0" w:leftChars="0" w:firstLine="638" w:firstLineChars="266"/>
        <w:rPr>
          <w:rFonts w:hint="eastAsia" w:ascii="宋体" w:hAnsi="宋体" w:eastAsia="宋体" w:cs="宋体"/>
          <w:sz w:val="24"/>
          <w:szCs w:val="24"/>
          <w:highlight w:val="none"/>
          <w:lang w:eastAsia="zh-CN"/>
        </w:rPr>
      </w:pPr>
      <w:r>
        <w:rPr>
          <w:rFonts w:ascii="宋体" w:hAnsi="宋体" w:eastAsia="宋体" w:cs="宋体"/>
          <w:sz w:val="24"/>
          <w:szCs w:val="24"/>
          <w:highlight w:val="none"/>
        </w:rPr>
        <w:t>本公司郑重声明，根据《政府采购促进中小企业发展管理办法》（财库﹝2020﹞46号）的规定，本公司参加陕西省省级单位政府采购中心组织的</w:t>
      </w:r>
      <w:r>
        <w:rPr>
          <w:rFonts w:ascii="宋体" w:hAnsi="宋体" w:eastAsia="宋体" w:cs="宋体"/>
          <w:sz w:val="24"/>
          <w:szCs w:val="24"/>
          <w:highlight w:val="none"/>
          <w:u w:val="single"/>
        </w:rPr>
        <w:t>（项目名称）</w:t>
      </w:r>
      <w:r>
        <w:rPr>
          <w:rFonts w:ascii="宋体" w:hAnsi="宋体" w:eastAsia="宋体" w:cs="宋体"/>
          <w:sz w:val="24"/>
          <w:szCs w:val="24"/>
          <w:highlight w:val="none"/>
        </w:rPr>
        <w:t>采购活动，服务全部由符合政策要求的中小企业承接。相关企业的具体情况如下：</w:t>
      </w:r>
    </w:p>
    <w:p>
      <w:pPr>
        <w:spacing w:line="360" w:lineRule="auto"/>
        <w:ind w:left="0" w:leftChars="0" w:firstLine="638" w:firstLineChars="266"/>
        <w:rPr>
          <w:rFonts w:ascii="宋体" w:hAnsi="宋体" w:eastAsia="宋体" w:cs="宋体"/>
          <w:sz w:val="24"/>
          <w:szCs w:val="24"/>
          <w:highlight w:val="none"/>
        </w:rPr>
      </w:pPr>
      <w:r>
        <w:rPr>
          <w:rFonts w:ascii="宋体" w:hAnsi="宋体" w:eastAsia="宋体" w:cs="宋体"/>
          <w:sz w:val="24"/>
          <w:szCs w:val="24"/>
          <w:highlight w:val="none"/>
          <w:u w:val="single"/>
        </w:rPr>
        <w:t>（项目名称）</w:t>
      </w:r>
      <w:r>
        <w:rPr>
          <w:rFonts w:ascii="宋体" w:hAnsi="宋体" w:eastAsia="宋体" w:cs="宋体"/>
          <w:sz w:val="24"/>
          <w:szCs w:val="24"/>
          <w:highlight w:val="none"/>
        </w:rPr>
        <w:t>，属于</w:t>
      </w:r>
      <w:r>
        <w:rPr>
          <w:rFonts w:hint="eastAsia" w:ascii="宋体" w:hAnsi="宋体" w:eastAsia="宋体" w:cs="宋体"/>
          <w:sz w:val="24"/>
          <w:szCs w:val="24"/>
          <w:highlight w:val="none"/>
          <w:u w:val="single"/>
          <w:lang w:val="en-US" w:eastAsia="zh-CN"/>
        </w:rPr>
        <w:t xml:space="preserve">       </w:t>
      </w:r>
      <w:r>
        <w:rPr>
          <w:rFonts w:ascii="宋体" w:hAnsi="宋体" w:eastAsia="宋体" w:cs="宋体"/>
          <w:sz w:val="24"/>
          <w:szCs w:val="24"/>
          <w:highlight w:val="none"/>
        </w:rPr>
        <w:t>（磋商文件中明确的所属行业）；承接企业为</w:t>
      </w:r>
      <w:r>
        <w:rPr>
          <w:rFonts w:ascii="宋体" w:hAnsi="宋体" w:eastAsia="宋体" w:cs="宋体"/>
          <w:sz w:val="24"/>
          <w:szCs w:val="24"/>
          <w:highlight w:val="none"/>
          <w:u w:val="single"/>
        </w:rPr>
        <w:t>（企业名称）</w:t>
      </w:r>
      <w:r>
        <w:rPr>
          <w:rFonts w:ascii="宋体" w:hAnsi="宋体" w:eastAsia="宋体" w:cs="宋体"/>
          <w:sz w:val="24"/>
          <w:szCs w:val="24"/>
          <w:highlight w:val="none"/>
        </w:rPr>
        <w:t>，从业人员</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u w:val="single"/>
          <w:lang w:val="en-US" w:eastAsia="zh-CN"/>
        </w:rPr>
        <w:t xml:space="preserve">     </w:t>
      </w:r>
      <w:r>
        <w:rPr>
          <w:rFonts w:ascii="宋体" w:hAnsi="宋体" w:eastAsia="宋体" w:cs="宋体"/>
          <w:sz w:val="24"/>
          <w:szCs w:val="24"/>
          <w:highlight w:val="none"/>
        </w:rPr>
        <w:t>人，营业收入为</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u w:val="single"/>
          <w:lang w:val="en-US" w:eastAsia="zh-CN"/>
        </w:rPr>
        <w:t xml:space="preserve">    </w:t>
      </w:r>
      <w:r>
        <w:rPr>
          <w:rFonts w:ascii="宋体" w:hAnsi="宋体" w:eastAsia="宋体" w:cs="宋体"/>
          <w:sz w:val="24"/>
          <w:szCs w:val="24"/>
          <w:highlight w:val="none"/>
        </w:rPr>
        <w:t>万元，资产总额为</w:t>
      </w:r>
      <w:r>
        <w:rPr>
          <w:rFonts w:hint="eastAsia" w:ascii="宋体" w:hAnsi="宋体" w:eastAsia="宋体" w:cs="宋体"/>
          <w:sz w:val="24"/>
          <w:szCs w:val="24"/>
          <w:highlight w:val="none"/>
          <w:u w:val="single"/>
          <w:lang w:val="en-US" w:eastAsia="zh-CN"/>
        </w:rPr>
        <w:t xml:space="preserve">      </w:t>
      </w:r>
      <w:r>
        <w:rPr>
          <w:rFonts w:ascii="宋体" w:hAnsi="宋体" w:eastAsia="宋体" w:cs="宋体"/>
          <w:sz w:val="24"/>
          <w:szCs w:val="24"/>
          <w:highlight w:val="none"/>
        </w:rPr>
        <w:t>万元，属于</w:t>
      </w:r>
      <w:r>
        <w:rPr>
          <w:rFonts w:hint="eastAsia" w:ascii="宋体" w:hAnsi="宋体" w:eastAsia="宋体" w:cs="宋体"/>
          <w:sz w:val="24"/>
          <w:szCs w:val="24"/>
          <w:highlight w:val="none"/>
          <w:u w:val="single"/>
          <w:lang w:val="en-US" w:eastAsia="zh-CN"/>
        </w:rPr>
        <w:t xml:space="preserve">      </w:t>
      </w:r>
      <w:r>
        <w:rPr>
          <w:rFonts w:ascii="宋体" w:hAnsi="宋体" w:eastAsia="宋体" w:cs="宋体"/>
          <w:sz w:val="24"/>
          <w:szCs w:val="24"/>
          <w:highlight w:val="none"/>
        </w:rPr>
        <w:t>（中型企业、小型企业、微型企业）。</w:t>
      </w:r>
    </w:p>
    <w:p>
      <w:pPr>
        <w:spacing w:line="360" w:lineRule="auto"/>
        <w:ind w:left="0" w:leftChars="0" w:firstLine="638" w:firstLineChars="266"/>
        <w:rPr>
          <w:rFonts w:hint="eastAsia" w:ascii="宋体" w:hAnsi="宋体" w:eastAsia="宋体" w:cs="宋体"/>
          <w:sz w:val="24"/>
          <w:szCs w:val="24"/>
          <w:highlight w:val="none"/>
          <w:lang w:eastAsia="zh-CN"/>
        </w:rPr>
      </w:pPr>
      <w:r>
        <w:rPr>
          <w:rFonts w:ascii="宋体" w:hAnsi="宋体" w:eastAsia="宋体" w:cs="宋体"/>
          <w:sz w:val="24"/>
          <w:szCs w:val="24"/>
          <w:highlight w:val="none"/>
        </w:rPr>
        <w:t>以上企业，不属于大企业的分支机构，不存在控股股东为大企业的情形，也不存在与大企业的负责人为同一人的情形。</w:t>
      </w:r>
    </w:p>
    <w:p>
      <w:pPr>
        <w:spacing w:line="360" w:lineRule="auto"/>
        <w:ind w:left="0" w:leftChars="0" w:firstLine="638" w:firstLineChars="266"/>
        <w:rPr>
          <w:rFonts w:hint="eastAsia" w:ascii="宋体" w:hAnsi="宋体" w:eastAsia="宋体" w:cs="宋体"/>
          <w:sz w:val="24"/>
          <w:szCs w:val="24"/>
          <w:highlight w:val="none"/>
          <w:lang w:eastAsia="zh-CN"/>
        </w:rPr>
      </w:pPr>
      <w:r>
        <w:rPr>
          <w:rFonts w:ascii="宋体" w:hAnsi="宋体" w:eastAsia="宋体" w:cs="宋体"/>
          <w:sz w:val="24"/>
          <w:szCs w:val="24"/>
          <w:highlight w:val="none"/>
        </w:rPr>
        <w:t>本企业对上述声明内容的真实性负责。如有虚假，将依法承担相应责任。</w:t>
      </w:r>
    </w:p>
    <w:p>
      <w:pPr>
        <w:spacing w:line="360" w:lineRule="auto"/>
        <w:ind w:left="0" w:leftChars="0" w:firstLine="3991" w:firstLineChars="1663"/>
        <w:rPr>
          <w:rFonts w:ascii="宋体" w:hAnsi="宋体" w:eastAsia="宋体" w:cs="宋体"/>
          <w:sz w:val="24"/>
          <w:szCs w:val="24"/>
          <w:highlight w:val="none"/>
        </w:rPr>
      </w:pPr>
    </w:p>
    <w:p>
      <w:pPr>
        <w:spacing w:line="360" w:lineRule="auto"/>
        <w:ind w:left="0" w:leftChars="0" w:firstLine="3991" w:firstLineChars="1663"/>
        <w:rPr>
          <w:rFonts w:ascii="宋体" w:hAnsi="宋体" w:eastAsia="宋体" w:cs="宋体"/>
          <w:sz w:val="24"/>
          <w:szCs w:val="24"/>
          <w:highlight w:val="none"/>
        </w:rPr>
      </w:pPr>
    </w:p>
    <w:p>
      <w:pPr>
        <w:spacing w:line="360" w:lineRule="auto"/>
        <w:ind w:left="0" w:leftChars="0" w:firstLine="3991" w:firstLineChars="1663"/>
        <w:rPr>
          <w:rFonts w:hint="eastAsia" w:ascii="宋体" w:hAnsi="宋体" w:eastAsia="宋体" w:cs="宋体"/>
          <w:sz w:val="24"/>
          <w:szCs w:val="24"/>
          <w:highlight w:val="none"/>
          <w:lang w:eastAsia="zh-CN"/>
        </w:rPr>
      </w:pPr>
      <w:r>
        <w:rPr>
          <w:rFonts w:ascii="宋体" w:hAnsi="宋体" w:eastAsia="宋体" w:cs="宋体"/>
          <w:sz w:val="24"/>
          <w:szCs w:val="24"/>
          <w:highlight w:val="none"/>
        </w:rPr>
        <w:t>供应商：</w:t>
      </w:r>
      <w:r>
        <w:rPr>
          <w:rFonts w:hint="eastAsia" w:ascii="宋体" w:hAnsi="宋体" w:eastAsia="宋体" w:cs="宋体"/>
          <w:sz w:val="24"/>
          <w:szCs w:val="24"/>
          <w:highlight w:val="none"/>
          <w:u w:val="single"/>
          <w:lang w:val="en-US" w:eastAsia="zh-CN"/>
        </w:rPr>
        <w:t xml:space="preserve">    </w:t>
      </w:r>
      <w:r>
        <w:rPr>
          <w:rFonts w:ascii="宋体" w:hAnsi="宋体" w:eastAsia="宋体" w:cs="宋体"/>
          <w:sz w:val="24"/>
          <w:szCs w:val="24"/>
          <w:highlight w:val="none"/>
          <w:u w:val="single"/>
        </w:rPr>
        <w:t>名称</w:t>
      </w:r>
      <w:r>
        <w:rPr>
          <w:rFonts w:hint="eastAsia" w:ascii="宋体" w:hAnsi="宋体" w:eastAsia="宋体" w:cs="宋体"/>
          <w:sz w:val="24"/>
          <w:szCs w:val="24"/>
          <w:highlight w:val="none"/>
          <w:u w:val="single"/>
          <w:lang w:val="en-US" w:eastAsia="zh-CN"/>
        </w:rPr>
        <w:t xml:space="preserve">    </w:t>
      </w:r>
      <w:r>
        <w:rPr>
          <w:rFonts w:ascii="宋体" w:hAnsi="宋体" w:eastAsia="宋体" w:cs="宋体"/>
          <w:sz w:val="24"/>
          <w:szCs w:val="24"/>
          <w:highlight w:val="none"/>
        </w:rPr>
        <w:t>（加盖公章）</w:t>
      </w:r>
    </w:p>
    <w:p>
      <w:pPr>
        <w:spacing w:line="360" w:lineRule="auto"/>
        <w:ind w:left="0" w:leftChars="0" w:firstLine="4228" w:firstLineChars="1762"/>
        <w:rPr>
          <w:rFonts w:hint="eastAsia" w:asciiTheme="minorEastAsia" w:hAnsiTheme="minorEastAsia" w:eastAsiaTheme="minorEastAsia" w:cstheme="minorEastAsia"/>
          <w:sz w:val="24"/>
          <w:szCs w:val="24"/>
          <w:highlight w:val="none"/>
        </w:rPr>
      </w:pPr>
      <w:r>
        <w:rPr>
          <w:rFonts w:ascii="宋体" w:hAnsi="宋体" w:eastAsia="宋体" w:cs="宋体"/>
          <w:sz w:val="24"/>
          <w:szCs w:val="24"/>
          <w:highlight w:val="none"/>
        </w:rPr>
        <w:t>日期：</w:t>
      </w:r>
      <w:r>
        <w:rPr>
          <w:rFonts w:hint="eastAsia" w:ascii="宋体" w:hAnsi="宋体" w:eastAsia="宋体" w:cs="宋体"/>
          <w:sz w:val="24"/>
          <w:szCs w:val="24"/>
          <w:highlight w:val="none"/>
          <w:u w:val="single"/>
          <w:lang w:val="en-US" w:eastAsia="zh-CN"/>
        </w:rPr>
        <w:t xml:space="preserve">       </w:t>
      </w:r>
      <w:r>
        <w:rPr>
          <w:rFonts w:ascii="宋体" w:hAnsi="宋体" w:eastAsia="宋体" w:cs="宋体"/>
          <w:sz w:val="24"/>
          <w:szCs w:val="24"/>
          <w:highlight w:val="none"/>
        </w:rPr>
        <w:t>年</w:t>
      </w:r>
      <w:r>
        <w:rPr>
          <w:rFonts w:hint="eastAsia" w:ascii="宋体" w:hAnsi="宋体" w:eastAsia="宋体" w:cs="宋体"/>
          <w:sz w:val="24"/>
          <w:szCs w:val="24"/>
          <w:highlight w:val="none"/>
          <w:u w:val="single"/>
          <w:lang w:val="en-US" w:eastAsia="zh-CN"/>
        </w:rPr>
        <w:t xml:space="preserve">    </w:t>
      </w:r>
      <w:r>
        <w:rPr>
          <w:rFonts w:ascii="宋体" w:hAnsi="宋体" w:eastAsia="宋体" w:cs="宋体"/>
          <w:sz w:val="24"/>
          <w:szCs w:val="24"/>
          <w:highlight w:val="none"/>
          <w:u w:val="single"/>
        </w:rPr>
        <w:t xml:space="preserve"> </w:t>
      </w:r>
      <w:r>
        <w:rPr>
          <w:rFonts w:ascii="宋体" w:hAnsi="宋体" w:eastAsia="宋体" w:cs="宋体"/>
          <w:sz w:val="24"/>
          <w:szCs w:val="24"/>
          <w:highlight w:val="none"/>
        </w:rPr>
        <w:t>月</w:t>
      </w:r>
      <w:r>
        <w:rPr>
          <w:rFonts w:hint="eastAsia" w:ascii="宋体" w:hAnsi="宋体" w:eastAsia="宋体" w:cs="宋体"/>
          <w:sz w:val="24"/>
          <w:szCs w:val="24"/>
          <w:highlight w:val="none"/>
          <w:u w:val="single"/>
          <w:lang w:val="en-US" w:eastAsia="zh-CN"/>
        </w:rPr>
        <w:t xml:space="preserve">    </w:t>
      </w:r>
      <w:r>
        <w:rPr>
          <w:rFonts w:ascii="宋体" w:hAnsi="宋体" w:eastAsia="宋体" w:cs="宋体"/>
          <w:sz w:val="24"/>
          <w:szCs w:val="24"/>
          <w:highlight w:val="none"/>
          <w:u w:val="single"/>
        </w:rPr>
        <w:t xml:space="preserve"> </w:t>
      </w:r>
      <w:r>
        <w:rPr>
          <w:rFonts w:ascii="宋体" w:hAnsi="宋体" w:eastAsia="宋体" w:cs="宋体"/>
          <w:sz w:val="24"/>
          <w:szCs w:val="24"/>
          <w:highlight w:val="none"/>
        </w:rPr>
        <w:t>日</w:t>
      </w: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ind w:firstLine="210" w:firstLineChars="100"/>
        <w:rPr>
          <w:rFonts w:ascii="宋体" w:hAnsi="宋体" w:eastAsia="宋体" w:cs="宋体"/>
          <w:sz w:val="21"/>
          <w:szCs w:val="21"/>
          <w:highlight w:val="none"/>
        </w:rPr>
      </w:pPr>
      <w:r>
        <w:rPr>
          <w:rFonts w:ascii="宋体" w:hAnsi="宋体" w:eastAsia="宋体" w:cs="宋体"/>
          <w:sz w:val="21"/>
          <w:szCs w:val="21"/>
          <w:highlight w:val="none"/>
        </w:rPr>
        <w:t>备注：</w:t>
      </w:r>
    </w:p>
    <w:p>
      <w:pPr>
        <w:ind w:firstLine="630" w:firstLineChars="300"/>
        <w:rPr>
          <w:rFonts w:ascii="宋体" w:hAnsi="宋体" w:eastAsia="宋体" w:cs="宋体"/>
          <w:sz w:val="21"/>
          <w:szCs w:val="21"/>
          <w:highlight w:val="none"/>
        </w:rPr>
      </w:pPr>
      <w:r>
        <w:rPr>
          <w:rFonts w:ascii="宋体" w:hAnsi="宋体" w:eastAsia="宋体" w:cs="宋体"/>
          <w:sz w:val="21"/>
          <w:szCs w:val="21"/>
          <w:highlight w:val="none"/>
        </w:rPr>
        <w:t xml:space="preserve">1、填写前请认真阅读《工业和信息化部、国家统计局、国家发展和改革委员会、财政部关于 印发中小企业划型标准规定的通知》（工信部联企业[2011]300号）和财政部、工业和信息化部关 于印发《政府采购促进中小企业发展管理办法》的通知(财库[2020]46号)相关规定。 </w:t>
      </w:r>
    </w:p>
    <w:p>
      <w:pPr>
        <w:numPr>
          <w:ilvl w:val="0"/>
          <w:numId w:val="0"/>
        </w:numPr>
        <w:ind w:firstLine="630" w:firstLineChars="300"/>
        <w:rPr>
          <w:rFonts w:ascii="宋体" w:hAnsi="宋体" w:eastAsia="宋体" w:cs="宋体"/>
          <w:sz w:val="21"/>
          <w:szCs w:val="21"/>
          <w:highlight w:val="none"/>
        </w:rPr>
      </w:pPr>
      <w:r>
        <w:rPr>
          <w:rFonts w:hint="eastAsia" w:ascii="宋体" w:hAnsi="宋体" w:eastAsia="宋体" w:cs="宋体"/>
          <w:sz w:val="21"/>
          <w:szCs w:val="21"/>
          <w:highlight w:val="none"/>
          <w:lang w:val="en-US" w:eastAsia="zh-CN"/>
        </w:rPr>
        <w:t>2、</w:t>
      </w:r>
      <w:r>
        <w:rPr>
          <w:rFonts w:ascii="宋体" w:hAnsi="宋体" w:eastAsia="宋体" w:cs="宋体"/>
          <w:sz w:val="21"/>
          <w:szCs w:val="21"/>
          <w:highlight w:val="none"/>
        </w:rPr>
        <w:t xml:space="preserve">从业人员、营业收入、资产总额填报上一年度数据，无上一年度数据的新成立企业可不填 报。 </w:t>
      </w:r>
    </w:p>
    <w:p>
      <w:pPr>
        <w:numPr>
          <w:ilvl w:val="0"/>
          <w:numId w:val="0"/>
        </w:numPr>
        <w:ind w:firstLine="630" w:firstLineChars="300"/>
        <w:rPr>
          <w:rFonts w:hint="eastAsia" w:asciiTheme="minorEastAsia" w:hAnsiTheme="minorEastAsia" w:eastAsiaTheme="minorEastAsia" w:cstheme="minorEastAsia"/>
          <w:sz w:val="21"/>
          <w:szCs w:val="21"/>
          <w:highlight w:val="none"/>
        </w:rPr>
      </w:pPr>
      <w:r>
        <w:rPr>
          <w:rFonts w:ascii="宋体" w:hAnsi="宋体" w:eastAsia="宋体" w:cs="宋体"/>
          <w:sz w:val="21"/>
          <w:szCs w:val="21"/>
          <w:highlight w:val="none"/>
        </w:rPr>
        <w:t>3、根据《工业和信息化部、国家统计局、国家发展和改革委员会、财政部关于印发中小企业 划型标准规定的通知》（工信部联企业[2011]300号），本项目所属行业中小企业划型标准具体如 下：物业管理。从业人员1000人以下或营业收入5000万元以下的为中小微型企业。其中，从业人 员300 人及以上，且营业收入1000万元及以上的为中型企业；从业人员100人及以上，且营业收 入500 万元及以上的为小型企业；从业人员100人以下或营业收入500万元以下的为微型企业。</w:t>
      </w: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jc w:val="center"/>
        <w:outlineLvl w:val="9"/>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关于监狱企业的证明文件</w:t>
      </w:r>
    </w:p>
    <w:p>
      <w:pPr>
        <w:spacing w:line="360" w:lineRule="auto"/>
        <w:ind w:left="0" w:leftChars="0" w:firstLine="638" w:firstLineChars="266"/>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spacing w:line="360" w:lineRule="auto"/>
        <w:ind w:left="0" w:leftChars="0" w:firstLine="638" w:firstLineChars="266"/>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监狱企业参加政府采购活动时，应当提供由省级以上监狱管理局、戒毒管理局（含新疆生产建设兵团）出具的属于监狱企业的证明文件。</w:t>
      </w: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jc w:val="center"/>
        <w:outlineLvl w:val="9"/>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残疾人福利性单位声明函（格式）</w:t>
      </w:r>
    </w:p>
    <w:p>
      <w:pPr>
        <w:spacing w:line="360" w:lineRule="auto"/>
        <w:ind w:left="0" w:leftChars="0" w:firstLine="420" w:firstLineChars="175"/>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本单位郑重声明，根据《财政部民政部中国残疾人联合会关于促进残疾人就业政府采购政策的通知》（财库〔2017〕141号）的规定，本单位为符合条件的残疾人福利性单位，且本单位参加</w:t>
      </w:r>
      <w:r>
        <w:rPr>
          <w:rFonts w:hint="eastAsia" w:asciiTheme="minorEastAsia" w:hAnsiTheme="minorEastAsia" w:eastAsiaTheme="minorEastAsia" w:cstheme="minorEastAsia"/>
          <w:sz w:val="24"/>
          <w:szCs w:val="24"/>
          <w:highlight w:val="none"/>
          <w:u w:val="single"/>
        </w:rPr>
        <w:t>（项目名称）</w:t>
      </w:r>
      <w:r>
        <w:rPr>
          <w:rFonts w:hint="eastAsia" w:asciiTheme="minorEastAsia" w:hAnsiTheme="minorEastAsia" w:eastAsiaTheme="minorEastAsia" w:cstheme="minorEastAsia"/>
          <w:sz w:val="24"/>
          <w:szCs w:val="24"/>
          <w:highlight w:val="none"/>
        </w:rPr>
        <w:t>（项目编号：</w:t>
      </w:r>
      <w:r>
        <w:rPr>
          <w:rFonts w:hint="eastAsia" w:asciiTheme="minorEastAsia" w:hAnsi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rPr>
        <w:t>）采购活动提供本单位制造的货物（由本单位承担工程/提供服务），或者提供其他残疾人福利性单位制造的货物（不包括使用非残疾人福利性单位注册商标的货物）。</w:t>
      </w:r>
    </w:p>
    <w:p>
      <w:pPr>
        <w:spacing w:line="360" w:lineRule="auto"/>
        <w:ind w:left="0" w:leftChars="0" w:firstLine="420" w:firstLineChars="175"/>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本单位对上述声明的真实性负责。如有虚假，将依法承担相应责任。</w:t>
      </w:r>
    </w:p>
    <w:p>
      <w:pPr>
        <w:spacing w:line="360" w:lineRule="auto"/>
        <w:ind w:left="0" w:leftChars="0" w:firstLine="4500" w:firstLineChars="1875"/>
        <w:rPr>
          <w:rFonts w:hint="eastAsia" w:asciiTheme="minorEastAsia" w:hAnsiTheme="minorEastAsia" w:eastAsiaTheme="minorEastAsia" w:cstheme="minorEastAsia"/>
          <w:sz w:val="24"/>
          <w:szCs w:val="24"/>
          <w:highlight w:val="none"/>
        </w:rPr>
      </w:pPr>
    </w:p>
    <w:p>
      <w:pPr>
        <w:spacing w:line="360" w:lineRule="auto"/>
        <w:ind w:left="0" w:leftChars="0" w:firstLine="4500" w:firstLineChars="1875"/>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供应商：</w:t>
      </w:r>
      <w:r>
        <w:rPr>
          <w:rFonts w:hint="eastAsia" w:asciiTheme="minorEastAsia" w:hAnsi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u w:val="single"/>
        </w:rPr>
        <w:t>名称</w:t>
      </w:r>
      <w:r>
        <w:rPr>
          <w:rFonts w:hint="eastAsia" w:asciiTheme="minorEastAsia" w:hAnsi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rPr>
        <w:t>（加盖公章）</w:t>
      </w:r>
    </w:p>
    <w:p>
      <w:pPr>
        <w:spacing w:line="360" w:lineRule="auto"/>
        <w:ind w:left="0" w:leftChars="0" w:firstLine="4740" w:firstLineChars="1975"/>
        <w:rPr>
          <w:rFonts w:hint="eastAsia" w:asciiTheme="minorEastAsia" w:hAnsiTheme="minorEastAsia" w:eastAsiaTheme="minorEastAsia" w:cstheme="minorEastAsia"/>
          <w:sz w:val="24"/>
          <w:szCs w:val="24"/>
          <w:highlight w:val="none"/>
        </w:rPr>
      </w:pPr>
    </w:p>
    <w:p>
      <w:pPr>
        <w:spacing w:line="360" w:lineRule="auto"/>
        <w:ind w:left="0" w:leftChars="0" w:firstLine="4740" w:firstLineChars="1975"/>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日期：</w:t>
      </w:r>
      <w:r>
        <w:rPr>
          <w:rFonts w:hint="eastAsia" w:asciiTheme="minorEastAsia" w:hAnsi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rPr>
        <w:t>年</w:t>
      </w:r>
      <w:r>
        <w:rPr>
          <w:rFonts w:hint="eastAsia" w:asciiTheme="minorEastAsia" w:hAnsi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rPr>
        <w:t>月</w:t>
      </w:r>
      <w:r>
        <w:rPr>
          <w:rFonts w:hint="eastAsia" w:asciiTheme="minorEastAsia" w:hAnsi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rPr>
        <w:t>日</w:t>
      </w: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1"/>
          <w:szCs w:val="21"/>
          <w:highlight w:val="none"/>
        </w:rPr>
      </w:pPr>
    </w:p>
    <w:p>
      <w:pPr>
        <w:ind w:left="0" w:leftChars="0" w:firstLine="315" w:firstLineChars="175"/>
        <w:rPr>
          <w:rFonts w:hint="eastAsia" w:asciiTheme="minorEastAsia" w:hAnsiTheme="minorEastAsia" w:eastAsiaTheme="minorEastAsia" w:cstheme="minorEastAsia"/>
          <w:sz w:val="18"/>
          <w:szCs w:val="18"/>
          <w:highlight w:val="none"/>
        </w:rPr>
      </w:pPr>
      <w:r>
        <w:rPr>
          <w:rFonts w:hint="eastAsia" w:asciiTheme="minorEastAsia" w:hAnsiTheme="minorEastAsia" w:eastAsiaTheme="minorEastAsia" w:cstheme="minorEastAsia"/>
          <w:sz w:val="18"/>
          <w:szCs w:val="18"/>
          <w:highlight w:val="none"/>
        </w:rPr>
        <w:t>备注：供应商非残疾人福利性单位不用填写此表。</w:t>
      </w:r>
    </w:p>
    <w:p>
      <w:pPr>
        <w:ind w:left="0" w:leftChars="0" w:firstLine="315" w:firstLineChars="175"/>
        <w:rPr>
          <w:rFonts w:hint="eastAsia" w:asciiTheme="minorEastAsia" w:hAnsiTheme="minorEastAsia" w:eastAsiaTheme="minorEastAsia" w:cstheme="minorEastAsia"/>
          <w:sz w:val="18"/>
          <w:szCs w:val="18"/>
          <w:highlight w:val="none"/>
        </w:rPr>
      </w:pPr>
      <w:r>
        <w:rPr>
          <w:rFonts w:hint="eastAsia" w:asciiTheme="minorEastAsia" w:hAnsiTheme="minorEastAsia" w:eastAsiaTheme="minorEastAsia" w:cstheme="minorEastAsia"/>
          <w:sz w:val="18"/>
          <w:szCs w:val="18"/>
          <w:highlight w:val="none"/>
        </w:rPr>
        <w:t>项目不分标段的，第___标段空白处填写“/”。</w:t>
      </w:r>
    </w:p>
    <w:p>
      <w:pPr>
        <w:ind w:left="0" w:leftChars="0" w:firstLine="315" w:firstLineChars="175"/>
        <w:rPr>
          <w:rFonts w:hint="eastAsia" w:asciiTheme="minorEastAsia" w:hAnsiTheme="minorEastAsia" w:eastAsiaTheme="minorEastAsia" w:cstheme="minorEastAsia"/>
          <w:sz w:val="18"/>
          <w:szCs w:val="18"/>
          <w:highlight w:val="none"/>
        </w:rPr>
      </w:pPr>
      <w:r>
        <w:rPr>
          <w:rFonts w:hint="eastAsia" w:asciiTheme="minorEastAsia" w:hAnsiTheme="minorEastAsia" w:eastAsiaTheme="minorEastAsia" w:cstheme="minorEastAsia"/>
          <w:sz w:val="18"/>
          <w:szCs w:val="18"/>
          <w:highlight w:val="none"/>
        </w:rPr>
        <w:t>根据《财政部民政部中国残疾人联合会关于促进残疾人就业政府采购政策的通知》（财库〔2017〕141号）的规定：</w:t>
      </w:r>
    </w:p>
    <w:p>
      <w:pPr>
        <w:ind w:left="0" w:leftChars="0" w:firstLine="315" w:firstLineChars="175"/>
        <w:rPr>
          <w:rFonts w:hint="eastAsia" w:asciiTheme="minorEastAsia" w:hAnsiTheme="minorEastAsia" w:eastAsiaTheme="minorEastAsia" w:cstheme="minorEastAsia"/>
          <w:sz w:val="18"/>
          <w:szCs w:val="18"/>
          <w:highlight w:val="none"/>
        </w:rPr>
      </w:pPr>
      <w:r>
        <w:rPr>
          <w:rFonts w:hint="eastAsia" w:asciiTheme="minorEastAsia" w:hAnsiTheme="minorEastAsia" w:eastAsiaTheme="minorEastAsia" w:cstheme="minorEastAsia"/>
          <w:sz w:val="18"/>
          <w:szCs w:val="18"/>
          <w:highlight w:val="none"/>
        </w:rPr>
        <w:t>一、享受政府采购支持政策的残疾人福利性单位应当同时满足以下条件：</w:t>
      </w:r>
    </w:p>
    <w:p>
      <w:pPr>
        <w:ind w:left="0" w:leftChars="0" w:firstLine="315" w:firstLineChars="175"/>
        <w:rPr>
          <w:rFonts w:hint="eastAsia" w:asciiTheme="minorEastAsia" w:hAnsiTheme="minorEastAsia" w:eastAsiaTheme="minorEastAsia" w:cstheme="minorEastAsia"/>
          <w:sz w:val="18"/>
          <w:szCs w:val="18"/>
          <w:highlight w:val="none"/>
        </w:rPr>
      </w:pPr>
      <w:r>
        <w:rPr>
          <w:rFonts w:hint="eastAsia" w:asciiTheme="minorEastAsia" w:hAnsiTheme="minorEastAsia" w:eastAsiaTheme="minorEastAsia" w:cstheme="minorEastAsia"/>
          <w:sz w:val="18"/>
          <w:szCs w:val="18"/>
          <w:highlight w:val="none"/>
        </w:rPr>
        <w:t>（一）安置的残疾人占本单位在职职工人数的比例不低于25%（含25%），并且安置的残疾人人数不少于10人（含10人）；</w:t>
      </w:r>
    </w:p>
    <w:p>
      <w:pPr>
        <w:ind w:left="0" w:leftChars="0" w:firstLine="315" w:firstLineChars="175"/>
        <w:rPr>
          <w:rFonts w:hint="eastAsia" w:asciiTheme="minorEastAsia" w:hAnsiTheme="minorEastAsia" w:eastAsiaTheme="minorEastAsia" w:cstheme="minorEastAsia"/>
          <w:sz w:val="18"/>
          <w:szCs w:val="18"/>
          <w:highlight w:val="none"/>
        </w:rPr>
      </w:pPr>
      <w:r>
        <w:rPr>
          <w:rFonts w:hint="eastAsia" w:asciiTheme="minorEastAsia" w:hAnsiTheme="minorEastAsia" w:eastAsiaTheme="minorEastAsia" w:cstheme="minorEastAsia"/>
          <w:sz w:val="18"/>
          <w:szCs w:val="18"/>
          <w:highlight w:val="none"/>
        </w:rPr>
        <w:t>（二）依法与安置的每位残疾人签订了一年以上（含一年）的劳动合同或服务协议；</w:t>
      </w:r>
    </w:p>
    <w:p>
      <w:pPr>
        <w:ind w:left="0" w:leftChars="0" w:firstLine="315" w:firstLineChars="175"/>
        <w:rPr>
          <w:rFonts w:hint="eastAsia" w:asciiTheme="minorEastAsia" w:hAnsiTheme="minorEastAsia" w:eastAsiaTheme="minorEastAsia" w:cstheme="minorEastAsia"/>
          <w:sz w:val="18"/>
          <w:szCs w:val="18"/>
          <w:highlight w:val="none"/>
        </w:rPr>
      </w:pPr>
      <w:r>
        <w:rPr>
          <w:rFonts w:hint="eastAsia" w:asciiTheme="minorEastAsia" w:hAnsiTheme="minorEastAsia" w:eastAsiaTheme="minorEastAsia" w:cstheme="minorEastAsia"/>
          <w:sz w:val="18"/>
          <w:szCs w:val="18"/>
          <w:highlight w:val="none"/>
        </w:rPr>
        <w:t>（三）为安置的每位残疾人按月足额缴纳了基本养老保险、基本医疗保险、失业保险、工伤保险和生育保险等社会保险费；</w:t>
      </w:r>
    </w:p>
    <w:p>
      <w:pPr>
        <w:ind w:left="0" w:leftChars="0" w:firstLine="315" w:firstLineChars="175"/>
        <w:rPr>
          <w:rFonts w:hint="eastAsia" w:asciiTheme="minorEastAsia" w:hAnsiTheme="minorEastAsia" w:eastAsiaTheme="minorEastAsia" w:cstheme="minorEastAsia"/>
          <w:sz w:val="18"/>
          <w:szCs w:val="18"/>
          <w:highlight w:val="none"/>
        </w:rPr>
      </w:pPr>
      <w:r>
        <w:rPr>
          <w:rFonts w:hint="eastAsia" w:asciiTheme="minorEastAsia" w:hAnsiTheme="minorEastAsia" w:eastAsiaTheme="minorEastAsia" w:cstheme="minorEastAsia"/>
          <w:sz w:val="18"/>
          <w:szCs w:val="18"/>
          <w:highlight w:val="none"/>
        </w:rPr>
        <w:t>（四）通过银行等金融机构向安置的每位残疾人，按月支付了不低于单位所在区县适用的经省级人民政府批准的月最低工资标准的工资；</w:t>
      </w:r>
    </w:p>
    <w:p>
      <w:pPr>
        <w:ind w:left="0" w:leftChars="0" w:firstLine="315" w:firstLineChars="175"/>
        <w:rPr>
          <w:rFonts w:hint="eastAsia" w:asciiTheme="minorEastAsia" w:hAnsiTheme="minorEastAsia" w:eastAsiaTheme="minorEastAsia" w:cstheme="minorEastAsia"/>
          <w:sz w:val="18"/>
          <w:szCs w:val="18"/>
          <w:highlight w:val="none"/>
        </w:rPr>
      </w:pPr>
      <w:r>
        <w:rPr>
          <w:rFonts w:hint="eastAsia" w:asciiTheme="minorEastAsia" w:hAnsiTheme="minorEastAsia" w:eastAsiaTheme="minorEastAsia" w:cstheme="minorEastAsia"/>
          <w:sz w:val="18"/>
          <w:szCs w:val="18"/>
          <w:highlight w:val="none"/>
        </w:rPr>
        <w:t>（五）提供本单位制造的货物、承担的工程或者服务（以下简称产品），或者提供其他残疾人福利性单位制造的货物（不包括使用非残疾人福利性单位注册商标的货物）。</w:t>
      </w:r>
    </w:p>
    <w:p>
      <w:pPr>
        <w:ind w:left="0" w:leftChars="0" w:firstLine="315" w:firstLineChars="175"/>
        <w:rPr>
          <w:rFonts w:hint="eastAsia" w:asciiTheme="minorEastAsia" w:hAnsiTheme="minorEastAsia" w:eastAsiaTheme="minorEastAsia" w:cstheme="minorEastAsia"/>
          <w:sz w:val="18"/>
          <w:szCs w:val="18"/>
          <w:highlight w:val="none"/>
        </w:rPr>
      </w:pPr>
      <w:r>
        <w:rPr>
          <w:rFonts w:hint="eastAsia" w:asciiTheme="minorEastAsia" w:hAnsiTheme="minorEastAsia" w:eastAsiaTheme="minorEastAsia" w:cstheme="minorEastAsia"/>
          <w:sz w:val="18"/>
          <w:szCs w:val="18"/>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ind w:left="0" w:leftChars="0" w:firstLine="315" w:firstLineChars="175"/>
        <w:rPr>
          <w:rFonts w:hint="eastAsia" w:asciiTheme="minorEastAsia" w:hAnsiTheme="minorEastAsia" w:cstheme="minorEastAsia"/>
          <w:sz w:val="18"/>
          <w:szCs w:val="18"/>
          <w:highlight w:val="none"/>
          <w:lang w:val="en-US" w:eastAsia="zh-CN"/>
        </w:rPr>
      </w:pPr>
      <w:r>
        <w:rPr>
          <w:rFonts w:hint="eastAsia" w:asciiTheme="minorEastAsia" w:hAnsiTheme="minorEastAsia" w:eastAsiaTheme="minorEastAsia" w:cstheme="minorEastAsia"/>
          <w:sz w:val="18"/>
          <w:szCs w:val="18"/>
          <w:highlight w:val="none"/>
        </w:rPr>
        <w:t>二、成交供应商为残疾人福利性单位的，采购人或者其委托的采购代理机构应当随成交结果同时公告其《残疾人福利性单位声明函》，接受社会监督</w:t>
      </w:r>
      <w:r>
        <w:rPr>
          <w:rFonts w:hint="eastAsia" w:asciiTheme="minorEastAsia" w:hAnsiTheme="minorEastAsia" w:cstheme="minorEastAsia"/>
          <w:sz w:val="18"/>
          <w:szCs w:val="18"/>
          <w:highlight w:val="none"/>
          <w:lang w:val="en-US" w:eastAsia="zh-CN"/>
        </w:rPr>
        <w:t>。</w:t>
      </w: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shd w:val="clear"/>
        <w:spacing w:line="360" w:lineRule="auto"/>
        <w:ind w:left="0" w:leftChars="0" w:firstLine="422" w:firstLineChars="175"/>
        <w:jc w:val="lef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（二）供应商概况</w:t>
      </w:r>
    </w:p>
    <w:p>
      <w:pPr>
        <w:spacing w:line="360" w:lineRule="auto"/>
        <w:ind w:left="0" w:leftChars="0" w:firstLine="420" w:firstLineChars="175"/>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包括但不限于成立时间、经营范围、股权变更、总公司分公司分布及经营状况、管理制度、人员配备、用户评价、正在实施的项目，评优获奖情况，以及供应商认为有利于中标的其他情况说明。</w:t>
      </w: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shd w:val="clear"/>
        <w:spacing w:line="360" w:lineRule="auto"/>
        <w:ind w:left="0" w:leftChars="0" w:firstLine="422" w:firstLineChars="175"/>
        <w:jc w:val="left"/>
        <w:outlineLvl w:val="9"/>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二、响应方案</w:t>
      </w:r>
    </w:p>
    <w:p>
      <w:pPr>
        <w:shd w:val="clear"/>
        <w:spacing w:line="360" w:lineRule="auto"/>
        <w:ind w:left="0" w:leftChars="0" w:firstLine="420" w:firstLineChars="175"/>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参照磋商文件第二章第八项《组织评审》各条款的要求，结合第三章《磋商内容及采购要求》编制响应方案。</w:t>
      </w: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rPr>
          <w:rFonts w:hint="eastAsia" w:asciiTheme="minorEastAsia" w:hAnsiTheme="minorEastAsia" w:eastAsiaTheme="minorEastAsia" w:cstheme="minorEastAsia"/>
          <w:sz w:val="24"/>
          <w:szCs w:val="24"/>
          <w:highlight w:val="none"/>
        </w:rPr>
      </w:pPr>
    </w:p>
    <w:p>
      <w:pPr>
        <w:shd w:val="clear"/>
        <w:spacing w:line="360" w:lineRule="auto"/>
        <w:ind w:left="0" w:leftChars="0" w:firstLine="422" w:firstLineChars="175"/>
        <w:jc w:val="left"/>
        <w:outlineLvl w:val="9"/>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三、参考样表</w:t>
      </w:r>
    </w:p>
    <w:p>
      <w:pPr>
        <w:jc w:val="center"/>
        <w:outlineLvl w:val="9"/>
        <w:rPr>
          <w:rFonts w:hint="eastAsia" w:asciiTheme="minorEastAsia" w:hAnsiTheme="minorEastAsia" w:eastAsiaTheme="minorEastAsia" w:cstheme="minorEastAsia"/>
          <w:b/>
          <w:bCs/>
          <w:sz w:val="21"/>
          <w:szCs w:val="21"/>
          <w:highlight w:val="none"/>
        </w:rPr>
      </w:pPr>
      <w:bookmarkStart w:id="17" w:name="_Toc7351"/>
      <w:r>
        <w:rPr>
          <w:rFonts w:hint="eastAsia" w:asciiTheme="minorEastAsia" w:hAnsiTheme="minorEastAsia" w:eastAsiaTheme="minorEastAsia" w:cstheme="minorEastAsia"/>
          <w:b/>
          <w:bCs/>
          <w:sz w:val="21"/>
          <w:szCs w:val="21"/>
          <w:highlight w:val="none"/>
        </w:rPr>
        <w:t>业绩合同样表（仅供参考）</w:t>
      </w:r>
      <w:bookmarkEnd w:id="17"/>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2"/>
        <w:gridCol w:w="2526"/>
        <w:gridCol w:w="1699"/>
        <w:gridCol w:w="1700"/>
        <w:gridCol w:w="1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872" w:type="dxa"/>
            <w:vAlign w:val="center"/>
          </w:tcPr>
          <w:p>
            <w:pPr>
              <w:jc w:val="center"/>
              <w:rPr>
                <w:rFonts w:hint="eastAsia" w:asciiTheme="minorEastAsia" w:hAnsiTheme="minorEastAsia" w:eastAsiaTheme="minorEastAsia" w:cstheme="minorEastAsia"/>
                <w:b/>
                <w:bCs/>
                <w:sz w:val="21"/>
                <w:szCs w:val="21"/>
                <w:highlight w:val="none"/>
                <w:vertAlign w:val="baseline"/>
              </w:rPr>
            </w:pPr>
            <w:r>
              <w:rPr>
                <w:rFonts w:hint="eastAsia" w:asciiTheme="minorEastAsia" w:hAnsiTheme="minorEastAsia" w:eastAsiaTheme="minorEastAsia" w:cstheme="minorEastAsia"/>
                <w:b/>
                <w:bCs/>
                <w:sz w:val="21"/>
                <w:szCs w:val="21"/>
                <w:highlight w:val="none"/>
              </w:rPr>
              <w:t>序号</w:t>
            </w:r>
          </w:p>
        </w:tc>
        <w:tc>
          <w:tcPr>
            <w:tcW w:w="2526" w:type="dxa"/>
            <w:vAlign w:val="center"/>
          </w:tcPr>
          <w:p>
            <w:pPr>
              <w:jc w:val="center"/>
              <w:rPr>
                <w:rFonts w:hint="eastAsia" w:asciiTheme="minorEastAsia" w:hAnsiTheme="minorEastAsia" w:eastAsiaTheme="minorEastAsia" w:cstheme="minorEastAsia"/>
                <w:b/>
                <w:bCs/>
                <w:sz w:val="21"/>
                <w:szCs w:val="21"/>
                <w:highlight w:val="none"/>
                <w:vertAlign w:val="baseline"/>
              </w:rPr>
            </w:pPr>
            <w:r>
              <w:rPr>
                <w:rFonts w:hint="eastAsia" w:asciiTheme="minorEastAsia" w:hAnsiTheme="minorEastAsia" w:eastAsiaTheme="minorEastAsia" w:cstheme="minorEastAsia"/>
                <w:b/>
                <w:bCs/>
                <w:sz w:val="21"/>
                <w:szCs w:val="21"/>
                <w:highlight w:val="none"/>
              </w:rPr>
              <w:t>采购单位名称</w:t>
            </w:r>
          </w:p>
        </w:tc>
        <w:tc>
          <w:tcPr>
            <w:tcW w:w="1699" w:type="dxa"/>
            <w:vAlign w:val="center"/>
          </w:tcPr>
          <w:p>
            <w:pPr>
              <w:jc w:val="center"/>
              <w:rPr>
                <w:rFonts w:hint="eastAsia" w:asciiTheme="minorEastAsia" w:hAnsiTheme="minorEastAsia" w:eastAsiaTheme="minorEastAsia" w:cstheme="minorEastAsia"/>
                <w:b/>
                <w:bCs/>
                <w:sz w:val="21"/>
                <w:szCs w:val="21"/>
                <w:highlight w:val="none"/>
                <w:vertAlign w:val="baseline"/>
              </w:rPr>
            </w:pPr>
            <w:r>
              <w:rPr>
                <w:rFonts w:hint="eastAsia" w:asciiTheme="minorEastAsia" w:hAnsiTheme="minorEastAsia" w:eastAsiaTheme="minorEastAsia" w:cstheme="minorEastAsia"/>
                <w:b/>
                <w:bCs/>
                <w:sz w:val="21"/>
                <w:szCs w:val="21"/>
                <w:highlight w:val="none"/>
              </w:rPr>
              <w:t>合同名称</w:t>
            </w:r>
          </w:p>
        </w:tc>
        <w:tc>
          <w:tcPr>
            <w:tcW w:w="1700" w:type="dxa"/>
            <w:vAlign w:val="center"/>
          </w:tcPr>
          <w:p>
            <w:pPr>
              <w:jc w:val="center"/>
              <w:rPr>
                <w:rFonts w:hint="eastAsia" w:asciiTheme="minorEastAsia" w:hAnsiTheme="minorEastAsia" w:eastAsiaTheme="minorEastAsia" w:cstheme="minorEastAsia"/>
                <w:b/>
                <w:bCs/>
                <w:sz w:val="21"/>
                <w:szCs w:val="21"/>
                <w:highlight w:val="none"/>
                <w:vertAlign w:val="baseline"/>
              </w:rPr>
            </w:pPr>
            <w:r>
              <w:rPr>
                <w:rFonts w:hint="eastAsia" w:asciiTheme="minorEastAsia" w:hAnsiTheme="minorEastAsia" w:eastAsiaTheme="minorEastAsia" w:cstheme="minorEastAsia"/>
                <w:b/>
                <w:bCs/>
                <w:sz w:val="21"/>
                <w:szCs w:val="21"/>
                <w:highlight w:val="none"/>
              </w:rPr>
              <w:t>合同起止时间</w:t>
            </w:r>
          </w:p>
        </w:tc>
        <w:tc>
          <w:tcPr>
            <w:tcW w:w="1700" w:type="dxa"/>
            <w:vAlign w:val="center"/>
          </w:tcPr>
          <w:p>
            <w:pPr>
              <w:jc w:val="center"/>
              <w:rPr>
                <w:rFonts w:hint="eastAsia" w:asciiTheme="minorEastAsia" w:hAnsiTheme="minorEastAsia" w:eastAsiaTheme="minorEastAsia" w:cstheme="minorEastAsia"/>
                <w:b/>
                <w:bCs/>
                <w:sz w:val="21"/>
                <w:szCs w:val="21"/>
                <w:highlight w:val="none"/>
                <w:vertAlign w:val="baseline"/>
              </w:rPr>
            </w:pPr>
            <w:r>
              <w:rPr>
                <w:rFonts w:hint="eastAsia" w:asciiTheme="minorEastAsia" w:hAnsiTheme="minorEastAsia" w:eastAsiaTheme="minorEastAsia" w:cstheme="minorEastAsia"/>
                <w:b/>
                <w:bCs/>
                <w:sz w:val="21"/>
                <w:szCs w:val="21"/>
                <w:highlight w:val="none"/>
              </w:rPr>
              <w:t>合同金额（万元）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872" w:type="dxa"/>
          </w:tcPr>
          <w:p>
            <w:pPr>
              <w:rPr>
                <w:rFonts w:hint="eastAsia" w:asciiTheme="minorEastAsia" w:hAnsiTheme="minorEastAsia" w:eastAsiaTheme="minorEastAsia" w:cstheme="minorEastAsia"/>
                <w:sz w:val="24"/>
                <w:szCs w:val="24"/>
                <w:highlight w:val="none"/>
                <w:vertAlign w:val="baseline"/>
              </w:rPr>
            </w:pPr>
          </w:p>
        </w:tc>
        <w:tc>
          <w:tcPr>
            <w:tcW w:w="2526" w:type="dxa"/>
          </w:tcPr>
          <w:p>
            <w:pPr>
              <w:rPr>
                <w:rFonts w:hint="eastAsia" w:asciiTheme="minorEastAsia" w:hAnsiTheme="minorEastAsia" w:eastAsiaTheme="minorEastAsia" w:cstheme="minorEastAsia"/>
                <w:sz w:val="24"/>
                <w:szCs w:val="24"/>
                <w:highlight w:val="none"/>
                <w:vertAlign w:val="baseline"/>
              </w:rPr>
            </w:pPr>
          </w:p>
        </w:tc>
        <w:tc>
          <w:tcPr>
            <w:tcW w:w="1699" w:type="dxa"/>
          </w:tcPr>
          <w:p>
            <w:pPr>
              <w:rPr>
                <w:rFonts w:hint="eastAsia" w:asciiTheme="minorEastAsia" w:hAnsiTheme="minorEastAsia" w:eastAsiaTheme="minorEastAsia" w:cstheme="minorEastAsia"/>
                <w:sz w:val="24"/>
                <w:szCs w:val="24"/>
                <w:highlight w:val="none"/>
                <w:vertAlign w:val="baseline"/>
              </w:rPr>
            </w:pPr>
          </w:p>
        </w:tc>
        <w:tc>
          <w:tcPr>
            <w:tcW w:w="1700" w:type="dxa"/>
          </w:tcPr>
          <w:p>
            <w:pPr>
              <w:rPr>
                <w:rFonts w:hint="eastAsia" w:asciiTheme="minorEastAsia" w:hAnsiTheme="minorEastAsia" w:eastAsiaTheme="minorEastAsia" w:cstheme="minorEastAsia"/>
                <w:sz w:val="24"/>
                <w:szCs w:val="24"/>
                <w:highlight w:val="none"/>
                <w:vertAlign w:val="baseline"/>
              </w:rPr>
            </w:pPr>
          </w:p>
        </w:tc>
        <w:tc>
          <w:tcPr>
            <w:tcW w:w="1700" w:type="dxa"/>
          </w:tcPr>
          <w:p>
            <w:pPr>
              <w:rPr>
                <w:rFonts w:hint="eastAsia" w:asciiTheme="minorEastAsia" w:hAnsiTheme="minorEastAsia" w:eastAsiaTheme="minorEastAsia" w:cstheme="minorEastAsia"/>
                <w:sz w:val="24"/>
                <w:szCs w:val="24"/>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872" w:type="dxa"/>
          </w:tcPr>
          <w:p>
            <w:pPr>
              <w:rPr>
                <w:rFonts w:hint="eastAsia" w:asciiTheme="minorEastAsia" w:hAnsiTheme="minorEastAsia" w:eastAsiaTheme="minorEastAsia" w:cstheme="minorEastAsia"/>
                <w:sz w:val="24"/>
                <w:szCs w:val="24"/>
                <w:highlight w:val="none"/>
                <w:vertAlign w:val="baseline"/>
              </w:rPr>
            </w:pPr>
          </w:p>
        </w:tc>
        <w:tc>
          <w:tcPr>
            <w:tcW w:w="2526" w:type="dxa"/>
          </w:tcPr>
          <w:p>
            <w:pPr>
              <w:rPr>
                <w:rFonts w:hint="eastAsia" w:asciiTheme="minorEastAsia" w:hAnsiTheme="minorEastAsia" w:eastAsiaTheme="minorEastAsia" w:cstheme="minorEastAsia"/>
                <w:sz w:val="24"/>
                <w:szCs w:val="24"/>
                <w:highlight w:val="none"/>
                <w:vertAlign w:val="baseline"/>
              </w:rPr>
            </w:pPr>
          </w:p>
        </w:tc>
        <w:tc>
          <w:tcPr>
            <w:tcW w:w="1699" w:type="dxa"/>
          </w:tcPr>
          <w:p>
            <w:pPr>
              <w:rPr>
                <w:rFonts w:hint="eastAsia" w:asciiTheme="minorEastAsia" w:hAnsiTheme="minorEastAsia" w:eastAsiaTheme="minorEastAsia" w:cstheme="minorEastAsia"/>
                <w:sz w:val="24"/>
                <w:szCs w:val="24"/>
                <w:highlight w:val="none"/>
                <w:vertAlign w:val="baseline"/>
              </w:rPr>
            </w:pPr>
          </w:p>
        </w:tc>
        <w:tc>
          <w:tcPr>
            <w:tcW w:w="1700" w:type="dxa"/>
          </w:tcPr>
          <w:p>
            <w:pPr>
              <w:rPr>
                <w:rFonts w:hint="eastAsia" w:asciiTheme="minorEastAsia" w:hAnsiTheme="minorEastAsia" w:eastAsiaTheme="minorEastAsia" w:cstheme="minorEastAsia"/>
                <w:sz w:val="24"/>
                <w:szCs w:val="24"/>
                <w:highlight w:val="none"/>
                <w:vertAlign w:val="baseline"/>
              </w:rPr>
            </w:pPr>
          </w:p>
        </w:tc>
        <w:tc>
          <w:tcPr>
            <w:tcW w:w="1700" w:type="dxa"/>
          </w:tcPr>
          <w:p>
            <w:pPr>
              <w:rPr>
                <w:rFonts w:hint="eastAsia" w:asciiTheme="minorEastAsia" w:hAnsiTheme="minorEastAsia" w:eastAsiaTheme="minorEastAsia" w:cstheme="minorEastAsia"/>
                <w:sz w:val="24"/>
                <w:szCs w:val="24"/>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trPr>
        <w:tc>
          <w:tcPr>
            <w:tcW w:w="8497" w:type="dxa"/>
            <w:gridSpan w:val="5"/>
            <w:vAlign w:val="center"/>
          </w:tcPr>
          <w:p>
            <w:pPr>
              <w:jc w:val="both"/>
              <w:rPr>
                <w:rFonts w:hint="eastAsia" w:asciiTheme="minorEastAsia" w:hAnsiTheme="minorEastAsia" w:eastAsiaTheme="minorEastAsia" w:cstheme="minorEastAsia"/>
                <w:sz w:val="24"/>
                <w:szCs w:val="24"/>
                <w:highlight w:val="none"/>
                <w:vertAlign w:val="baseline"/>
              </w:rPr>
            </w:pPr>
            <w:r>
              <w:rPr>
                <w:rFonts w:hint="eastAsia" w:asciiTheme="minorEastAsia" w:hAnsiTheme="minorEastAsia" w:eastAsiaTheme="minorEastAsia" w:cstheme="minorEastAsia"/>
                <w:b/>
                <w:bCs/>
                <w:sz w:val="21"/>
                <w:szCs w:val="21"/>
                <w:highlight w:val="none"/>
              </w:rPr>
              <w:t>数量合计（个）：</w:t>
            </w:r>
          </w:p>
        </w:tc>
      </w:tr>
    </w:tbl>
    <w:p>
      <w:pPr>
        <w:rPr>
          <w:highlight w:val="none"/>
        </w:rPr>
      </w:pPr>
      <w:bookmarkStart w:id="18" w:name="_GoBack"/>
      <w:bookmarkEnd w:id="18"/>
    </w:p>
    <w:sectPr>
      <w:footerReference r:id="rId4" w:type="default"/>
      <w:pgSz w:w="11906" w:h="16838"/>
      <w:pgMar w:top="1440" w:right="1800" w:bottom="1440" w:left="1800" w:header="851" w:footer="992" w:gutter="0"/>
      <w:pgNumType w:fmt="numberInDash"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opperplate Gothic Bold">
    <w:panose1 w:val="020E0705020206020404"/>
    <w:charset w:val="00"/>
    <w:family w:val="swiss"/>
    <w:pitch w:val="default"/>
    <w:sig w:usb0="00000003" w:usb1="00000000" w:usb2="00000000" w:usb3="00000000" w:csb0="20000001"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  \* MERGEFORMAT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3</w:t>
                          </w:r>
                          <w:r>
                            <w:rPr>
                              <w:rFonts w:hint="eastAsia" w:ascii="仿宋_GB2312" w:hAnsi="仿宋_GB2312" w:eastAsia="仿宋_GB2312" w:cs="仿宋_GB2312"/>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5"/>
                    </w:pP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  \* MERGEFORMAT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3</w:t>
                    </w:r>
                    <w:r>
                      <w:rPr>
                        <w:rFonts w:hint="eastAsia" w:ascii="仿宋_GB2312" w:hAnsi="仿宋_GB2312" w:eastAsia="仿宋_GB2312" w:cs="仿宋_GB2312"/>
                        <w:sz w:val="28"/>
                        <w:szCs w:val="2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2D8BAED"/>
    <w:multiLevelType w:val="singleLevel"/>
    <w:tmpl w:val="32D8BAED"/>
    <w:lvl w:ilvl="0" w:tentative="0">
      <w:start w:val="4"/>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ZmOTg3Y2VlNTQ5OGFlZTkwZjg5NzIxM2JiZWViYjYifQ=="/>
  </w:docVars>
  <w:rsids>
    <w:rsidRoot w:val="09B662D4"/>
    <w:rsid w:val="00041215"/>
    <w:rsid w:val="014B364F"/>
    <w:rsid w:val="033B5B08"/>
    <w:rsid w:val="03C035B0"/>
    <w:rsid w:val="046447F7"/>
    <w:rsid w:val="061D0ABC"/>
    <w:rsid w:val="06546518"/>
    <w:rsid w:val="06912411"/>
    <w:rsid w:val="06935222"/>
    <w:rsid w:val="06DA199A"/>
    <w:rsid w:val="07251850"/>
    <w:rsid w:val="07440002"/>
    <w:rsid w:val="077C03C6"/>
    <w:rsid w:val="087F5A47"/>
    <w:rsid w:val="09287D6E"/>
    <w:rsid w:val="09B662D4"/>
    <w:rsid w:val="09C85304"/>
    <w:rsid w:val="09D65B51"/>
    <w:rsid w:val="09F92E9E"/>
    <w:rsid w:val="0A7B27A9"/>
    <w:rsid w:val="0B0243CB"/>
    <w:rsid w:val="0CB21CA1"/>
    <w:rsid w:val="0D256FCF"/>
    <w:rsid w:val="0D8C5E16"/>
    <w:rsid w:val="0DA53C17"/>
    <w:rsid w:val="1014666A"/>
    <w:rsid w:val="107F0434"/>
    <w:rsid w:val="127B7CCD"/>
    <w:rsid w:val="15961A74"/>
    <w:rsid w:val="15D60732"/>
    <w:rsid w:val="161F5045"/>
    <w:rsid w:val="162563B0"/>
    <w:rsid w:val="1736523F"/>
    <w:rsid w:val="17EA52DE"/>
    <w:rsid w:val="181608C3"/>
    <w:rsid w:val="18E453AC"/>
    <w:rsid w:val="19027513"/>
    <w:rsid w:val="198F7F3E"/>
    <w:rsid w:val="1A410673"/>
    <w:rsid w:val="1A833E69"/>
    <w:rsid w:val="1AEB573D"/>
    <w:rsid w:val="1B610F24"/>
    <w:rsid w:val="1B7659AA"/>
    <w:rsid w:val="1B812C7E"/>
    <w:rsid w:val="1BA82992"/>
    <w:rsid w:val="1C637281"/>
    <w:rsid w:val="1CD833B0"/>
    <w:rsid w:val="1D2255EF"/>
    <w:rsid w:val="1E3E561C"/>
    <w:rsid w:val="208A0FEC"/>
    <w:rsid w:val="20CC44CB"/>
    <w:rsid w:val="20F92453"/>
    <w:rsid w:val="218C3482"/>
    <w:rsid w:val="21A43544"/>
    <w:rsid w:val="21B45789"/>
    <w:rsid w:val="22DD3BD6"/>
    <w:rsid w:val="22E26EBD"/>
    <w:rsid w:val="236B610C"/>
    <w:rsid w:val="23C87E61"/>
    <w:rsid w:val="249661B1"/>
    <w:rsid w:val="24E936FE"/>
    <w:rsid w:val="258424AE"/>
    <w:rsid w:val="264E34B7"/>
    <w:rsid w:val="26C502E5"/>
    <w:rsid w:val="26C708A4"/>
    <w:rsid w:val="27561634"/>
    <w:rsid w:val="282F4CC5"/>
    <w:rsid w:val="28990699"/>
    <w:rsid w:val="2BB907F3"/>
    <w:rsid w:val="2BEC165F"/>
    <w:rsid w:val="2C973527"/>
    <w:rsid w:val="2CBF378E"/>
    <w:rsid w:val="2D5313E5"/>
    <w:rsid w:val="2DA66CEF"/>
    <w:rsid w:val="2DBA4BAA"/>
    <w:rsid w:val="2EF243BA"/>
    <w:rsid w:val="2F183634"/>
    <w:rsid w:val="2F933C78"/>
    <w:rsid w:val="2FF371E4"/>
    <w:rsid w:val="30C0633C"/>
    <w:rsid w:val="321B29DD"/>
    <w:rsid w:val="32EF5FC6"/>
    <w:rsid w:val="332E5FB4"/>
    <w:rsid w:val="33C871B5"/>
    <w:rsid w:val="34401C96"/>
    <w:rsid w:val="34BB1B8A"/>
    <w:rsid w:val="35DD79AD"/>
    <w:rsid w:val="35EA21E0"/>
    <w:rsid w:val="36941CC1"/>
    <w:rsid w:val="36E56B24"/>
    <w:rsid w:val="37364292"/>
    <w:rsid w:val="37AB207C"/>
    <w:rsid w:val="37B53C3A"/>
    <w:rsid w:val="3847390E"/>
    <w:rsid w:val="3883765B"/>
    <w:rsid w:val="39740EF2"/>
    <w:rsid w:val="3A393721"/>
    <w:rsid w:val="3A3C42E7"/>
    <w:rsid w:val="3A6E666D"/>
    <w:rsid w:val="3ACA3CAD"/>
    <w:rsid w:val="3ACA7FBF"/>
    <w:rsid w:val="3D2E1320"/>
    <w:rsid w:val="3DA05553"/>
    <w:rsid w:val="3DB51B61"/>
    <w:rsid w:val="3EA522F3"/>
    <w:rsid w:val="3F514D57"/>
    <w:rsid w:val="40604058"/>
    <w:rsid w:val="40FF3D4E"/>
    <w:rsid w:val="4115666E"/>
    <w:rsid w:val="412070D7"/>
    <w:rsid w:val="41596145"/>
    <w:rsid w:val="41696D6C"/>
    <w:rsid w:val="427E4AE7"/>
    <w:rsid w:val="42813A07"/>
    <w:rsid w:val="438D0328"/>
    <w:rsid w:val="444B2D44"/>
    <w:rsid w:val="458330CB"/>
    <w:rsid w:val="45BD0774"/>
    <w:rsid w:val="45FE01F4"/>
    <w:rsid w:val="48027536"/>
    <w:rsid w:val="48964971"/>
    <w:rsid w:val="48B12D0A"/>
    <w:rsid w:val="4B2F7A75"/>
    <w:rsid w:val="4B502E62"/>
    <w:rsid w:val="4C8B22BC"/>
    <w:rsid w:val="4D8E3D78"/>
    <w:rsid w:val="4FB35345"/>
    <w:rsid w:val="4FB43CFD"/>
    <w:rsid w:val="501E0FA5"/>
    <w:rsid w:val="507D6148"/>
    <w:rsid w:val="52D52373"/>
    <w:rsid w:val="52DE25E9"/>
    <w:rsid w:val="532B4B18"/>
    <w:rsid w:val="5361265A"/>
    <w:rsid w:val="53BC2C8F"/>
    <w:rsid w:val="53CC594B"/>
    <w:rsid w:val="56AA01C1"/>
    <w:rsid w:val="57392849"/>
    <w:rsid w:val="585336A7"/>
    <w:rsid w:val="592D03BC"/>
    <w:rsid w:val="593750F2"/>
    <w:rsid w:val="5A0F3E42"/>
    <w:rsid w:val="5AD30A24"/>
    <w:rsid w:val="5B4146C0"/>
    <w:rsid w:val="5BCB7330"/>
    <w:rsid w:val="5C9A64A9"/>
    <w:rsid w:val="5D3A52FC"/>
    <w:rsid w:val="5D413C13"/>
    <w:rsid w:val="5DAD7E81"/>
    <w:rsid w:val="5DD225C7"/>
    <w:rsid w:val="5E1F3BE9"/>
    <w:rsid w:val="5E527400"/>
    <w:rsid w:val="5FE62C2C"/>
    <w:rsid w:val="608B1F91"/>
    <w:rsid w:val="60B53550"/>
    <w:rsid w:val="61D47B60"/>
    <w:rsid w:val="627E557B"/>
    <w:rsid w:val="64893EAF"/>
    <w:rsid w:val="64AC1D24"/>
    <w:rsid w:val="676A0F96"/>
    <w:rsid w:val="67B00147"/>
    <w:rsid w:val="67E028DA"/>
    <w:rsid w:val="684F42D1"/>
    <w:rsid w:val="688B3914"/>
    <w:rsid w:val="68DB2D8F"/>
    <w:rsid w:val="68EF0FB4"/>
    <w:rsid w:val="69394C94"/>
    <w:rsid w:val="6A085E0C"/>
    <w:rsid w:val="6A6D7498"/>
    <w:rsid w:val="6BBE75DF"/>
    <w:rsid w:val="6C310072"/>
    <w:rsid w:val="6C564035"/>
    <w:rsid w:val="6C8702D0"/>
    <w:rsid w:val="6CA87C5E"/>
    <w:rsid w:val="6D203AF6"/>
    <w:rsid w:val="6DBA17F6"/>
    <w:rsid w:val="6DF43E97"/>
    <w:rsid w:val="6E16225D"/>
    <w:rsid w:val="6E3F6B54"/>
    <w:rsid w:val="6E431E0B"/>
    <w:rsid w:val="6FCD75DC"/>
    <w:rsid w:val="6FD615CB"/>
    <w:rsid w:val="70F24FA3"/>
    <w:rsid w:val="71B1189C"/>
    <w:rsid w:val="72DB435C"/>
    <w:rsid w:val="73972979"/>
    <w:rsid w:val="73F8047E"/>
    <w:rsid w:val="741B7ABA"/>
    <w:rsid w:val="75A04A5C"/>
    <w:rsid w:val="75F97AC2"/>
    <w:rsid w:val="76306233"/>
    <w:rsid w:val="76626058"/>
    <w:rsid w:val="77AE621D"/>
    <w:rsid w:val="7824516F"/>
    <w:rsid w:val="78D87D1C"/>
    <w:rsid w:val="792B0B76"/>
    <w:rsid w:val="798F7B08"/>
    <w:rsid w:val="79BB4233"/>
    <w:rsid w:val="79F51AD2"/>
    <w:rsid w:val="7ADC4A05"/>
    <w:rsid w:val="7B0B6FAD"/>
    <w:rsid w:val="7B676D8F"/>
    <w:rsid w:val="7BB87BF2"/>
    <w:rsid w:val="7D041A5C"/>
    <w:rsid w:val="7D2026A0"/>
    <w:rsid w:val="7E201A70"/>
    <w:rsid w:val="7E98400A"/>
    <w:rsid w:val="7EDA6BE8"/>
    <w:rsid w:val="7F963B82"/>
    <w:rsid w:val="7FC44A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autoRedefine/>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11">
    <w:name w:val="Default Paragraph Font"/>
    <w:autoRedefine/>
    <w:semiHidden/>
    <w:qFormat/>
    <w:uiPriority w:val="0"/>
  </w:style>
  <w:style w:type="table" w:default="1" w:styleId="9">
    <w:name w:val="Normal Table"/>
    <w:autoRedefine/>
    <w:semiHidden/>
    <w:qFormat/>
    <w:uiPriority w:val="0"/>
    <w:tblPr>
      <w:tblCellMar>
        <w:top w:w="0" w:type="dxa"/>
        <w:left w:w="108" w:type="dxa"/>
        <w:bottom w:w="0" w:type="dxa"/>
        <w:right w:w="108" w:type="dxa"/>
      </w:tblCellMar>
    </w:tblPr>
  </w:style>
  <w:style w:type="paragraph" w:styleId="3">
    <w:name w:val="Body Text"/>
    <w:basedOn w:val="1"/>
    <w:next w:val="1"/>
    <w:autoRedefine/>
    <w:qFormat/>
    <w:uiPriority w:val="0"/>
    <w:pPr>
      <w:jc w:val="left"/>
    </w:pPr>
    <w:rPr>
      <w:rFonts w:ascii="Copperplate Gothic Bold" w:hAnsi="Copperplate Gothic Bold" w:cs="Copperplate Gothic Bold"/>
      <w:sz w:val="28"/>
      <w:szCs w:val="28"/>
    </w:rPr>
  </w:style>
  <w:style w:type="paragraph" w:styleId="4">
    <w:name w:val="Plain Text"/>
    <w:basedOn w:val="1"/>
    <w:autoRedefine/>
    <w:qFormat/>
    <w:uiPriority w:val="0"/>
    <w:rPr>
      <w:rFonts w:ascii="宋体" w:cs="Courier New"/>
      <w:szCs w:val="21"/>
    </w:rPr>
  </w:style>
  <w:style w:type="paragraph" w:styleId="5">
    <w:name w:val="footer"/>
    <w:basedOn w:val="1"/>
    <w:autoRedefine/>
    <w:qFormat/>
    <w:uiPriority w:val="0"/>
    <w:pPr>
      <w:tabs>
        <w:tab w:val="center" w:pos="4153"/>
        <w:tab w:val="right" w:pos="8306"/>
      </w:tabs>
      <w:snapToGrid w:val="0"/>
      <w:jc w:val="left"/>
    </w:pPr>
    <w:rPr>
      <w:sz w:val="18"/>
    </w:rPr>
  </w:style>
  <w:style w:type="paragraph" w:styleId="6">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toc 1"/>
    <w:basedOn w:val="1"/>
    <w:next w:val="1"/>
    <w:autoRedefine/>
    <w:qFormat/>
    <w:uiPriority w:val="0"/>
  </w:style>
  <w:style w:type="paragraph" w:styleId="8">
    <w:name w:val="Normal (Web)"/>
    <w:basedOn w:val="1"/>
    <w:autoRedefine/>
    <w:qFormat/>
    <w:uiPriority w:val="0"/>
    <w:pPr>
      <w:spacing w:before="0" w:beforeAutospacing="1" w:after="0" w:afterAutospacing="1"/>
      <w:ind w:left="0" w:right="0"/>
      <w:jc w:val="left"/>
    </w:pPr>
    <w:rPr>
      <w:kern w:val="0"/>
      <w:sz w:val="24"/>
      <w:lang w:val="en-US" w:eastAsia="zh-CN" w:bidi="ar"/>
    </w:rPr>
  </w:style>
  <w:style w:type="table" w:styleId="10">
    <w:name w:val="Table Grid"/>
    <w:basedOn w:val="9"/>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2">
    <w:name w:val="WPSOffice手动目录 1"/>
    <w:autoRedefine/>
    <w:qFormat/>
    <w:uiPriority w:val="0"/>
    <w:pPr>
      <w:ind w:leftChars="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92</Pages>
  <Words>15047</Words>
  <Characters>15682</Characters>
  <Lines>0</Lines>
  <Paragraphs>0</Paragraphs>
  <TotalTime>336</TotalTime>
  <ScaleCrop>false</ScaleCrop>
  <LinksUpToDate>false</LinksUpToDate>
  <CharactersWithSpaces>15739</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2026-04-08T03:46:00Z</dcterms:created>
  <dc:creator>电闪雷鸣</dc:creator>
  <cp:lastModifiedBy>时过境迁</cp:lastModifiedBy>
  <cp:lastPrinted>2026-04-24T06:21:00Z</cp:lastPrinted>
  <dcterms:modified xsi:type="dcterms:W3CDTF">2026-05-25T01:54:38Z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KSOTemplateDocerSaveRecord">
    <vt:lpwstr>eyJoZGlkIjoiMWI0NWYwYWM5YjI1NDI5MjUxMjA3ODlmODk2Mjg4NjQiLCJ1c2VySWQiOiIxMTk5Mjk5NDMzIn0=</vt:lpwstr>
  </property>
  <property fmtid="{D5CDD505-2E9C-101B-9397-08002B2CF9AE}" pid="4" name="ICV">
    <vt:lpwstr>5CB102BA708A4663B1A5E7C5D34A29E7_12</vt:lpwstr>
  </property>
</Properties>
</file>