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541DE">
      <w:pPr>
        <w:pStyle w:val="4"/>
        <w:jc w:val="center"/>
        <w:outlineLvl w:val="1"/>
      </w:pPr>
      <w:r>
        <w:rPr>
          <w:rFonts w:ascii="仿宋_GB2312" w:hAnsi="仿宋_GB2312" w:eastAsia="仿宋_GB2312" w:cs="仿宋_GB2312"/>
          <w:b/>
          <w:sz w:val="36"/>
        </w:rPr>
        <w:t>第三章 磋商项目技术、服务、商务及其他要求</w:t>
      </w:r>
    </w:p>
    <w:p w14:paraId="0D8D8C04">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0C65A3C">
      <w:pPr>
        <w:pStyle w:val="4"/>
        <w:outlineLvl w:val="2"/>
      </w:pPr>
      <w:r>
        <w:rPr>
          <w:rFonts w:ascii="仿宋_GB2312" w:hAnsi="仿宋_GB2312" w:eastAsia="仿宋_GB2312" w:cs="仿宋_GB2312"/>
          <w:b/>
          <w:sz w:val="28"/>
        </w:rPr>
        <w:t>3.1技术、服务标准和要求</w:t>
      </w:r>
    </w:p>
    <w:p w14:paraId="31779440">
      <w:pPr>
        <w:pStyle w:val="4"/>
      </w:pPr>
      <w:r>
        <w:rPr>
          <w:rFonts w:ascii="仿宋_GB2312" w:hAnsi="仿宋_GB2312" w:eastAsia="仿宋_GB2312" w:cs="仿宋_GB2312"/>
        </w:rPr>
        <w:t>采购包1：</w:t>
      </w:r>
    </w:p>
    <w:p w14:paraId="4B4D235F">
      <w:pPr>
        <w:pStyle w:val="4"/>
      </w:pPr>
      <w:r>
        <w:rPr>
          <w:rFonts w:ascii="仿宋_GB2312" w:hAnsi="仿宋_GB2312" w:eastAsia="仿宋_GB2312" w:cs="仿宋_GB2312"/>
        </w:rPr>
        <w:t>采购包预算金额（元）: 1,149,400.00</w:t>
      </w:r>
    </w:p>
    <w:p w14:paraId="53BBC04F">
      <w:pPr>
        <w:pStyle w:val="4"/>
      </w:pPr>
      <w:r>
        <w:rPr>
          <w:rFonts w:ascii="仿宋_GB2312" w:hAnsi="仿宋_GB2312" w:eastAsia="仿宋_GB2312" w:cs="仿宋_GB2312"/>
        </w:rPr>
        <w:t>采购包最高限价（元）: 1,149,400.00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416"/>
        <w:gridCol w:w="1384"/>
        <w:gridCol w:w="1384"/>
      </w:tblGrid>
      <w:tr w14:paraId="2D45A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04E1DC7">
            <w:pPr>
              <w:pStyle w:val="4"/>
            </w:pPr>
            <w:r>
              <w:rPr>
                <w:rFonts w:ascii="仿宋_GB2312" w:hAnsi="仿宋_GB2312" w:eastAsia="仿宋_GB2312" w:cs="仿宋_GB2312"/>
              </w:rPr>
              <w:t>序号</w:t>
            </w:r>
          </w:p>
        </w:tc>
        <w:tc>
          <w:tcPr>
            <w:tcW w:w="1384" w:type="dxa"/>
          </w:tcPr>
          <w:p w14:paraId="36B16D4D">
            <w:pPr>
              <w:pStyle w:val="4"/>
            </w:pPr>
            <w:r>
              <w:rPr>
                <w:rFonts w:ascii="仿宋_GB2312" w:hAnsi="仿宋_GB2312" w:eastAsia="仿宋_GB2312" w:cs="仿宋_GB2312"/>
              </w:rPr>
              <w:t>标的名称</w:t>
            </w:r>
          </w:p>
        </w:tc>
        <w:tc>
          <w:tcPr>
            <w:tcW w:w="1384" w:type="dxa"/>
          </w:tcPr>
          <w:p w14:paraId="4D85E672">
            <w:pPr>
              <w:pStyle w:val="4"/>
            </w:pPr>
            <w:r>
              <w:rPr>
                <w:rFonts w:ascii="仿宋_GB2312" w:hAnsi="仿宋_GB2312" w:eastAsia="仿宋_GB2312" w:cs="仿宋_GB2312"/>
              </w:rPr>
              <w:t>数量</w:t>
            </w:r>
          </w:p>
        </w:tc>
        <w:tc>
          <w:tcPr>
            <w:tcW w:w="1384" w:type="dxa"/>
          </w:tcPr>
          <w:p w14:paraId="7F60CCFA">
            <w:pPr>
              <w:pStyle w:val="4"/>
            </w:pPr>
            <w:r>
              <w:rPr>
                <w:rFonts w:ascii="仿宋_GB2312" w:hAnsi="仿宋_GB2312" w:eastAsia="仿宋_GB2312" w:cs="仿宋_GB2312"/>
              </w:rPr>
              <w:t>标的金额 （元）</w:t>
            </w:r>
          </w:p>
        </w:tc>
        <w:tc>
          <w:tcPr>
            <w:tcW w:w="1384" w:type="dxa"/>
          </w:tcPr>
          <w:p w14:paraId="6D653E40">
            <w:pPr>
              <w:pStyle w:val="4"/>
            </w:pPr>
            <w:r>
              <w:rPr>
                <w:rFonts w:ascii="仿宋_GB2312" w:hAnsi="仿宋_GB2312" w:eastAsia="仿宋_GB2312" w:cs="仿宋_GB2312"/>
              </w:rPr>
              <w:t>计量单位</w:t>
            </w:r>
          </w:p>
        </w:tc>
        <w:tc>
          <w:tcPr>
            <w:tcW w:w="1384" w:type="dxa"/>
          </w:tcPr>
          <w:p w14:paraId="3CDA6FF0">
            <w:pPr>
              <w:pStyle w:val="4"/>
            </w:pPr>
            <w:r>
              <w:rPr>
                <w:rFonts w:ascii="仿宋_GB2312" w:hAnsi="仿宋_GB2312" w:eastAsia="仿宋_GB2312" w:cs="仿宋_GB2312"/>
              </w:rPr>
              <w:t>所属行业</w:t>
            </w:r>
          </w:p>
        </w:tc>
      </w:tr>
      <w:tr w14:paraId="07243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8A41E72">
            <w:pPr>
              <w:pStyle w:val="4"/>
            </w:pPr>
            <w:r>
              <w:rPr>
                <w:rFonts w:ascii="仿宋_GB2312" w:hAnsi="仿宋_GB2312" w:eastAsia="仿宋_GB2312" w:cs="仿宋_GB2312"/>
              </w:rPr>
              <w:t>1</w:t>
            </w:r>
          </w:p>
        </w:tc>
        <w:tc>
          <w:tcPr>
            <w:tcW w:w="1384" w:type="dxa"/>
          </w:tcPr>
          <w:p w14:paraId="6763E619">
            <w:pPr>
              <w:pStyle w:val="4"/>
            </w:pPr>
            <w:r>
              <w:rPr>
                <w:rFonts w:ascii="仿宋_GB2312" w:hAnsi="仿宋_GB2312" w:eastAsia="仿宋_GB2312" w:cs="仿宋_GB2312"/>
              </w:rPr>
              <w:t>园区提升设施设备购置及维护</w:t>
            </w:r>
          </w:p>
        </w:tc>
        <w:tc>
          <w:tcPr>
            <w:tcW w:w="1384" w:type="dxa"/>
          </w:tcPr>
          <w:p w14:paraId="7D65122A">
            <w:pPr>
              <w:pStyle w:val="4"/>
              <w:jc w:val="right"/>
            </w:pPr>
            <w:r>
              <w:rPr>
                <w:rFonts w:ascii="仿宋_GB2312" w:hAnsi="仿宋_GB2312" w:eastAsia="仿宋_GB2312" w:cs="仿宋_GB2312"/>
              </w:rPr>
              <w:t>1.00</w:t>
            </w:r>
          </w:p>
        </w:tc>
        <w:tc>
          <w:tcPr>
            <w:tcW w:w="1384" w:type="dxa"/>
          </w:tcPr>
          <w:p w14:paraId="5CCE83D9">
            <w:pPr>
              <w:pStyle w:val="4"/>
              <w:jc w:val="right"/>
            </w:pPr>
            <w:r>
              <w:rPr>
                <w:rFonts w:ascii="仿宋_GB2312" w:hAnsi="仿宋_GB2312" w:eastAsia="仿宋_GB2312" w:cs="仿宋_GB2312"/>
              </w:rPr>
              <w:t>1,149,400.00</w:t>
            </w:r>
          </w:p>
        </w:tc>
        <w:tc>
          <w:tcPr>
            <w:tcW w:w="1384" w:type="dxa"/>
          </w:tcPr>
          <w:p w14:paraId="6C2764DE">
            <w:pPr>
              <w:pStyle w:val="4"/>
            </w:pPr>
            <w:r>
              <w:rPr>
                <w:rFonts w:ascii="仿宋_GB2312" w:hAnsi="仿宋_GB2312" w:eastAsia="仿宋_GB2312" w:cs="仿宋_GB2312"/>
              </w:rPr>
              <w:t>项</w:t>
            </w:r>
          </w:p>
        </w:tc>
        <w:tc>
          <w:tcPr>
            <w:tcW w:w="1384" w:type="dxa"/>
          </w:tcPr>
          <w:p w14:paraId="332468B3">
            <w:pPr>
              <w:pStyle w:val="4"/>
            </w:pPr>
            <w:r>
              <w:rPr>
                <w:rFonts w:ascii="仿宋_GB2312" w:hAnsi="仿宋_GB2312" w:eastAsia="仿宋_GB2312" w:cs="仿宋_GB2312"/>
              </w:rPr>
              <w:t>建筑业</w:t>
            </w:r>
          </w:p>
        </w:tc>
      </w:tr>
    </w:tbl>
    <w:p w14:paraId="2DD88B6A">
      <w:pPr>
        <w:pStyle w:val="4"/>
        <w:ind w:firstLine="480"/>
      </w:pPr>
      <w:r>
        <w:rPr>
          <w:rFonts w:ascii="仿宋_GB2312" w:hAnsi="仿宋_GB2312" w:eastAsia="仿宋_GB2312" w:cs="仿宋_GB2312"/>
        </w:rPr>
        <w:t>一、技术、服务标准和要求：</w:t>
      </w:r>
    </w:p>
    <w:p w14:paraId="108685C9">
      <w:pPr>
        <w:pStyle w:val="4"/>
      </w:pPr>
      <w:r>
        <w:rPr>
          <w:rFonts w:ascii="仿宋_GB2312" w:hAnsi="仿宋_GB2312" w:eastAsia="仿宋_GB2312" w:cs="仿宋_GB2312"/>
        </w:rPr>
        <w:t>采购包1：</w:t>
      </w:r>
    </w:p>
    <w:p w14:paraId="2322501F">
      <w:pPr>
        <w:pStyle w:val="4"/>
      </w:pPr>
      <w:r>
        <w:rPr>
          <w:rFonts w:ascii="仿宋_GB2312" w:hAnsi="仿宋_GB2312" w:eastAsia="仿宋_GB2312" w:cs="仿宋_GB2312"/>
        </w:rPr>
        <w:t>标的名称：园区提升设施设备购置及维护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01"/>
        <w:gridCol w:w="1369"/>
        <w:gridCol w:w="5537"/>
      </w:tblGrid>
      <w:tr w14:paraId="76941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07C294F4">
            <w:pPr>
              <w:pStyle w:val="4"/>
            </w:pPr>
            <w:r>
              <w:rPr>
                <w:rFonts w:ascii="仿宋_GB2312" w:hAnsi="仿宋_GB2312" w:eastAsia="仿宋_GB2312" w:cs="仿宋_GB2312"/>
              </w:rPr>
              <w:t xml:space="preserve"> 序号</w:t>
            </w:r>
          </w:p>
        </w:tc>
        <w:tc>
          <w:tcPr>
            <w:tcW w:w="1369" w:type="dxa"/>
          </w:tcPr>
          <w:p w14:paraId="31E6B98A">
            <w:pPr>
              <w:pStyle w:val="4"/>
            </w:pPr>
            <w:r>
              <w:rPr>
                <w:rFonts w:ascii="仿宋_GB2312" w:hAnsi="仿宋_GB2312" w:eastAsia="仿宋_GB2312" w:cs="仿宋_GB2312"/>
              </w:rPr>
              <w:t xml:space="preserve"> 参数性质</w:t>
            </w:r>
          </w:p>
        </w:tc>
        <w:tc>
          <w:tcPr>
            <w:tcW w:w="5537" w:type="dxa"/>
          </w:tcPr>
          <w:p w14:paraId="7329A3EF">
            <w:pPr>
              <w:pStyle w:val="4"/>
            </w:pPr>
            <w:r>
              <w:rPr>
                <w:rFonts w:ascii="仿宋_GB2312" w:hAnsi="仿宋_GB2312" w:eastAsia="仿宋_GB2312" w:cs="仿宋_GB2312"/>
              </w:rPr>
              <w:t xml:space="preserve"> 技术参数与性能指标</w:t>
            </w:r>
          </w:p>
        </w:tc>
      </w:tr>
      <w:tr w14:paraId="086F8E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772555C6">
            <w:pPr>
              <w:pStyle w:val="4"/>
            </w:pPr>
            <w:r>
              <w:rPr>
                <w:rFonts w:ascii="仿宋_GB2312" w:hAnsi="仿宋_GB2312" w:eastAsia="仿宋_GB2312" w:cs="仿宋_GB2312"/>
              </w:rPr>
              <w:t>1</w:t>
            </w:r>
          </w:p>
        </w:tc>
        <w:tc>
          <w:tcPr>
            <w:tcW w:w="1369" w:type="dxa"/>
          </w:tcPr>
          <w:p w14:paraId="5A995B6A">
            <w:pPr>
              <w:pStyle w:val="4"/>
            </w:pPr>
            <w:r>
              <w:rPr>
                <w:rFonts w:ascii="仿宋_GB2312" w:hAnsi="仿宋_GB2312" w:eastAsia="仿宋_GB2312" w:cs="仿宋_GB2312"/>
              </w:rPr>
              <w:t>★</w:t>
            </w:r>
          </w:p>
        </w:tc>
        <w:tc>
          <w:tcPr>
            <w:tcW w:w="5537" w:type="dxa"/>
          </w:tcPr>
          <w:p w14:paraId="1757AA95">
            <w:pPr>
              <w:pStyle w:val="4"/>
            </w:pPr>
            <w:r>
              <w:rPr>
                <w:rFonts w:ascii="仿宋_GB2312" w:hAnsi="仿宋_GB2312" w:eastAsia="仿宋_GB2312" w:cs="仿宋_GB2312"/>
                <w:sz w:val="20"/>
              </w:rPr>
              <w:t>一、施工范围</w:t>
            </w:r>
          </w:p>
          <w:p w14:paraId="46F55B54">
            <w:pPr>
              <w:pStyle w:val="4"/>
            </w:pPr>
            <w:r>
              <w:rPr>
                <w:rFonts w:ascii="仿宋_GB2312" w:hAnsi="仿宋_GB2312" w:eastAsia="仿宋_GB2312" w:cs="仿宋_GB2312"/>
                <w:sz w:val="20"/>
              </w:rPr>
              <w:t>具体以工程量清单为准</w:t>
            </w:r>
          </w:p>
        </w:tc>
      </w:tr>
      <w:tr w14:paraId="707EA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230CA918">
            <w:pPr>
              <w:pStyle w:val="4"/>
            </w:pPr>
            <w:r>
              <w:rPr>
                <w:rFonts w:ascii="仿宋_GB2312" w:hAnsi="仿宋_GB2312" w:eastAsia="仿宋_GB2312" w:cs="仿宋_GB2312"/>
              </w:rPr>
              <w:t>2</w:t>
            </w:r>
          </w:p>
        </w:tc>
        <w:tc>
          <w:tcPr>
            <w:tcW w:w="1369" w:type="dxa"/>
          </w:tcPr>
          <w:p w14:paraId="4A548478">
            <w:pPr>
              <w:pStyle w:val="4"/>
            </w:pPr>
            <w:r>
              <w:rPr>
                <w:rFonts w:ascii="仿宋_GB2312" w:hAnsi="仿宋_GB2312" w:eastAsia="仿宋_GB2312" w:cs="仿宋_GB2312"/>
              </w:rPr>
              <w:t>★</w:t>
            </w:r>
          </w:p>
        </w:tc>
        <w:tc>
          <w:tcPr>
            <w:tcW w:w="5537" w:type="dxa"/>
          </w:tcPr>
          <w:p w14:paraId="4DA303EF">
            <w:pPr>
              <w:pStyle w:val="4"/>
            </w:pPr>
            <w:r>
              <w:rPr>
                <w:rFonts w:ascii="仿宋_GB2312" w:hAnsi="仿宋_GB2312" w:eastAsia="仿宋_GB2312" w:cs="仿宋_GB2312"/>
                <w:sz w:val="20"/>
              </w:rPr>
              <w:t>二、质量要求</w:t>
            </w:r>
          </w:p>
          <w:p w14:paraId="405F329D">
            <w:pPr>
              <w:pStyle w:val="4"/>
            </w:pPr>
            <w:r>
              <w:rPr>
                <w:rFonts w:ascii="仿宋_GB2312" w:hAnsi="仿宋_GB2312" w:eastAsia="仿宋_GB2312" w:cs="仿宋_GB2312"/>
                <w:sz w:val="20"/>
              </w:rPr>
              <w:t>满足国家现行施工验收规范合格标准</w:t>
            </w:r>
          </w:p>
        </w:tc>
      </w:tr>
      <w:tr w14:paraId="641F4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0B5C3140">
            <w:pPr>
              <w:pStyle w:val="4"/>
            </w:pPr>
            <w:r>
              <w:rPr>
                <w:rFonts w:ascii="仿宋_GB2312" w:hAnsi="仿宋_GB2312" w:eastAsia="仿宋_GB2312" w:cs="仿宋_GB2312"/>
              </w:rPr>
              <w:t>3</w:t>
            </w:r>
          </w:p>
        </w:tc>
        <w:tc>
          <w:tcPr>
            <w:tcW w:w="1369" w:type="dxa"/>
          </w:tcPr>
          <w:p w14:paraId="3CEF67D2">
            <w:pPr>
              <w:pStyle w:val="4"/>
            </w:pPr>
            <w:r>
              <w:rPr>
                <w:rFonts w:ascii="仿宋_GB2312" w:hAnsi="仿宋_GB2312" w:eastAsia="仿宋_GB2312" w:cs="仿宋_GB2312"/>
              </w:rPr>
              <w:t>★</w:t>
            </w:r>
          </w:p>
        </w:tc>
        <w:tc>
          <w:tcPr>
            <w:tcW w:w="5537" w:type="dxa"/>
          </w:tcPr>
          <w:p w14:paraId="0164AD0D">
            <w:pPr>
              <w:pStyle w:val="4"/>
            </w:pPr>
            <w:r>
              <w:rPr>
                <w:rFonts w:ascii="仿宋_GB2312" w:hAnsi="仿宋_GB2312" w:eastAsia="仿宋_GB2312" w:cs="仿宋_GB2312"/>
                <w:sz w:val="20"/>
              </w:rPr>
              <w:t>三、工期</w:t>
            </w:r>
          </w:p>
          <w:p w14:paraId="35D15D08">
            <w:pPr>
              <w:pStyle w:val="4"/>
            </w:pPr>
            <w:r>
              <w:rPr>
                <w:rFonts w:ascii="仿宋_GB2312" w:hAnsi="仿宋_GB2312" w:eastAsia="仿宋_GB2312" w:cs="仿宋_GB2312"/>
                <w:sz w:val="20"/>
              </w:rPr>
              <w:t>90日历天</w:t>
            </w:r>
          </w:p>
        </w:tc>
      </w:tr>
      <w:tr w14:paraId="3C703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2BD4E783">
            <w:pPr>
              <w:pStyle w:val="4"/>
            </w:pPr>
            <w:r>
              <w:rPr>
                <w:rFonts w:ascii="仿宋_GB2312" w:hAnsi="仿宋_GB2312" w:eastAsia="仿宋_GB2312" w:cs="仿宋_GB2312"/>
              </w:rPr>
              <w:t>4</w:t>
            </w:r>
          </w:p>
        </w:tc>
        <w:tc>
          <w:tcPr>
            <w:tcW w:w="1369" w:type="dxa"/>
          </w:tcPr>
          <w:p w14:paraId="464AE78E">
            <w:pPr>
              <w:pStyle w:val="4"/>
            </w:pPr>
            <w:r>
              <w:rPr>
                <w:rFonts w:ascii="仿宋_GB2312" w:hAnsi="仿宋_GB2312" w:eastAsia="仿宋_GB2312" w:cs="仿宋_GB2312"/>
              </w:rPr>
              <w:t>★</w:t>
            </w:r>
          </w:p>
        </w:tc>
        <w:tc>
          <w:tcPr>
            <w:tcW w:w="5537" w:type="dxa"/>
          </w:tcPr>
          <w:p w14:paraId="2E715206">
            <w:pPr>
              <w:pStyle w:val="4"/>
              <w:jc w:val="left"/>
            </w:pPr>
            <w:r>
              <w:rPr>
                <w:rFonts w:ascii="仿宋_GB2312" w:hAnsi="仿宋_GB2312" w:eastAsia="仿宋_GB2312" w:cs="仿宋_GB2312"/>
                <w:color w:val="000000"/>
                <w:sz w:val="20"/>
              </w:rPr>
              <w:t>四、款项结算：</w:t>
            </w:r>
          </w:p>
          <w:p w14:paraId="08864400">
            <w:pPr>
              <w:pStyle w:val="4"/>
              <w:ind w:firstLine="400"/>
              <w:jc w:val="left"/>
            </w:pPr>
            <w:r>
              <w:rPr>
                <w:rFonts w:ascii="仿宋_GB2312" w:hAnsi="仿宋_GB2312" w:eastAsia="仿宋_GB2312" w:cs="仿宋_GB2312"/>
                <w:color w:val="000000"/>
                <w:sz w:val="20"/>
              </w:rPr>
              <w:t xml:space="preserve">1、中标公示期结束后，须在3个自然日内正式签订施工合同。  </w:t>
            </w:r>
          </w:p>
          <w:p w14:paraId="2A5C9A14">
            <w:pPr>
              <w:pStyle w:val="4"/>
              <w:ind w:firstLine="400"/>
              <w:jc w:val="left"/>
            </w:pPr>
            <w:r>
              <w:rPr>
                <w:rFonts w:ascii="仿宋_GB2312" w:hAnsi="仿宋_GB2312" w:eastAsia="仿宋_GB2312" w:cs="仿宋_GB2312"/>
                <w:color w:val="000000"/>
                <w:sz w:val="20"/>
              </w:rPr>
              <w:t xml:space="preserve">2、预付款支付条款：合同签订后，甲方应在5个工作日内向乙方支付合同总金额的60%作为工程项目预付款，以确保工程顺利启动。  </w:t>
            </w:r>
          </w:p>
          <w:p w14:paraId="661F7FC6">
            <w:pPr>
              <w:pStyle w:val="4"/>
              <w:ind w:firstLine="400"/>
              <w:jc w:val="left"/>
            </w:pPr>
            <w:r>
              <w:rPr>
                <w:rFonts w:ascii="仿宋_GB2312" w:hAnsi="仿宋_GB2312" w:eastAsia="仿宋_GB2312" w:cs="仿宋_GB2312"/>
                <w:color w:val="000000"/>
                <w:sz w:val="20"/>
              </w:rPr>
              <w:t xml:space="preserve">3、进度款支付安排：依据施工进度的实际完成情况，按阶段支付合同总金额的30%作为进度款项，具体支付节点由双方协商确定。  </w:t>
            </w:r>
          </w:p>
          <w:p w14:paraId="4EF4A9EE">
            <w:pPr>
              <w:pStyle w:val="4"/>
              <w:ind w:firstLine="400"/>
              <w:jc w:val="left"/>
            </w:pPr>
            <w:r>
              <w:rPr>
                <w:rFonts w:ascii="仿宋_GB2312" w:hAnsi="仿宋_GB2312" w:eastAsia="仿宋_GB2312" w:cs="仿宋_GB2312"/>
                <w:color w:val="000000"/>
                <w:sz w:val="20"/>
              </w:rPr>
              <w:t xml:space="preserve">4、尾款结算方式：乙方须严格按照甲方的要求完成所有施工内容，待工程经甲方竣工验收合格后，甲方应在5日内结清剩余10%的尾款。  </w:t>
            </w:r>
          </w:p>
          <w:p w14:paraId="476C8A36">
            <w:pPr>
              <w:pStyle w:val="4"/>
              <w:ind w:firstLine="400"/>
              <w:jc w:val="left"/>
            </w:pPr>
            <w:r>
              <w:rPr>
                <w:rFonts w:ascii="仿宋_GB2312" w:hAnsi="仿宋_GB2312" w:eastAsia="仿宋_GB2312" w:cs="仿宋_GB2312"/>
                <w:color w:val="000000"/>
                <w:sz w:val="20"/>
              </w:rPr>
              <w:t>5、票据要求：在甲方支付每笔工程款项前，乙方均须提前开具与支付金额等额的增值税专用发票，以符合财务及税务管理规范。</w:t>
            </w:r>
          </w:p>
          <w:p w14:paraId="077E9583">
            <w:pPr>
              <w:pStyle w:val="4"/>
              <w:ind w:firstLine="400"/>
              <w:jc w:val="left"/>
            </w:pPr>
            <w:r>
              <w:rPr>
                <w:rFonts w:ascii="仿宋_GB2312" w:hAnsi="仿宋_GB2312" w:eastAsia="仿宋_GB2312" w:cs="仿宋_GB2312"/>
                <w:color w:val="000000"/>
                <w:sz w:val="20"/>
              </w:rPr>
              <w:t>款项结算以此处为准。</w:t>
            </w:r>
          </w:p>
          <w:p w14:paraId="465DC861">
            <w:pPr>
              <w:pStyle w:val="4"/>
              <w:ind w:firstLine="400"/>
              <w:jc w:val="left"/>
            </w:pPr>
          </w:p>
        </w:tc>
      </w:tr>
      <w:tr w14:paraId="415132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26F31BFC">
            <w:pPr>
              <w:pStyle w:val="4"/>
            </w:pPr>
            <w:r>
              <w:rPr>
                <w:rFonts w:ascii="仿宋_GB2312" w:hAnsi="仿宋_GB2312" w:eastAsia="仿宋_GB2312" w:cs="仿宋_GB2312"/>
              </w:rPr>
              <w:t>5</w:t>
            </w:r>
          </w:p>
        </w:tc>
        <w:tc>
          <w:tcPr>
            <w:tcW w:w="1369" w:type="dxa"/>
          </w:tcPr>
          <w:p w14:paraId="59A7D413"/>
        </w:tc>
        <w:tc>
          <w:tcPr>
            <w:tcW w:w="5537" w:type="dxa"/>
          </w:tcPr>
          <w:p w14:paraId="6B456BD4">
            <w:pPr>
              <w:pStyle w:val="4"/>
            </w:pPr>
            <w:r>
              <w:rPr>
                <w:rFonts w:ascii="仿宋_GB2312" w:hAnsi="仿宋_GB2312" w:eastAsia="仿宋_GB2312" w:cs="仿宋_GB2312"/>
                <w:sz w:val="20"/>
              </w:rPr>
              <w:t>五、其他要求：</w:t>
            </w:r>
          </w:p>
          <w:p w14:paraId="50C9D801">
            <w:pPr>
              <w:pStyle w:val="4"/>
              <w:ind w:firstLine="400"/>
              <w:jc w:val="left"/>
            </w:pPr>
            <w:r>
              <w:rPr>
                <w:rFonts w:ascii="仿宋_GB2312" w:hAnsi="仿宋_GB2312" w:eastAsia="仿宋_GB2312" w:cs="仿宋_GB2312"/>
                <w:color w:val="000000"/>
                <w:sz w:val="20"/>
              </w:rPr>
              <w:t>（一）响应人应具备完成本工程工期、、质量、安全、文明施工等计划的能力和措施办法。</w:t>
            </w:r>
          </w:p>
          <w:p w14:paraId="5EDE7987">
            <w:pPr>
              <w:pStyle w:val="4"/>
              <w:ind w:firstLine="400"/>
              <w:jc w:val="left"/>
            </w:pPr>
            <w:r>
              <w:rPr>
                <w:rFonts w:ascii="仿宋_GB2312" w:hAnsi="仿宋_GB2312" w:eastAsia="仿宋_GB2312" w:cs="仿宋_GB2312"/>
                <w:color w:val="000000"/>
                <w:sz w:val="20"/>
              </w:rPr>
              <w:t>（1）质量要求：达到国家施工质量验收规范“合格”标准，并编制完善、合理且具备可行性的技术组织措施以确保工程质量。</w:t>
            </w:r>
          </w:p>
          <w:p w14:paraId="3C999D0E">
            <w:pPr>
              <w:pStyle w:val="4"/>
              <w:ind w:firstLine="400"/>
              <w:jc w:val="left"/>
            </w:pPr>
            <w:r>
              <w:rPr>
                <w:rFonts w:ascii="仿宋_GB2312" w:hAnsi="仿宋_GB2312" w:eastAsia="仿宋_GB2312" w:cs="仿宋_GB2312"/>
                <w:color w:val="000000"/>
                <w:sz w:val="20"/>
              </w:rPr>
              <w:t>（2）安全要求：确保施工期间无重大安全事故，现场特殊工程必须全部持有效证件上岗操作，并编制完善、合理且具备可行性的安全生产技术组织措施。</w:t>
            </w:r>
          </w:p>
          <w:p w14:paraId="44B80038">
            <w:pPr>
              <w:pStyle w:val="4"/>
              <w:ind w:firstLine="400"/>
              <w:jc w:val="left"/>
            </w:pPr>
            <w:r>
              <w:rPr>
                <w:rFonts w:ascii="仿宋_GB2312" w:hAnsi="仿宋_GB2312" w:eastAsia="仿宋_GB2312" w:cs="仿宋_GB2312"/>
                <w:color w:val="000000"/>
                <w:sz w:val="20"/>
              </w:rPr>
              <w:t>（3）文明施工要求：达到陕西省文明工地施工要求。施工人员必须佩戴安全帽；现场垃圾及时清理、定点堆放；施工过程中必须按照文明工地要求进行施工；</w:t>
            </w:r>
          </w:p>
          <w:p w14:paraId="1BFED913">
            <w:pPr>
              <w:pStyle w:val="4"/>
              <w:ind w:firstLine="400"/>
            </w:pPr>
            <w:r>
              <w:rPr>
                <w:rFonts w:ascii="仿宋_GB2312" w:hAnsi="仿宋_GB2312" w:eastAsia="仿宋_GB2312" w:cs="仿宋_GB2312"/>
                <w:sz w:val="20"/>
              </w:rPr>
              <w:t>（4）严禁使用国家明令淘汰的机械设备进场，所有机械设备在进场及施工前均须进行调试、检查，以保障施工安全。</w:t>
            </w:r>
          </w:p>
        </w:tc>
      </w:tr>
      <w:tr w14:paraId="3EDF2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01" w:type="dxa"/>
          </w:tcPr>
          <w:p w14:paraId="2F2085DF">
            <w:pPr>
              <w:pStyle w:val="4"/>
            </w:pPr>
            <w:r>
              <w:rPr>
                <w:rFonts w:ascii="仿宋_GB2312" w:hAnsi="仿宋_GB2312" w:eastAsia="仿宋_GB2312" w:cs="仿宋_GB2312"/>
              </w:rPr>
              <w:t>6</w:t>
            </w:r>
          </w:p>
        </w:tc>
        <w:tc>
          <w:tcPr>
            <w:tcW w:w="1369" w:type="dxa"/>
          </w:tcPr>
          <w:p w14:paraId="4F0178C3">
            <w:pPr>
              <w:pStyle w:val="4"/>
            </w:pPr>
            <w:r>
              <w:rPr>
                <w:rFonts w:ascii="仿宋_GB2312" w:hAnsi="仿宋_GB2312" w:eastAsia="仿宋_GB2312" w:cs="仿宋_GB2312"/>
              </w:rPr>
              <w:t>★</w:t>
            </w:r>
          </w:p>
        </w:tc>
        <w:tc>
          <w:tcPr>
            <w:tcW w:w="5537" w:type="dxa"/>
          </w:tcPr>
          <w:p w14:paraId="78710AEC">
            <w:pPr>
              <w:pStyle w:val="4"/>
            </w:pPr>
            <w:r>
              <w:rPr>
                <w:rFonts w:ascii="仿宋_GB2312" w:hAnsi="仿宋_GB2312" w:eastAsia="仿宋_GB2312" w:cs="仿宋_GB2312"/>
                <w:sz w:val="20"/>
              </w:rPr>
              <w:t>六、报价要求：</w:t>
            </w:r>
          </w:p>
          <w:p w14:paraId="62D9402E">
            <w:pPr>
              <w:pStyle w:val="4"/>
            </w:pPr>
            <w:r>
              <w:rPr>
                <w:rFonts w:ascii="仿宋_GB2312" w:hAnsi="仿宋_GB2312" w:eastAsia="仿宋_GB2312" w:cs="仿宋_GB2312"/>
                <w:sz w:val="20"/>
              </w:rPr>
              <w:t>供应商二次报价只报磋商总报价，供应商工程量清单相应综合单价应按照：工程量清单最终综合单价=一次报价中工程量清单综合单价×（二次报价磋商总报价/一次报价磋商总报价）；</w:t>
            </w:r>
          </w:p>
        </w:tc>
      </w:tr>
    </w:tbl>
    <w:p w14:paraId="00C3AA46">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14:paraId="38828111">
      <w:pPr>
        <w:pStyle w:val="4"/>
      </w:pPr>
      <w:r>
        <w:rPr>
          <w:rFonts w:ascii="仿宋_GB2312" w:hAnsi="仿宋_GB2312" w:eastAsia="仿宋_GB2312" w:cs="仿宋_GB2312"/>
        </w:rPr>
        <w:t>采购包1：</w:t>
      </w:r>
    </w:p>
    <w:p w14:paraId="6D18E6A5">
      <w:pPr>
        <w:pStyle w:val="4"/>
      </w:pPr>
      <w:r>
        <w:rPr>
          <w:rFonts w:ascii="仿宋_GB2312" w:hAnsi="仿宋_GB2312" w:eastAsia="仿宋_GB2312" w:cs="仿宋_GB2312"/>
        </w:rPr>
        <w:t>工程质量达到“合格”标准，供应商必须严格按照有关施工和验收规范进行施工，符合施工质量验收标准以及国家、省、市、行业及地方标准等相关规范要求。</w:t>
      </w:r>
    </w:p>
    <w:p w14:paraId="45850FA1">
      <w:pPr>
        <w:pStyle w:val="4"/>
        <w:ind w:firstLine="480"/>
      </w:pPr>
      <w:r>
        <w:rPr>
          <w:rFonts w:ascii="仿宋_GB2312" w:hAnsi="仿宋_GB2312" w:eastAsia="仿宋_GB2312" w:cs="仿宋_GB2312"/>
        </w:rPr>
        <w:t>三、针对本项目的其他技术服务要求：</w:t>
      </w:r>
    </w:p>
    <w:p w14:paraId="59769D2B">
      <w:pPr>
        <w:pStyle w:val="4"/>
      </w:pPr>
      <w:r>
        <w:rPr>
          <w:rFonts w:ascii="仿宋_GB2312" w:hAnsi="仿宋_GB2312" w:eastAsia="仿宋_GB2312" w:cs="仿宋_GB2312"/>
        </w:rPr>
        <w:t>符合施工质量验收标准以及国家、省、市、行业及地方标准等相关规范要求</w:t>
      </w:r>
    </w:p>
    <w:p w14:paraId="1C392C02">
      <w:pPr>
        <w:pStyle w:val="4"/>
        <w:ind w:firstLine="480"/>
      </w:pPr>
      <w:r>
        <w:rPr>
          <w:rFonts w:ascii="仿宋_GB2312" w:hAnsi="仿宋_GB2312" w:eastAsia="仿宋_GB2312" w:cs="仿宋_GB2312"/>
        </w:rPr>
        <w:t>四、工程量清单（详见附件）</w:t>
      </w:r>
    </w:p>
    <w:p w14:paraId="007EF793">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14:paraId="07AC8611">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F62E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259298">
            <w:pPr>
              <w:pStyle w:val="4"/>
            </w:pPr>
            <w:r>
              <w:rPr>
                <w:rFonts w:ascii="仿宋_GB2312" w:hAnsi="仿宋_GB2312" w:eastAsia="仿宋_GB2312" w:cs="仿宋_GB2312"/>
              </w:rPr>
              <w:t>序号</w:t>
            </w:r>
          </w:p>
        </w:tc>
        <w:tc>
          <w:tcPr>
            <w:tcW w:w="2769" w:type="dxa"/>
          </w:tcPr>
          <w:p w14:paraId="2845F111">
            <w:pPr>
              <w:pStyle w:val="4"/>
            </w:pPr>
            <w:r>
              <w:rPr>
                <w:rFonts w:ascii="仿宋_GB2312" w:hAnsi="仿宋_GB2312" w:eastAsia="仿宋_GB2312" w:cs="仿宋_GB2312"/>
              </w:rPr>
              <w:t>项目</w:t>
            </w:r>
          </w:p>
        </w:tc>
        <w:tc>
          <w:tcPr>
            <w:tcW w:w="2769" w:type="dxa"/>
          </w:tcPr>
          <w:p w14:paraId="0CA444F7">
            <w:pPr>
              <w:pStyle w:val="4"/>
            </w:pPr>
            <w:r>
              <w:rPr>
                <w:rFonts w:ascii="仿宋_GB2312" w:hAnsi="仿宋_GB2312" w:eastAsia="仿宋_GB2312" w:cs="仿宋_GB2312"/>
              </w:rPr>
              <w:t>要求</w:t>
            </w:r>
          </w:p>
        </w:tc>
      </w:tr>
      <w:tr w14:paraId="223D63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81FCBE4">
            <w:pPr>
              <w:pStyle w:val="4"/>
            </w:pPr>
            <w:r>
              <w:rPr>
                <w:rFonts w:ascii="仿宋_GB2312" w:hAnsi="仿宋_GB2312" w:eastAsia="仿宋_GB2312" w:cs="仿宋_GB2312"/>
              </w:rPr>
              <w:t>1</w:t>
            </w:r>
          </w:p>
        </w:tc>
        <w:tc>
          <w:tcPr>
            <w:tcW w:w="2769" w:type="dxa"/>
          </w:tcPr>
          <w:p w14:paraId="35DF4071">
            <w:pPr>
              <w:pStyle w:val="4"/>
            </w:pPr>
            <w:r>
              <w:rPr>
                <w:rFonts w:ascii="仿宋_GB2312" w:hAnsi="仿宋_GB2312" w:eastAsia="仿宋_GB2312" w:cs="仿宋_GB2312"/>
              </w:rPr>
              <w:t>项目负责人（项目经理）</w:t>
            </w:r>
          </w:p>
        </w:tc>
        <w:tc>
          <w:tcPr>
            <w:tcW w:w="2769" w:type="dxa"/>
          </w:tcPr>
          <w:p w14:paraId="65ED7B8C">
            <w:pPr>
              <w:pStyle w:val="4"/>
            </w:pPr>
            <w:r>
              <w:rPr>
                <w:rFonts w:ascii="仿宋_GB2312" w:hAnsi="仿宋_GB2312" w:eastAsia="仿宋_GB2312" w:cs="仿宋_GB2312"/>
              </w:rPr>
              <w:t>具体要求详见资格审查条款</w:t>
            </w:r>
          </w:p>
        </w:tc>
      </w:tr>
    </w:tbl>
    <w:p w14:paraId="1783F6FD">
      <w:pPr>
        <w:pStyle w:val="4"/>
        <w:outlineLvl w:val="3"/>
      </w:pPr>
      <w:r>
        <w:rPr>
          <w:rFonts w:ascii="仿宋_GB2312" w:hAnsi="仿宋_GB2312" w:eastAsia="仿宋_GB2312" w:cs="仿宋_GB2312"/>
          <w:b/>
          <w:sz w:val="24"/>
        </w:rPr>
        <w:t>说明：</w:t>
      </w:r>
    </w:p>
    <w:p w14:paraId="5CA860A2">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14:paraId="1352E4F2">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18B9CC80">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14:paraId="30C42837">
      <w:pPr>
        <w:pStyle w:val="4"/>
        <w:outlineLvl w:val="2"/>
      </w:pPr>
      <w:r>
        <w:rPr>
          <w:rFonts w:ascii="仿宋_GB2312" w:hAnsi="仿宋_GB2312" w:eastAsia="仿宋_GB2312" w:cs="仿宋_GB2312"/>
          <w:b/>
          <w:sz w:val="28"/>
        </w:rPr>
        <w:t>3.3其他要求</w:t>
      </w:r>
    </w:p>
    <w:p w14:paraId="0A2BAB10">
      <w:pPr>
        <w:pStyle w:val="4"/>
      </w:pPr>
      <w:r>
        <w:rPr>
          <w:rFonts w:ascii="仿宋_GB2312" w:hAnsi="仿宋_GB2312" w:eastAsia="仿宋_GB2312" w:cs="仿宋_GB2312"/>
        </w:rPr>
        <w:t>★1、本项目为固定单价合同，交钥匙工程。 ★2、本项目付款方式为： 1.中标公示期结束后，须在3个自然日内正式签订施工合同。 2.预付款支付条款：合同签订后，甲方应在5个工作日内向乙方支付合同总金额的60%作为工程项目预付款，以确保工程顺利启动。 3.进度款支付安排：依据施工进度的实际完成情况，按阶段支付合同总金额的30%作为进度款项，具体支付节点由双方协商确定。 4.尾款结算方式：乙方须严格按照甲方的要求完成所有施工内容，待工程经甲方竣工验收合格后，甲方应在5日内结清剩余10%的尾款。 5.票据要求：在甲方支付每笔工程款项前，乙方均须提前开具与支付金额等额的增值税专用发票，以符合财务及税务管理规范。 ★3、本项目工期：90日历天。 ★4、质量标准：满足国家现行施工验收规范合格标准。 ★5、保修期：本项目质保期为2年，防水工程五年，保修期自验收合格并开具质量保证书之日起计算。 ★6、违约责任及解决争议的方法：依据《中华人民共和国民法典》、《中华人民共和国政府采购法》的相关条款和本合同约定执行。 1.若乙方未全面履行合同义务或者提供的服务质量不能满足本合同或甲方竞争性磋商文件及乙方响应文件约定的或乙方发生违约，乙方必须无条件按甲方要求的时限进行整改，否则甲方有权单方解除合同，解除合同书面通知书送达乙方之日视为合同已解除，并按以下两种方式追究乙方的违约责任： （1）乙方赔偿甲方解除合同的全部损失（包括但不限于重新采购产生的费用以及其它由此造成的甲方对第三方的违约损失等）； （2）乙方支付甲方违约金，违约金计算方法：以合同总价为基数，支付甲方合同总价的30%为违约金。同时，对乙方的违约行为报监管机构进行相应的处罚。 2.若乙方未按照本合同第约定的时间响应并排除故障的，每超过一天，扣除乙方合同总价款的 10 ‰，累计超过 5 日，视为乙方根本违约，甲方有权单方解除合同，解除合同书面通知书到达乙方之日视为合同已解除，并要求乙方按本条第1款之约定承担根本违约责任。 3.由于乙方技术或其他原因造成甲方设备配件损坏，乙方负责免费修复或更换配件，无法修复的，乙方应赔偿由此给甲方造成的全部损失。乙方服务期间维修、维保所用的器材及材料不符合相关质量标准的，乙方必须在 2 日内无条件免费更换，规定期限内拒绝更换或更换 2 次后仍不符合质量要求的，甲方有权单方解除本合同并有权要求乙方按照本条第1款的规定承担根本违约责任。 4.在合同期限内，乙方不得擅自转包、分包本合同项下的合同义务，否则甲方有权单方解除本合同并有权要求乙方按照本条第1款的规定承担根本违约责任。 本合同在履行过程中发生的争议，由甲、乙双方当事人协商解决，协商不成的任意一方可向甲方所在地有管辖权的人民法院提起诉讼。</w:t>
      </w:r>
    </w:p>
    <w:p w14:paraId="00D1536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p w14:paraId="3731066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58D5B7B"/>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3060</Words>
  <Characters>3398</Characters>
  <Lines>0</Lines>
  <Paragraphs>0</Paragraphs>
  <TotalTime>0</TotalTime>
  <ScaleCrop>false</ScaleCrop>
  <LinksUpToDate>false</LinksUpToDate>
  <CharactersWithSpaces>3437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dcterms:modified xsi:type="dcterms:W3CDTF">2026-07-30T08:54:28Z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eyJoZGlkIjoiYTJlZjA2NTlmZWNmZjg1ZDk5N2IwNjAwOWUzYjdlNmQiLCJ1c2VySWQiOiIxMjgyNzk5NzE0In0=</vt:lpwstr>
  </property>
  <property fmtid="{D5CDD505-2E9C-101B-9397-08002B2CF9AE}" pid="4" name="ICV">
    <vt:lpwstr>9ABAF63188BE4CC5B46448768E135141_12</vt:lpwstr>
  </property>
</Properties>
</file>