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版本号：SCIT-ZC-SX2026060003.1B120260720001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南家属院七号楼改造工程(二次)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SCIT-ZC-SX2026060003.1B1</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南家属院七号楼改造工程(二次)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SCIT-ZC-SX2026060003.1B1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南家属院七号楼改造工程(二次)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本项目共1个包 ，用于南家属院七号楼改造工程（具体详见磋商文件）。 采购包预算金额（元）: 49,3647.79； 采购包最高限价（元）: 49,3647.79。</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采购包1（南家属院七号楼改造工程）：属于专门面向中小企业采购。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授权书及被授权人身份证明及被授权人磋商截止前六个月内任意一个月（不含磋商当月）在本公司缴纳的社保证明，（法定代表人直接参与磋商只须提交其身份证明）， 供应商需在项目电子化交易系统中按要求进行电子签章。</w:t>
      </w:r>
    </w:p>
    <w:p>
      <w:pPr>
        <w:pStyle w:val="null3"/>
      </w:pPr>
      <w:r>
        <w:rPr>
          <w:rFonts w:ascii="仿宋_GB2312" w:hAnsi="仿宋_GB2312" w:cs="仿宋_GB2312" w:eastAsia="仿宋_GB2312"/>
        </w:rPr>
        <w:t>2、信用查询：采购人或采购代理机构将于本项目磋商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pPr>
      <w:r>
        <w:rPr>
          <w:rFonts w:ascii="仿宋_GB2312" w:hAnsi="仿宋_GB2312" w:cs="仿宋_GB2312" w:eastAsia="仿宋_GB2312"/>
        </w:rPr>
        <w:t>3、供应商资质要求：供应商应具备建筑工程施工总承包三级（含三级）及以上资质或建筑装修装饰工程专业承包二级（含二级）及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要求：供应商拟派项目负责人须具备建筑工程专业贰级及以上注册建造师资质、具有安全生产考核合格证（B证）且无在建工程（提供无在建工程承诺函）；供应商需在项目电子化交易系统中按要求上传相应证明文件并进行电子签章。</w:t>
      </w:r>
    </w:p>
    <w:p>
      <w:pPr>
        <w:pStyle w:val="null3"/>
      </w:pPr>
      <w:r>
        <w:rPr>
          <w:rFonts w:ascii="仿宋_GB2312" w:hAnsi="仿宋_GB2312" w:cs="仿宋_GB2312" w:eastAsia="仿宋_GB2312"/>
        </w:rPr>
        <w:t>5、省外企业备案：省外企业须为“陕西省建筑市场监管与诚信信息一体化平台”备案企业；采购人或采购代理机构将于本项目磋商截止日在“陕西省建筑市场监管与诚信信息一体化平台”对供应商进行备案记录查询，未在“陕西省建筑市场监管与诚信信息一体化平台”备案的将被拒绝。</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西安邮电大学经办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88166850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郝丽鹏、刘江媚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029-88854271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采购包1：493,647.79元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电热水器</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电热水器</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开户名称：四川国际招标有限责任公司陕西分公司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银行账号：9902001856738479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说明：签订合同前，成交供应商应向采购人缴纳成交金额5%的履约保证金。项目验收合格后，采购人一次性无息退还5%的履约保证金给成交人。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作为计算基数,参照国家计委计价[2002]1980号及发改办价格[2003]857号通知规定50万元以下按标准的100%、50万元（含）以上按标准的80%计取支付，由成交人在领取成交通知书前向招标代理机构交纳招标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踏勘时间：2026-07-28 10:00:00</w:t>
            </w:r>
          </w:p>
          <w:p>
            <w:pPr>
              <w:pStyle w:val="null3"/>
              <w:ind w:firstLine="975"/>
            </w:pPr>
            <w:r>
              <w:rPr>
                <w:rFonts w:ascii="仿宋_GB2312" w:hAnsi="仿宋_GB2312" w:cs="仿宋_GB2312" w:eastAsia="仿宋_GB2312"/>
              </w:rPr>
              <w:t>踏勘地点：西安邮电大学雁塔校区南家属院门口</w:t>
            </w:r>
          </w:p>
          <w:p>
            <w:pPr>
              <w:pStyle w:val="null3"/>
              <w:ind w:firstLine="975"/>
            </w:pPr>
            <w:r>
              <w:rPr>
                <w:rFonts w:ascii="仿宋_GB2312" w:hAnsi="仿宋_GB2312" w:cs="仿宋_GB2312" w:eastAsia="仿宋_GB2312"/>
              </w:rPr>
              <w:t>联系人：田老师</w:t>
            </w:r>
          </w:p>
          <w:p>
            <w:pPr>
              <w:pStyle w:val="null3"/>
              <w:ind w:firstLine="975"/>
            </w:pPr>
            <w:r>
              <w:rPr>
                <w:rFonts w:ascii="仿宋_GB2312" w:hAnsi="仿宋_GB2312" w:cs="仿宋_GB2312" w:eastAsia="仿宋_GB2312"/>
              </w:rPr>
              <w:t>联系电话号码：15091096703</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西安邮电大学</w:t>
      </w:r>
      <w:r>
        <w:rPr>
          <w:rFonts w:ascii="仿宋_GB2312" w:hAnsi="仿宋_GB2312" w:cs="仿宋_GB2312" w:eastAsia="仿宋_GB2312"/>
        </w:rPr>
        <w:t>负责解释。除上述磋商文件内容，其他内容由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供应商将在采购项目实施过程中采用自有或者第三方知识成果的，使用该知识成果后，供应商需提供相关技术资料，并承诺提供无限期支持，采购人享有使用权。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见磋商文件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联系人：郝丽鹏、刘江媚</w:t>
      </w:r>
    </w:p>
    <w:p>
      <w:pPr>
        <w:pStyle w:val="null3"/>
      </w:pPr>
      <w:r>
        <w:rPr>
          <w:rFonts w:ascii="仿宋_GB2312" w:hAnsi="仿宋_GB2312" w:cs="仿宋_GB2312" w:eastAsia="仿宋_GB2312"/>
        </w:rPr>
        <w:t>联系电话：029-88854271</w:t>
      </w:r>
    </w:p>
    <w:p>
      <w:pPr>
        <w:pStyle w:val="null3"/>
      </w:pPr>
      <w:r>
        <w:rPr>
          <w:rFonts w:ascii="仿宋_GB2312" w:hAnsi="仿宋_GB2312" w:cs="仿宋_GB2312" w:eastAsia="仿宋_GB2312"/>
        </w:rPr>
        <w:t>地址： 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493,647.79</w:t>
      </w:r>
    </w:p>
    <w:p>
      <w:pPr>
        <w:pStyle w:val="null3"/>
      </w:pPr>
      <w:r>
        <w:rPr>
          <w:rFonts w:ascii="仿宋_GB2312" w:hAnsi="仿宋_GB2312" w:cs="仿宋_GB2312" w:eastAsia="仿宋_GB2312"/>
        </w:rPr>
        <w:t>采购包最高限价（元）: 493,647.79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南家属院七号楼改造工程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493,647.79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标的名称：南家属院七号楼改造工程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1.项目概况：西安邮电大学南家属院七号楼改造工程</w:t>
            </w:r>
          </w:p>
          <w:p>
            <w:pPr>
              <w:pStyle w:val="null3"/>
            </w:pPr>
            <w:r>
              <w:rPr>
                <w:rFonts w:ascii="仿宋_GB2312" w:hAnsi="仿宋_GB2312" w:cs="仿宋_GB2312" w:eastAsia="仿宋_GB2312"/>
                <w:sz w:val="21"/>
              </w:rPr>
              <w:t>主要施工内容：</w:t>
            </w:r>
          </w:p>
          <w:p>
            <w:pPr>
              <w:pStyle w:val="null3"/>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装饰工程</w:t>
            </w:r>
          </w:p>
          <w:p>
            <w:pPr>
              <w:pStyle w:val="null3"/>
            </w:pPr>
            <w:r>
              <w:rPr>
                <w:rFonts w:ascii="仿宋_GB2312" w:hAnsi="仿宋_GB2312" w:cs="仿宋_GB2312" w:eastAsia="仿宋_GB2312"/>
                <w:sz w:val="21"/>
              </w:rPr>
              <w:t>窗帘安装，所有台阶踏步维修，安装防护网等。</w:t>
            </w:r>
          </w:p>
          <w:p>
            <w:pPr>
              <w:pStyle w:val="null3"/>
            </w:pPr>
            <w:r>
              <w:rPr>
                <w:rFonts w:ascii="仿宋_GB2312" w:hAnsi="仿宋_GB2312" w:cs="仿宋_GB2312" w:eastAsia="仿宋_GB2312"/>
                <w:sz w:val="21"/>
              </w:rPr>
              <w:t>1.</w:t>
            </w:r>
            <w:r>
              <w:rPr>
                <w:rFonts w:ascii="仿宋_GB2312" w:hAnsi="仿宋_GB2312" w:cs="仿宋_GB2312" w:eastAsia="仿宋_GB2312"/>
                <w:sz w:val="21"/>
              </w:rPr>
              <w:t>2.电气改造工程</w:t>
            </w:r>
          </w:p>
          <w:p>
            <w:pPr>
              <w:pStyle w:val="null3"/>
            </w:pPr>
            <w:r>
              <w:rPr>
                <w:rFonts w:ascii="仿宋_GB2312" w:hAnsi="仿宋_GB2312" w:cs="仿宋_GB2312" w:eastAsia="仿宋_GB2312"/>
                <w:sz w:val="21"/>
              </w:rPr>
              <w:t>公寓楼内增加热水器线缆、控制电箱，电表，热水器安装调试等；</w:t>
            </w:r>
          </w:p>
          <w:p>
            <w:pPr>
              <w:pStyle w:val="null3"/>
            </w:pPr>
            <w:r>
              <w:rPr>
                <w:rFonts w:ascii="仿宋_GB2312" w:hAnsi="仿宋_GB2312" w:cs="仿宋_GB2312" w:eastAsia="仿宋_GB2312"/>
                <w:sz w:val="21"/>
              </w:rPr>
              <w:t>1.</w:t>
            </w:r>
            <w:r>
              <w:rPr>
                <w:rFonts w:ascii="仿宋_GB2312" w:hAnsi="仿宋_GB2312" w:cs="仿宋_GB2312" w:eastAsia="仿宋_GB2312"/>
                <w:sz w:val="21"/>
              </w:rPr>
              <w:t>3.给排水工程</w:t>
            </w:r>
          </w:p>
          <w:p>
            <w:pPr>
              <w:pStyle w:val="null3"/>
            </w:pPr>
            <w:r>
              <w:rPr>
                <w:rFonts w:ascii="仿宋_GB2312" w:hAnsi="仿宋_GB2312" w:cs="仿宋_GB2312" w:eastAsia="仿宋_GB2312"/>
                <w:sz w:val="21"/>
              </w:rPr>
              <w:t>所有排水管道疏通检查</w:t>
            </w:r>
          </w:p>
          <w:p>
            <w:pPr>
              <w:pStyle w:val="null3"/>
            </w:pPr>
            <w:r>
              <w:rPr>
                <w:rFonts w:ascii="仿宋_GB2312" w:hAnsi="仿宋_GB2312" w:cs="仿宋_GB2312" w:eastAsia="仿宋_GB2312"/>
                <w:sz w:val="21"/>
              </w:rPr>
              <w:t>1.</w:t>
            </w:r>
            <w:r>
              <w:rPr>
                <w:rFonts w:ascii="仿宋_GB2312" w:hAnsi="仿宋_GB2312" w:cs="仿宋_GB2312" w:eastAsia="仿宋_GB2312"/>
                <w:sz w:val="21"/>
              </w:rPr>
              <w:t>4.暖气管道改造，更换 PPR 热水管，水暖井内截断旧管施工</w:t>
            </w:r>
            <w:r>
              <w:rPr>
                <w:rFonts w:ascii="仿宋_GB2312" w:hAnsi="仿宋_GB2312" w:cs="仿宋_GB2312" w:eastAsia="仿宋_GB2312"/>
              </w:rPr>
              <w:t xml:space="preserve"> </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2.施工质量标准：达到国家现行合格标准；</w:t>
            </w:r>
          </w:p>
          <w:p>
            <w:pPr>
              <w:pStyle w:val="null3"/>
              <w:jc w:val="left"/>
            </w:pPr>
            <w:r>
              <w:rPr>
                <w:rFonts w:ascii="仿宋_GB2312" w:hAnsi="仿宋_GB2312" w:cs="仿宋_GB2312" w:eastAsia="仿宋_GB2312"/>
                <w:sz w:val="21"/>
              </w:rPr>
              <w:t>3.工程量清单及要求：（详见后附工程量清单）</w:t>
            </w:r>
          </w:p>
          <w:p>
            <w:pPr>
              <w:pStyle w:val="null3"/>
              <w:jc w:val="both"/>
            </w:pPr>
            <w:r>
              <w:rPr>
                <w:rFonts w:ascii="仿宋_GB2312" w:hAnsi="仿宋_GB2312" w:cs="仿宋_GB2312" w:eastAsia="仿宋_GB2312"/>
              </w:rPr>
              <w:t>4.</w:t>
            </w:r>
            <w:r>
              <w:rPr>
                <w:rFonts w:ascii="仿宋_GB2312" w:hAnsi="仿宋_GB2312" w:cs="仿宋_GB2312" w:eastAsia="仿宋_GB2312"/>
              </w:rPr>
              <w:t>本项目为固定综合单价合同，工程量据实结算。</w:t>
            </w:r>
          </w:p>
          <w:p>
            <w:pPr>
              <w:pStyle w:val="null3"/>
              <w:jc w:val="both"/>
            </w:pPr>
            <w:r>
              <w:rPr>
                <w:rFonts w:ascii="仿宋_GB2312" w:hAnsi="仿宋_GB2312" w:cs="仿宋_GB2312" w:eastAsia="仿宋_GB2312"/>
              </w:rPr>
              <w:t>5.</w:t>
            </w:r>
            <w:r>
              <w:rPr>
                <w:rFonts w:ascii="仿宋_GB2312" w:hAnsi="仿宋_GB2312" w:cs="仿宋_GB2312" w:eastAsia="仿宋_GB2312"/>
                <w:sz w:val="24"/>
              </w:rPr>
              <w:t>施工要求：</w:t>
            </w:r>
          </w:p>
          <w:p>
            <w:pPr>
              <w:pStyle w:val="null3"/>
              <w:ind w:firstLine="480"/>
              <w:jc w:val="both"/>
            </w:pPr>
            <w:r>
              <w:rPr>
                <w:rFonts w:ascii="仿宋_GB2312" w:hAnsi="仿宋_GB2312" w:cs="仿宋_GB2312" w:eastAsia="仿宋_GB2312"/>
                <w:sz w:val="21"/>
              </w:rPr>
              <w:t>5.1</w:t>
            </w:r>
            <w:r>
              <w:rPr>
                <w:rFonts w:ascii="仿宋_GB2312" w:hAnsi="仿宋_GB2312" w:cs="仿宋_GB2312" w:eastAsia="仿宋_GB2312"/>
                <w:sz w:val="21"/>
              </w:rPr>
              <w:t>为了保证工程的质量与进度，成交供应商派驻施工现场的项目经理（负责人）、技术负责</w:t>
            </w:r>
            <w:r>
              <w:rPr>
                <w:rFonts w:ascii="仿宋_GB2312" w:hAnsi="仿宋_GB2312" w:cs="仿宋_GB2312" w:eastAsia="仿宋_GB2312"/>
                <w:sz w:val="21"/>
              </w:rPr>
              <w:t>人</w:t>
            </w:r>
            <w:r>
              <w:rPr>
                <w:rFonts w:ascii="仿宋_GB2312" w:hAnsi="仿宋_GB2312" w:cs="仿宋_GB2312" w:eastAsia="仿宋_GB2312"/>
                <w:sz w:val="21"/>
              </w:rPr>
              <w:t>必须与文件提供的项目经理（负责人）、技术负责</w:t>
            </w:r>
            <w:r>
              <w:rPr>
                <w:rFonts w:ascii="仿宋_GB2312" w:hAnsi="仿宋_GB2312" w:cs="仿宋_GB2312" w:eastAsia="仿宋_GB2312"/>
                <w:sz w:val="21"/>
              </w:rPr>
              <w:t>人</w:t>
            </w:r>
            <w:r>
              <w:rPr>
                <w:rFonts w:ascii="仿宋_GB2312" w:hAnsi="仿宋_GB2312" w:cs="仿宋_GB2312" w:eastAsia="仿宋_GB2312"/>
                <w:sz w:val="21"/>
              </w:rPr>
              <w:t>及项目管理人员一致，且在施工期内必须每天保证至少有一人驻守施工现场组织施工和技术管理工作；</w:t>
            </w:r>
          </w:p>
          <w:p>
            <w:pPr>
              <w:pStyle w:val="null3"/>
              <w:ind w:firstLine="480"/>
              <w:jc w:val="both"/>
            </w:pPr>
            <w:r>
              <w:rPr>
                <w:rFonts w:ascii="仿宋_GB2312" w:hAnsi="仿宋_GB2312" w:cs="仿宋_GB2312" w:eastAsia="仿宋_GB2312"/>
                <w:sz w:val="21"/>
              </w:rPr>
              <w:t>5.2</w:t>
            </w:r>
            <w:r>
              <w:rPr>
                <w:rFonts w:ascii="仿宋_GB2312" w:hAnsi="仿宋_GB2312" w:cs="仿宋_GB2312" w:eastAsia="仿宋_GB2312"/>
                <w:sz w:val="21"/>
              </w:rPr>
              <w:t>由于本项目工期紧、任务重，成交单位在施工过程中各个部门紧密配合，各个施工点可以同时作业，从而保证施工的质量与效率。</w:t>
            </w:r>
          </w:p>
          <w:p>
            <w:pPr>
              <w:pStyle w:val="null3"/>
            </w:pPr>
            <w:r>
              <w:rPr>
                <w:rFonts w:ascii="仿宋_GB2312" w:hAnsi="仿宋_GB2312" w:cs="仿宋_GB2312" w:eastAsia="仿宋_GB2312"/>
                <w:sz w:val="21"/>
              </w:rPr>
              <w:t>5.3</w:t>
            </w:r>
            <w:r>
              <w:rPr>
                <w:rFonts w:ascii="仿宋_GB2312" w:hAnsi="仿宋_GB2312" w:cs="仿宋_GB2312" w:eastAsia="仿宋_GB2312"/>
                <w:sz w:val="21"/>
              </w:rPr>
              <w:t>项目施工过程中所有责任由成交人承担，施工完成后，提供完整的竣工资料，包括但不限于竣工图纸、过程资料等。</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符合国家及行业验收合格标准，质量合格。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符合国家及行业验收合格标准，质量合格。</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 完工时间：合同签订后 25个日历日内竣工并交付验收； 3.3.2 验收： 3.3.2.1 采购人组织安排验收，成交供应商提供工程量清单以及图纸配合验收工作。 3.3.2.2验收标准：依据国家相关行业质量验收规范合格标准进行验收。 3.3.3付款方式及条件（因系统固化原因，付款以此为准） 3.3.3.1 款项结算：在付款前，必须开具全额增值税专用发票交付采购人。 3.3.3.2付款方式：工程施工完毕验收合格后支付合同金额的60%,经审计部门审计后支付至审计金额的97%,剩余3%待缺陷责任期（2年）满无任何争议后支付。 3.3.3.3质保期： 工程整体质量保修期不少于 2 年（其中电热水器质保期不少于3年），自验收合格之日起计算，若供应商承诺多于 2年则按其承诺，保修期内须提供24小时内的紧急维修服务。 注：商务要求及其他要求不允许负偏离。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 2.具备良好商业信誉的证明材料（按照磋商文件格式提供承诺函）； 3.具备健全的财务会计制度的证明材料。｛注：①可提供2025或2024年度经审计的财务报告复印件（包含审计报告和审计报告中所涉及的财务报表和报表附注），②也可提供供应商内部的2025或2024年度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⑤也可提供政府采购信用担保机构出具的《政府采购投标担保函》｝ 4.具有依法缴纳税收和社会保障资金的良好记录（①社会保障资金缴纳证明：提供2025年6月1日至今已缴存的任一月份的社会保障资金缴存单据或社保机构开具的社会保险参保缴费情况证明，依法不需要缴纳社会保障资金的供应商应提供相关文件证明； ）；②提供2025年6月1日至今已缴纳的至少一个月的纳税证明或完税证明，依法免税的单位应提供相关证明材料；）； 5.具备履行合同所必需的设备和专业技术能力的证明材料（按照磋商文件格式提供承诺函）； 6.参加政府采购活动前3年内在经营活动中没有重大违法记录的承诺函（按照磋商文件格式提供承诺函）； 7.具备法律、行政法规规定的其他条件的证明材料（按照磋商文件格式提供承诺函）；供应商需在项目电子化交易系统中按要求填写《响应函》完成承诺并进行电子签章。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2025或2024年度经审计的财务报告复印件（包含审计报告和审计报告中所涉及的财务报表和报表附注），②也可提供供应商内部的2025或2024年度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⑤也可提供政府采购信用担保机构出具的《政府采购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w:t>
            </w:r>
          </w:p>
        </w:tc>
        <w:tc>
          <w:tcPr>
            <w:tcW w:type="dxa" w:w="3322"/>
          </w:tcPr>
          <w:p>
            <w:pPr>
              <w:pStyle w:val="null3"/>
            </w:pPr>
            <w:r>
              <w:rPr>
                <w:rFonts w:ascii="仿宋_GB2312" w:hAnsi="仿宋_GB2312" w:cs="仿宋_GB2312" w:eastAsia="仿宋_GB2312"/>
              </w:rPr>
              <w:t>法定代表人授权书及被授权人身份证明及被授权人磋商截止前六个月内任意一个月（不含磋商当月）在本公司缴纳的社保证明，（法定代表人直接参与磋商只须提交其身份证明）， 供应商需在项目电子化交易系统中按要求进行电子签章。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采购人或采购代理机构将于本项目磋商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响应函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具备建筑工程施工总承包三级（含三级）及以上资质或建筑装修装饰工程专业承包二级（含二级）及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项目负责人要求</w:t>
            </w:r>
          </w:p>
        </w:tc>
        <w:tc>
          <w:tcPr>
            <w:tcW w:type="dxa" w:w="3322"/>
          </w:tcPr>
          <w:p>
            <w:pPr>
              <w:pStyle w:val="null3"/>
            </w:pPr>
            <w:r>
              <w:rPr>
                <w:rFonts w:ascii="仿宋_GB2312" w:hAnsi="仿宋_GB2312" w:cs="仿宋_GB2312" w:eastAsia="仿宋_GB2312"/>
              </w:rPr>
              <w:t>供应商拟派项目负责人须具备建筑工程专业贰级及以上注册建造师资质、具有安全生产考核合格证（B证）且无在建工程（提供无在建工程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省外企业备案</w:t>
            </w:r>
          </w:p>
        </w:tc>
        <w:tc>
          <w:tcPr>
            <w:tcW w:type="dxa" w:w="3322"/>
          </w:tcPr>
          <w:p>
            <w:pPr>
              <w:pStyle w:val="null3"/>
            </w:pPr>
            <w:r>
              <w:rPr>
                <w:rFonts w:ascii="仿宋_GB2312" w:hAnsi="仿宋_GB2312" w:cs="仿宋_GB2312" w:eastAsia="仿宋_GB2312"/>
              </w:rPr>
              <w:t>省外企业须为“陕西省建筑市场监管与诚信信息一体化平台”备案企业；采购人或采购代理机构将于本项目磋商截止日在“陕西省建筑市场监管与诚信信息一体化平台”对供应商进行备案记录查询，未在“陕西省建筑市场监管与诚信信息一体化平台”备案的将被拒绝。</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技术服务合同条款及其他商务要求应答表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（1）响应文件组成明显不符合采购文件的规定要求，影响磋商小组评判的； （2）响应文件的语言、计量单位、知识产权、响应有效期等不符合采购文件的规定，影响磋商小组评判的；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 （5）未按规定缴纳磋商保证金的；（6）未标价的工程量清单。</w:t>
            </w:r>
          </w:p>
        </w:tc>
        <w:tc>
          <w:tcPr>
            <w:tcW w:type="dxa" w:w="3322"/>
          </w:tcPr>
          <w:p>
            <w:pPr>
              <w:pStyle w:val="null3"/>
            </w:pPr>
            <w:r>
              <w:rPr>
                <w:rFonts w:ascii="仿宋_GB2312" w:hAnsi="仿宋_GB2312" w:cs="仿宋_GB2312" w:eastAsia="仿宋_GB2312"/>
              </w:rPr>
              <w:t>（1）响应文件组成明显不符合采购文件的规定要求，影响磋商小组评判的； （2）响应文件的语言、计量单位、知识产权、响应有效期等不符合采购文件的规定，影响磋商小组评判的；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 （5）未按规定缴纳磋商保证金的；（6）未标价的工程量清单。</w:t>
            </w:r>
          </w:p>
        </w:tc>
        <w:tc>
          <w:tcPr>
            <w:tcW w:type="dxa" w:w="1661"/>
          </w:tcPr>
          <w:p>
            <w:pPr>
              <w:pStyle w:val="null3"/>
            </w:pPr>
            <w:r>
              <w:rPr>
                <w:rFonts w:ascii="仿宋_GB2312" w:hAnsi="仿宋_GB2312" w:cs="仿宋_GB2312" w:eastAsia="仿宋_GB2312"/>
              </w:rPr>
              <w:t>响应文件封面 响应文件其他格式.docx 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供应商提供的本项目施工方案①施工工艺②施工方法③技术响应措施进行综合打分，完全响应得9分；方案中每有一项内容缺失扣3分，方案内容要素中每存在一处缺陷扣0.5分，该分项分值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响应文件其他格式.docx</w:t>
            </w:r>
          </w:p>
        </w:tc>
      </w:tr>
      <w:tr>
        <w:tc>
          <w:tcPr>
            <w:tcW w:type="dxa" w:w="831"/>
            <w:vMerge/>
          </w:tcPr>
          <w:p/>
        </w:tc>
        <w:tc>
          <w:tcPr>
            <w:tcW w:type="dxa" w:w="1661"/>
          </w:tcPr>
          <w:p>
            <w:pPr>
              <w:pStyle w:val="null3"/>
            </w:pPr>
            <w:r>
              <w:rPr>
                <w:rFonts w:ascii="仿宋_GB2312" w:hAnsi="仿宋_GB2312" w:cs="仿宋_GB2312" w:eastAsia="仿宋_GB2312"/>
              </w:rPr>
              <w:t>机械配置方案</w:t>
            </w:r>
          </w:p>
        </w:tc>
        <w:tc>
          <w:tcPr>
            <w:tcW w:type="dxa" w:w="2492"/>
          </w:tcPr>
          <w:p>
            <w:pPr>
              <w:pStyle w:val="null3"/>
            </w:pPr>
            <w:r>
              <w:rPr>
                <w:rFonts w:ascii="仿宋_GB2312" w:hAnsi="仿宋_GB2312" w:cs="仿宋_GB2312" w:eastAsia="仿宋_GB2312"/>
              </w:rPr>
              <w:t>根据供应商提供的 机械配置方案①施工所需机械设备清单②设备配备③劳保用品配置措施进行综合打分，完全响应得9分；方案中每有一项内容缺失扣3分，方案内容要素中每存在一处缺陷扣0.5分，该分项分值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响应文件其他格式.docx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供应商提供针对本项目的人员配备方案，包含①项目成员数量配备及劳动力保障措施 ②人员组成结构及人员的技术能力③相关资质及经验等综合评审，完全响应得9分；方案中每有一项内容缺失扣3分，方案内容要素中每存在一处缺陷扣0.5分，该分项分值扣完为止。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质量管理方案</w:t>
            </w:r>
          </w:p>
        </w:tc>
        <w:tc>
          <w:tcPr>
            <w:tcW w:type="dxa" w:w="2492"/>
          </w:tcPr>
          <w:p>
            <w:pPr>
              <w:pStyle w:val="null3"/>
            </w:pPr>
            <w:r>
              <w:rPr>
                <w:rFonts w:ascii="仿宋_GB2312" w:hAnsi="仿宋_GB2312" w:cs="仿宋_GB2312" w:eastAsia="仿宋_GB2312"/>
              </w:rPr>
              <w:t>供应商提供针对本项目的质量管理方案包含：①质量管理体系②质量保证措施，完全响应得6分 ；方案中每有一项内容缺失扣3分，方案内容要素中每存在一处缺陷扣0.5分，该分项分值扣完为止。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响应文件其他格式.docx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供应商提供针对本项目的工期及进度安排计划包含：①保证项目工期实施措施，②施工进度表或施工网络节点表措施，③出现特殊情况的应急预案进行综合评审：完全响应得6分 ；方案中每有一项内容缺失扣2分，方案内容要素中每存在一处缺陷扣0.5分，该分项分值扣完为止。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响应文件其他格式.docx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供应商提供针对本项目的环保方案，包含：①环境保护管理体系与措施②污染物处理及排放符合国家及地方环境保护标准响应措施；③现场扬尘预防措施进行综合评审：完全响应得 9分 ；方案中每有一项内容缺失扣3分，方案内容要素中每存在一处缺陷扣0.5分，该分项分值扣完为止。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响应文件其他格式.docx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根据供应商2023年01月01日至磋商响应截止时间同类业绩，每提供一份有效合同得2分，最高得10分。 注：供应商自己实施的，以合同签订时间为准，提供合同复印件。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根据供应商提供的①安全管理体系与措施②安全文明施工措施③安全教育及培训计划④安全防护措施等进行综合评审：完全响应得6分 ；方案中每有一项内容缺失扣1.5分，方案内容要素中每存在一处缺陷扣0.5分，该分项分值扣完为止。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响应文件其他格式.docx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对供应商提供的售后服务方案，包括①承诺维修响应时间②售后服务人员配置③工程质保承诺方案等进行综合评定：完全响应得6分 ；方案中每有一项内容缺失扣2分，方案内容要素中每存在一处缺陷扣0.5分，该分项分值扣完为止。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响应文件其他格式.docx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最低有效报价得30分。以本次最低有效报价为基准价，报价得分=(基准价÷磋商报价)×价格权值×100。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详见附件：响应文件其他格式.docx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详见附件：工程类合同模板.docx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