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B72CD">
      <w:pPr>
        <w:pStyle w:val="2"/>
        <w:jc w:val="center"/>
        <w:rPr>
          <w:rFonts w:hint="default" w:ascii="Times New Roman" w:hAnsi="Times New Roman" w:eastAsia="黑体"/>
          <w:b/>
          <w:sz w:val="36"/>
          <w:szCs w:val="36"/>
          <w:lang w:val="en-US" w:eastAsia="zh-CN"/>
        </w:rPr>
      </w:pPr>
      <w:r>
        <w:rPr>
          <w:rFonts w:hint="eastAsia" w:ascii="Times New Roman" w:hAnsi="Times New Roman" w:eastAsia="黑体"/>
          <w:b/>
          <w:sz w:val="36"/>
          <w:szCs w:val="36"/>
          <w:lang w:eastAsia="zh-CN"/>
        </w:rPr>
        <w:t>合同</w:t>
      </w:r>
      <w:r>
        <w:rPr>
          <w:rFonts w:hint="eastAsia" w:ascii="Times New Roman" w:hAnsi="Times New Roman" w:eastAsia="黑体"/>
          <w:b/>
          <w:sz w:val="36"/>
          <w:szCs w:val="36"/>
          <w:lang w:val="en-US" w:eastAsia="zh-CN"/>
        </w:rPr>
        <w:t>文本</w:t>
      </w:r>
    </w:p>
    <w:p w14:paraId="0549080E">
      <w:pPr>
        <w:pStyle w:val="3"/>
      </w:pPr>
    </w:p>
    <w:p w14:paraId="526FF139">
      <w:pPr>
        <w:adjustRightInd w:val="0"/>
        <w:snapToGrid w:val="0"/>
        <w:spacing w:line="360" w:lineRule="auto"/>
        <w:ind w:firstLine="562" w:firstLineChars="200"/>
        <w:rPr>
          <w:rFonts w:eastAsia="仿宋_GB2312"/>
          <w:sz w:val="28"/>
          <w:szCs w:val="28"/>
        </w:rPr>
      </w:pPr>
      <w:r>
        <w:rPr>
          <w:rFonts w:eastAsia="仿宋_GB2312"/>
          <w:b/>
          <w:sz w:val="28"/>
          <w:szCs w:val="28"/>
        </w:rPr>
        <w:t>甲方：（</w:t>
      </w:r>
      <w:r>
        <w:rPr>
          <w:rFonts w:eastAsia="仿宋_GB2312"/>
          <w:sz w:val="28"/>
          <w:szCs w:val="28"/>
        </w:rPr>
        <w:t xml:space="preserve">前款所称采购人）         </w:t>
      </w:r>
      <w:r>
        <w:rPr>
          <w:rFonts w:hint="eastAsia" w:eastAsia="仿宋_GB2312"/>
          <w:sz w:val="28"/>
          <w:szCs w:val="28"/>
        </w:rPr>
        <w:t xml:space="preserve"> </w:t>
      </w:r>
      <w:r>
        <w:rPr>
          <w:rFonts w:eastAsia="仿宋_GB2312"/>
          <w:sz w:val="28"/>
          <w:szCs w:val="28"/>
        </w:rPr>
        <w:t>住所：</w:t>
      </w:r>
    </w:p>
    <w:p w14:paraId="2B85EDE0">
      <w:pPr>
        <w:adjustRightInd w:val="0"/>
        <w:snapToGrid w:val="0"/>
        <w:spacing w:line="360" w:lineRule="auto"/>
        <w:ind w:firstLine="562" w:firstLineChars="200"/>
        <w:rPr>
          <w:rFonts w:eastAsia="仿宋_GB2312"/>
          <w:sz w:val="28"/>
          <w:szCs w:val="28"/>
        </w:rPr>
      </w:pPr>
      <w:r>
        <w:rPr>
          <w:rFonts w:eastAsia="仿宋_GB2312"/>
          <w:b/>
          <w:sz w:val="28"/>
          <w:szCs w:val="28"/>
        </w:rPr>
        <w:t>乙方：</w:t>
      </w:r>
      <w:r>
        <w:rPr>
          <w:rFonts w:eastAsia="仿宋_GB2312"/>
          <w:sz w:val="28"/>
          <w:szCs w:val="28"/>
        </w:rPr>
        <w:t xml:space="preserve">（前款所称成交供应商）     </w:t>
      </w:r>
      <w:r>
        <w:rPr>
          <w:rFonts w:hint="eastAsia" w:eastAsia="仿宋_GB2312"/>
          <w:sz w:val="28"/>
          <w:szCs w:val="28"/>
          <w:lang w:val="en-US" w:eastAsia="zh-CN"/>
        </w:rPr>
        <w:t xml:space="preserve"> </w:t>
      </w:r>
      <w:r>
        <w:rPr>
          <w:rFonts w:eastAsia="仿宋_GB2312"/>
          <w:sz w:val="28"/>
          <w:szCs w:val="28"/>
        </w:rPr>
        <w:t>住所：</w:t>
      </w:r>
    </w:p>
    <w:p w14:paraId="4C037FDE">
      <w:pPr>
        <w:adjustRightInd w:val="0"/>
        <w:snapToGrid w:val="0"/>
        <w:spacing w:line="360" w:lineRule="auto"/>
        <w:ind w:firstLine="562" w:firstLineChars="200"/>
        <w:rPr>
          <w:rFonts w:eastAsia="仿宋_GB2312"/>
          <w:b/>
          <w:sz w:val="28"/>
          <w:szCs w:val="28"/>
        </w:rPr>
      </w:pPr>
      <w:bookmarkStart w:id="0" w:name="_Toc19515384"/>
      <w:r>
        <w:rPr>
          <w:rFonts w:eastAsia="仿宋_GB2312"/>
          <w:b/>
          <w:sz w:val="28"/>
          <w:szCs w:val="28"/>
        </w:rPr>
        <w:t>一、</w:t>
      </w:r>
      <w:r>
        <w:rPr>
          <w:rFonts w:hint="eastAsia" w:eastAsia="仿宋_GB2312"/>
          <w:b/>
          <w:sz w:val="28"/>
          <w:szCs w:val="28"/>
          <w:lang w:eastAsia="zh-CN"/>
        </w:rPr>
        <w:t>合同</w:t>
      </w:r>
      <w:r>
        <w:rPr>
          <w:rFonts w:eastAsia="仿宋_GB2312"/>
          <w:b/>
          <w:sz w:val="28"/>
          <w:szCs w:val="28"/>
        </w:rPr>
        <w:t>内容</w:t>
      </w:r>
    </w:p>
    <w:bookmarkEnd w:id="0"/>
    <w:p w14:paraId="3D4D4B27">
      <w:pPr>
        <w:adjustRightInd w:val="0"/>
        <w:snapToGrid w:val="0"/>
        <w:spacing w:line="360" w:lineRule="auto"/>
        <w:ind w:firstLine="560" w:firstLineChars="200"/>
        <w:rPr>
          <w:rFonts w:eastAsia="仿宋_GB2312"/>
          <w:sz w:val="28"/>
          <w:szCs w:val="28"/>
          <w:lang w:val="zh-CN"/>
        </w:rPr>
      </w:pPr>
      <w:bookmarkStart w:id="1" w:name="_Toc19515385"/>
      <w:r>
        <w:rPr>
          <w:rFonts w:eastAsia="仿宋_GB2312"/>
          <w:sz w:val="28"/>
          <w:szCs w:val="28"/>
          <w:lang w:val="zh-CN"/>
        </w:rPr>
        <w:t>为</w:t>
      </w:r>
      <w:r>
        <w:rPr>
          <w:rFonts w:hint="eastAsia" w:eastAsia="仿宋_GB2312"/>
          <w:sz w:val="28"/>
          <w:szCs w:val="28"/>
        </w:rPr>
        <w:t>西安市雁塔区信访局事务</w:t>
      </w:r>
      <w:r>
        <w:rPr>
          <w:rFonts w:eastAsia="仿宋_GB2312"/>
          <w:sz w:val="28"/>
          <w:szCs w:val="28"/>
          <w:lang w:val="zh-CN"/>
        </w:rPr>
        <w:t>服务</w:t>
      </w:r>
      <w:r>
        <w:rPr>
          <w:rFonts w:hint="eastAsia" w:eastAsia="仿宋_GB2312"/>
          <w:sz w:val="28"/>
          <w:szCs w:val="28"/>
        </w:rPr>
        <w:t>项目</w:t>
      </w:r>
      <w:r>
        <w:rPr>
          <w:rFonts w:eastAsia="仿宋_GB2312"/>
          <w:sz w:val="28"/>
          <w:szCs w:val="28"/>
          <w:lang w:val="zh-CN"/>
        </w:rPr>
        <w:t>配备</w:t>
      </w:r>
      <w:r>
        <w:rPr>
          <w:rFonts w:hint="eastAsia" w:eastAsia="仿宋_GB2312"/>
          <w:sz w:val="28"/>
          <w:szCs w:val="28"/>
        </w:rPr>
        <w:t>6</w:t>
      </w:r>
      <w:r>
        <w:rPr>
          <w:rFonts w:eastAsia="仿宋_GB2312"/>
          <w:sz w:val="28"/>
          <w:szCs w:val="28"/>
          <w:lang w:val="zh-CN"/>
        </w:rPr>
        <w:t>名工作人员，</w:t>
      </w:r>
      <w:r>
        <w:rPr>
          <w:rFonts w:hint="eastAsia" w:eastAsia="仿宋_GB2312"/>
          <w:sz w:val="28"/>
          <w:szCs w:val="28"/>
        </w:rPr>
        <w:t>分别配合各科室完成相应的工作任务</w:t>
      </w:r>
      <w:r>
        <w:rPr>
          <w:rFonts w:eastAsia="仿宋_GB2312"/>
          <w:sz w:val="28"/>
          <w:szCs w:val="28"/>
          <w:lang w:val="zh-CN"/>
        </w:rPr>
        <w:t>。服务</w:t>
      </w:r>
      <w:r>
        <w:rPr>
          <w:rFonts w:hint="eastAsia" w:eastAsia="仿宋_GB2312"/>
          <w:sz w:val="28"/>
          <w:szCs w:val="28"/>
        </w:rPr>
        <w:t>人员</w:t>
      </w:r>
      <w:r>
        <w:rPr>
          <w:rFonts w:hint="eastAsia" w:eastAsia="仿宋_GB2312"/>
          <w:sz w:val="28"/>
          <w:szCs w:val="28"/>
          <w:lang w:val="en-US" w:eastAsia="zh-CN"/>
        </w:rPr>
        <w:t>需</w:t>
      </w:r>
      <w:r>
        <w:rPr>
          <w:rFonts w:eastAsia="仿宋_GB2312"/>
          <w:sz w:val="28"/>
          <w:szCs w:val="28"/>
          <w:lang w:val="zh-CN"/>
        </w:rPr>
        <w:t>具有</w:t>
      </w:r>
      <w:r>
        <w:rPr>
          <w:rFonts w:hint="eastAsia" w:eastAsia="仿宋_GB2312"/>
          <w:sz w:val="28"/>
          <w:szCs w:val="28"/>
        </w:rPr>
        <w:t>较强的语言表达能力、扎实的文字功底、一定的公文写作能力及</w:t>
      </w:r>
      <w:r>
        <w:rPr>
          <w:rFonts w:hint="eastAsia" w:eastAsia="仿宋_GB2312"/>
          <w:sz w:val="28"/>
          <w:szCs w:val="28"/>
          <w:lang w:val="zh-CN"/>
        </w:rPr>
        <w:t>经验，且具有较强的</w:t>
      </w:r>
      <w:r>
        <w:rPr>
          <w:rFonts w:hint="eastAsia" w:eastAsia="仿宋_GB2312"/>
          <w:sz w:val="28"/>
          <w:szCs w:val="28"/>
        </w:rPr>
        <w:t>工作责任心和综合</w:t>
      </w:r>
      <w:r>
        <w:rPr>
          <w:rFonts w:eastAsia="仿宋_GB2312"/>
          <w:sz w:val="28"/>
          <w:szCs w:val="28"/>
          <w:lang w:val="zh-CN"/>
        </w:rPr>
        <w:t>协调能力。负责</w:t>
      </w:r>
      <w:r>
        <w:rPr>
          <w:rFonts w:hint="eastAsia" w:eastAsia="仿宋_GB2312"/>
          <w:sz w:val="28"/>
          <w:szCs w:val="28"/>
        </w:rPr>
        <w:t>日常来访窗口登记接待；受理申请资料复查复核；相关案例搜集，督查督办；各项活动和会议宣传，工作总结、形成简报；各类文档的收发登记、收集整理、归档与保管等；日常财务收支的辅助核算。服务人员需及时协助各科室领导及干部做好信访事务的</w:t>
      </w:r>
      <w:r>
        <w:rPr>
          <w:rFonts w:eastAsia="仿宋_GB2312"/>
          <w:sz w:val="28"/>
          <w:szCs w:val="28"/>
          <w:lang w:val="zh-CN"/>
        </w:rPr>
        <w:t>转办、督查、回访工作，确保</w:t>
      </w:r>
      <w:r>
        <w:rPr>
          <w:rFonts w:hint="eastAsia" w:eastAsia="仿宋_GB2312"/>
          <w:sz w:val="28"/>
          <w:szCs w:val="28"/>
        </w:rPr>
        <w:t>信访工作</w:t>
      </w:r>
      <w:r>
        <w:rPr>
          <w:rFonts w:eastAsia="仿宋_GB2312"/>
          <w:sz w:val="28"/>
          <w:szCs w:val="28"/>
          <w:lang w:val="zh-CN"/>
        </w:rPr>
        <w:t>的</w:t>
      </w:r>
      <w:r>
        <w:rPr>
          <w:rFonts w:hint="eastAsia" w:eastAsia="仿宋_GB2312"/>
          <w:sz w:val="28"/>
          <w:szCs w:val="28"/>
        </w:rPr>
        <w:t>推动</w:t>
      </w:r>
      <w:r>
        <w:rPr>
          <w:rFonts w:eastAsia="仿宋_GB2312"/>
          <w:sz w:val="28"/>
          <w:szCs w:val="28"/>
          <w:lang w:val="zh-CN"/>
        </w:rPr>
        <w:t>办结率</w:t>
      </w:r>
      <w:r>
        <w:rPr>
          <w:rFonts w:hint="eastAsia" w:eastAsia="仿宋_GB2312"/>
          <w:sz w:val="28"/>
          <w:szCs w:val="28"/>
        </w:rPr>
        <w:t>稳步提升</w:t>
      </w:r>
      <w:r>
        <w:rPr>
          <w:rFonts w:eastAsia="仿宋_GB2312"/>
          <w:sz w:val="28"/>
          <w:szCs w:val="28"/>
          <w:lang w:val="zh-CN"/>
        </w:rPr>
        <w:t>，</w:t>
      </w:r>
      <w:r>
        <w:rPr>
          <w:rFonts w:hint="eastAsia" w:eastAsia="仿宋_GB2312"/>
          <w:sz w:val="28"/>
          <w:szCs w:val="28"/>
        </w:rPr>
        <w:t>信访事务</w:t>
      </w:r>
      <w:r>
        <w:rPr>
          <w:rFonts w:eastAsia="仿宋_GB2312"/>
          <w:sz w:val="28"/>
          <w:szCs w:val="28"/>
          <w:lang w:val="zh-CN"/>
        </w:rPr>
        <w:t>办理的过程满意率和结果满意率保持在较高水平。</w:t>
      </w:r>
    </w:p>
    <w:p w14:paraId="5948F966">
      <w:pPr>
        <w:adjustRightInd w:val="0"/>
        <w:snapToGrid w:val="0"/>
        <w:spacing w:line="360" w:lineRule="auto"/>
        <w:ind w:firstLine="562" w:firstLineChars="200"/>
        <w:rPr>
          <w:rFonts w:eastAsia="仿宋_GB2312"/>
          <w:b/>
          <w:sz w:val="28"/>
          <w:szCs w:val="28"/>
        </w:rPr>
      </w:pPr>
      <w:r>
        <w:rPr>
          <w:rFonts w:eastAsia="仿宋_GB2312"/>
          <w:b/>
          <w:sz w:val="28"/>
          <w:szCs w:val="28"/>
        </w:rPr>
        <w:t>二、</w:t>
      </w:r>
      <w:r>
        <w:rPr>
          <w:rFonts w:hint="eastAsia" w:eastAsia="仿宋_GB2312"/>
          <w:b/>
          <w:sz w:val="28"/>
          <w:szCs w:val="28"/>
          <w:lang w:eastAsia="zh-CN"/>
        </w:rPr>
        <w:t>合同</w:t>
      </w:r>
      <w:r>
        <w:rPr>
          <w:rFonts w:eastAsia="仿宋_GB2312"/>
          <w:b/>
          <w:sz w:val="28"/>
          <w:szCs w:val="28"/>
        </w:rPr>
        <w:t>价款</w:t>
      </w:r>
      <w:bookmarkEnd w:id="1"/>
    </w:p>
    <w:p w14:paraId="5F949CEA">
      <w:pPr>
        <w:adjustRightInd w:val="0"/>
        <w:snapToGrid w:val="0"/>
        <w:spacing w:line="360" w:lineRule="auto"/>
        <w:ind w:firstLine="560" w:firstLineChars="200"/>
        <w:rPr>
          <w:rFonts w:eastAsia="仿宋_GB2312"/>
          <w:sz w:val="28"/>
          <w:szCs w:val="28"/>
        </w:rPr>
      </w:pPr>
      <w:r>
        <w:rPr>
          <w:rFonts w:eastAsia="仿宋_GB2312"/>
          <w:sz w:val="28"/>
          <w:szCs w:val="28"/>
        </w:rPr>
        <w:t>1、</w:t>
      </w:r>
      <w:r>
        <w:rPr>
          <w:rFonts w:hint="eastAsia" w:eastAsia="仿宋_GB2312"/>
          <w:sz w:val="28"/>
          <w:szCs w:val="28"/>
          <w:lang w:eastAsia="zh-CN"/>
        </w:rPr>
        <w:t>合同</w:t>
      </w:r>
      <w:r>
        <w:rPr>
          <w:rFonts w:eastAsia="仿宋_GB2312"/>
          <w:sz w:val="28"/>
          <w:szCs w:val="28"/>
        </w:rPr>
        <w:t>总价：</w:t>
      </w:r>
    </w:p>
    <w:p w14:paraId="63549532">
      <w:pPr>
        <w:adjustRightInd w:val="0"/>
        <w:snapToGrid w:val="0"/>
        <w:spacing w:line="360" w:lineRule="auto"/>
        <w:ind w:firstLine="560" w:firstLineChars="200"/>
        <w:rPr>
          <w:rFonts w:eastAsia="仿宋_GB2312"/>
          <w:sz w:val="28"/>
          <w:szCs w:val="28"/>
        </w:rPr>
      </w:pPr>
      <w:r>
        <w:rPr>
          <w:rFonts w:eastAsia="仿宋_GB2312"/>
          <w:sz w:val="28"/>
          <w:szCs w:val="28"/>
        </w:rPr>
        <w:t>2、</w:t>
      </w:r>
      <w:r>
        <w:rPr>
          <w:rFonts w:hint="eastAsia" w:eastAsia="仿宋_GB2312"/>
          <w:sz w:val="28"/>
          <w:szCs w:val="28"/>
          <w:lang w:eastAsia="zh-CN"/>
        </w:rPr>
        <w:t>合同</w:t>
      </w:r>
      <w:r>
        <w:rPr>
          <w:rFonts w:eastAsia="仿宋_GB2312"/>
          <w:sz w:val="28"/>
          <w:szCs w:val="28"/>
        </w:rPr>
        <w:t>总价包括：</w:t>
      </w:r>
      <w:r>
        <w:rPr>
          <w:rFonts w:hint="eastAsia" w:eastAsia="仿宋_GB2312"/>
          <w:sz w:val="28"/>
          <w:szCs w:val="28"/>
          <w:lang w:eastAsia="zh-CN"/>
        </w:rPr>
        <w:t>合同</w:t>
      </w:r>
      <w:r>
        <w:rPr>
          <w:rFonts w:eastAsia="仿宋_GB2312"/>
          <w:sz w:val="28"/>
          <w:szCs w:val="28"/>
        </w:rPr>
        <w:t>范围规定的内容及其它相关服务所含的费用。</w:t>
      </w:r>
    </w:p>
    <w:p w14:paraId="157718A9">
      <w:pPr>
        <w:adjustRightInd w:val="0"/>
        <w:snapToGrid w:val="0"/>
        <w:spacing w:line="360" w:lineRule="auto"/>
        <w:ind w:firstLine="562" w:firstLineChars="200"/>
        <w:rPr>
          <w:rFonts w:eastAsia="仿宋_GB2312"/>
          <w:b/>
          <w:sz w:val="28"/>
          <w:szCs w:val="28"/>
        </w:rPr>
      </w:pPr>
      <w:bookmarkStart w:id="2" w:name="_Toc19515386"/>
      <w:r>
        <w:rPr>
          <w:rFonts w:eastAsia="仿宋_GB2312"/>
          <w:b/>
          <w:sz w:val="28"/>
          <w:szCs w:val="28"/>
        </w:rPr>
        <w:t>三、</w:t>
      </w:r>
      <w:r>
        <w:rPr>
          <w:rFonts w:hint="eastAsia" w:eastAsia="仿宋_GB2312"/>
          <w:b/>
          <w:sz w:val="28"/>
          <w:szCs w:val="28"/>
          <w:lang w:eastAsia="zh-CN"/>
        </w:rPr>
        <w:t>合同</w:t>
      </w:r>
      <w:r>
        <w:rPr>
          <w:rFonts w:eastAsia="仿宋_GB2312"/>
          <w:b/>
          <w:sz w:val="28"/>
          <w:szCs w:val="28"/>
        </w:rPr>
        <w:t>结算</w:t>
      </w:r>
      <w:bookmarkEnd w:id="2"/>
    </w:p>
    <w:p w14:paraId="14F9D161">
      <w:pPr>
        <w:adjustRightInd w:val="0"/>
        <w:snapToGrid w:val="0"/>
        <w:spacing w:line="360" w:lineRule="auto"/>
        <w:ind w:firstLine="560" w:firstLineChars="200"/>
        <w:rPr>
          <w:rFonts w:eastAsia="仿宋_GB2312"/>
          <w:sz w:val="28"/>
          <w:szCs w:val="28"/>
        </w:rPr>
      </w:pPr>
      <w:r>
        <w:rPr>
          <w:rFonts w:eastAsia="仿宋_GB2312"/>
          <w:sz w:val="28"/>
          <w:szCs w:val="28"/>
        </w:rPr>
        <w:t>1、资金支付条件及时间：</w:t>
      </w:r>
    </w:p>
    <w:p w14:paraId="1842C685">
      <w:pPr>
        <w:adjustRightInd w:val="0"/>
        <w:snapToGrid w:val="0"/>
        <w:spacing w:line="360" w:lineRule="auto"/>
        <w:ind w:firstLine="560" w:firstLineChars="200"/>
        <w:rPr>
          <w:rFonts w:eastAsia="仿宋_GB2312"/>
          <w:sz w:val="28"/>
          <w:szCs w:val="28"/>
        </w:rPr>
      </w:pPr>
      <w:r>
        <w:rPr>
          <w:rFonts w:eastAsia="仿宋_GB2312"/>
          <w:sz w:val="28"/>
          <w:szCs w:val="28"/>
        </w:rPr>
        <w:t>1-1、签订</w:t>
      </w:r>
      <w:r>
        <w:rPr>
          <w:rFonts w:hint="eastAsia" w:eastAsia="仿宋_GB2312"/>
          <w:sz w:val="28"/>
          <w:szCs w:val="28"/>
          <w:lang w:eastAsia="zh-CN"/>
        </w:rPr>
        <w:t>合同</w:t>
      </w:r>
      <w:r>
        <w:rPr>
          <w:rFonts w:eastAsia="仿宋_GB2312"/>
          <w:sz w:val="28"/>
          <w:szCs w:val="28"/>
        </w:rPr>
        <w:t>后按</w:t>
      </w:r>
      <w:r>
        <w:rPr>
          <w:rFonts w:hint="eastAsia" w:eastAsia="仿宋_GB2312"/>
          <w:sz w:val="28"/>
          <w:szCs w:val="28"/>
          <w:lang w:eastAsia="zh-CN"/>
        </w:rPr>
        <w:t>合同</w:t>
      </w:r>
      <w:r>
        <w:rPr>
          <w:rFonts w:hint="eastAsia" w:eastAsia="仿宋_GB2312"/>
          <w:sz w:val="28"/>
          <w:szCs w:val="28"/>
        </w:rPr>
        <w:t>总价分期付款结算。</w:t>
      </w:r>
    </w:p>
    <w:p w14:paraId="3BF5D64A">
      <w:pPr>
        <w:adjustRightInd w:val="0"/>
        <w:snapToGrid w:val="0"/>
        <w:spacing w:line="360" w:lineRule="auto"/>
        <w:ind w:firstLine="560" w:firstLineChars="200"/>
        <w:rPr>
          <w:rFonts w:eastAsia="仿宋_GB2312"/>
          <w:sz w:val="28"/>
          <w:szCs w:val="28"/>
        </w:rPr>
      </w:pPr>
      <w:r>
        <w:rPr>
          <w:rFonts w:eastAsia="仿宋_GB2312"/>
          <w:sz w:val="28"/>
          <w:szCs w:val="28"/>
        </w:rPr>
        <w:t>1-2、</w:t>
      </w:r>
      <w:r>
        <w:rPr>
          <w:rFonts w:hint="eastAsia" w:eastAsia="仿宋_GB2312"/>
          <w:sz w:val="28"/>
          <w:szCs w:val="28"/>
        </w:rPr>
        <w:t>付款结算分为三次：第一次为</w:t>
      </w:r>
      <w:r>
        <w:rPr>
          <w:rFonts w:hint="eastAsia" w:eastAsia="仿宋_GB2312"/>
          <w:sz w:val="28"/>
          <w:szCs w:val="28"/>
          <w:lang w:eastAsia="zh-CN"/>
        </w:rPr>
        <w:t>合同</w:t>
      </w:r>
      <w:r>
        <w:rPr>
          <w:rFonts w:hint="eastAsia" w:eastAsia="仿宋_GB2312"/>
          <w:sz w:val="28"/>
          <w:szCs w:val="28"/>
        </w:rPr>
        <w:t>签订后15个工作日内，达到付款条件起10个工作日内，甲方支付乙方</w:t>
      </w:r>
      <w:r>
        <w:rPr>
          <w:rFonts w:hint="eastAsia" w:eastAsia="仿宋_GB2312"/>
          <w:sz w:val="28"/>
          <w:szCs w:val="28"/>
          <w:lang w:eastAsia="zh-CN"/>
        </w:rPr>
        <w:t>合同</w:t>
      </w:r>
      <w:r>
        <w:rPr>
          <w:rFonts w:hint="eastAsia" w:eastAsia="仿宋_GB2312"/>
          <w:sz w:val="28"/>
          <w:szCs w:val="28"/>
        </w:rPr>
        <w:t>总价的30%；第二次为</w:t>
      </w:r>
      <w:r>
        <w:rPr>
          <w:rFonts w:hint="eastAsia" w:eastAsia="仿宋_GB2312"/>
          <w:sz w:val="28"/>
          <w:szCs w:val="28"/>
          <w:lang w:eastAsia="zh-CN"/>
        </w:rPr>
        <w:t>合同</w:t>
      </w:r>
      <w:r>
        <w:rPr>
          <w:rFonts w:hint="eastAsia" w:eastAsia="仿宋_GB2312"/>
          <w:sz w:val="28"/>
          <w:szCs w:val="28"/>
        </w:rPr>
        <w:t>履行三个月后，达到付款条件起10个工作日内，甲方支付乙方</w:t>
      </w:r>
      <w:r>
        <w:rPr>
          <w:rFonts w:hint="eastAsia" w:eastAsia="仿宋_GB2312"/>
          <w:sz w:val="28"/>
          <w:szCs w:val="28"/>
          <w:lang w:eastAsia="zh-CN"/>
        </w:rPr>
        <w:t>合同</w:t>
      </w:r>
      <w:r>
        <w:rPr>
          <w:rFonts w:hint="eastAsia" w:eastAsia="仿宋_GB2312"/>
          <w:sz w:val="28"/>
          <w:szCs w:val="28"/>
        </w:rPr>
        <w:t>总价的40%；第三次为</w:t>
      </w:r>
      <w:r>
        <w:rPr>
          <w:rFonts w:hint="eastAsia" w:eastAsia="仿宋_GB2312"/>
          <w:sz w:val="28"/>
          <w:szCs w:val="28"/>
          <w:lang w:eastAsia="zh-CN"/>
        </w:rPr>
        <w:t>合同</w:t>
      </w:r>
      <w:r>
        <w:rPr>
          <w:rFonts w:hint="eastAsia" w:eastAsia="仿宋_GB2312"/>
          <w:sz w:val="28"/>
          <w:szCs w:val="28"/>
        </w:rPr>
        <w:t>履行六个月后，达到付款条件起10个工作日内，甲方支付乙方</w:t>
      </w:r>
      <w:r>
        <w:rPr>
          <w:rFonts w:hint="eastAsia" w:eastAsia="仿宋_GB2312"/>
          <w:sz w:val="28"/>
          <w:szCs w:val="28"/>
          <w:lang w:eastAsia="zh-CN"/>
        </w:rPr>
        <w:t>合同</w:t>
      </w:r>
      <w:r>
        <w:rPr>
          <w:rFonts w:hint="eastAsia" w:eastAsia="仿宋_GB2312"/>
          <w:sz w:val="28"/>
          <w:szCs w:val="28"/>
        </w:rPr>
        <w:t>总价的30%。</w:t>
      </w:r>
    </w:p>
    <w:p w14:paraId="592737F5">
      <w:pPr>
        <w:adjustRightInd w:val="0"/>
        <w:snapToGrid w:val="0"/>
        <w:spacing w:line="360" w:lineRule="auto"/>
        <w:ind w:firstLine="560" w:firstLineChars="200"/>
        <w:rPr>
          <w:rFonts w:eastAsia="仿宋_GB2312"/>
          <w:sz w:val="28"/>
          <w:szCs w:val="28"/>
        </w:rPr>
      </w:pPr>
      <w:r>
        <w:rPr>
          <w:rFonts w:eastAsia="仿宋_GB2312"/>
          <w:sz w:val="28"/>
          <w:szCs w:val="28"/>
        </w:rPr>
        <w:t>1-</w:t>
      </w:r>
      <w:r>
        <w:rPr>
          <w:rFonts w:hint="eastAsia" w:eastAsia="仿宋_GB2312"/>
          <w:sz w:val="28"/>
          <w:szCs w:val="28"/>
        </w:rPr>
        <w:t>3</w:t>
      </w:r>
      <w:r>
        <w:rPr>
          <w:rFonts w:eastAsia="仿宋_GB2312"/>
          <w:sz w:val="28"/>
          <w:szCs w:val="28"/>
        </w:rPr>
        <w:t>、每月5日</w:t>
      </w:r>
      <w:r>
        <w:rPr>
          <w:rFonts w:hint="eastAsia" w:eastAsia="仿宋_GB2312"/>
          <w:sz w:val="28"/>
          <w:szCs w:val="28"/>
        </w:rPr>
        <w:t>前</w:t>
      </w:r>
      <w:r>
        <w:rPr>
          <w:rFonts w:eastAsia="仿宋_GB2312"/>
          <w:sz w:val="28"/>
          <w:szCs w:val="28"/>
        </w:rPr>
        <w:t>双方进行服务</w:t>
      </w:r>
      <w:r>
        <w:rPr>
          <w:rFonts w:hint="eastAsia" w:eastAsia="仿宋_GB2312"/>
          <w:sz w:val="28"/>
          <w:szCs w:val="28"/>
        </w:rPr>
        <w:t>人员考勤及工作情况沟通</w:t>
      </w:r>
      <w:r>
        <w:rPr>
          <w:rFonts w:eastAsia="仿宋_GB2312"/>
          <w:sz w:val="28"/>
          <w:szCs w:val="28"/>
        </w:rPr>
        <w:t>，经甲方</w:t>
      </w:r>
      <w:r>
        <w:rPr>
          <w:rFonts w:hint="eastAsia" w:eastAsia="仿宋_GB2312"/>
          <w:sz w:val="28"/>
          <w:szCs w:val="28"/>
        </w:rPr>
        <w:t>确认</w:t>
      </w:r>
      <w:r>
        <w:rPr>
          <w:rFonts w:eastAsia="仿宋_GB2312"/>
          <w:sz w:val="28"/>
          <w:szCs w:val="28"/>
        </w:rPr>
        <w:t>后，</w:t>
      </w:r>
      <w:r>
        <w:rPr>
          <w:rFonts w:hint="eastAsia" w:eastAsia="仿宋_GB2312"/>
          <w:sz w:val="28"/>
          <w:szCs w:val="28"/>
        </w:rPr>
        <w:t>乙方核算服务人员薪资报酬等，并按时支付</w:t>
      </w:r>
      <w:r>
        <w:rPr>
          <w:rFonts w:eastAsia="仿宋_GB2312"/>
          <w:sz w:val="28"/>
          <w:szCs w:val="28"/>
        </w:rPr>
        <w:t>。</w:t>
      </w:r>
    </w:p>
    <w:p w14:paraId="509A900A">
      <w:pPr>
        <w:adjustRightInd w:val="0"/>
        <w:snapToGrid w:val="0"/>
        <w:spacing w:line="360" w:lineRule="auto"/>
        <w:ind w:firstLine="560" w:firstLineChars="200"/>
        <w:rPr>
          <w:rFonts w:eastAsia="仿宋_GB2312"/>
          <w:sz w:val="28"/>
          <w:szCs w:val="28"/>
        </w:rPr>
      </w:pPr>
      <w:r>
        <w:rPr>
          <w:rFonts w:eastAsia="仿宋_GB2312"/>
          <w:sz w:val="28"/>
          <w:szCs w:val="28"/>
        </w:rPr>
        <w:t>2、结算方式：银行转账。</w:t>
      </w:r>
    </w:p>
    <w:p w14:paraId="5494A7E6">
      <w:pPr>
        <w:adjustRightInd w:val="0"/>
        <w:snapToGrid w:val="0"/>
        <w:spacing w:line="360" w:lineRule="auto"/>
        <w:ind w:firstLine="560" w:firstLineChars="200"/>
        <w:rPr>
          <w:rFonts w:eastAsia="仿宋_GB2312"/>
          <w:sz w:val="28"/>
          <w:szCs w:val="28"/>
        </w:rPr>
      </w:pPr>
      <w:r>
        <w:rPr>
          <w:rFonts w:eastAsia="仿宋_GB2312"/>
          <w:sz w:val="28"/>
          <w:szCs w:val="28"/>
        </w:rPr>
        <w:t>3、结算单位：由</w:t>
      </w:r>
      <w:r>
        <w:rPr>
          <w:rFonts w:eastAsia="仿宋_GB2312"/>
          <w:sz w:val="28"/>
          <w:szCs w:val="28"/>
          <w:u w:val="single"/>
        </w:rPr>
        <w:t xml:space="preserve"> 采购人 </w:t>
      </w:r>
      <w:r>
        <w:rPr>
          <w:rFonts w:eastAsia="仿宋_GB2312"/>
          <w:sz w:val="28"/>
          <w:szCs w:val="28"/>
        </w:rPr>
        <w:t>负责结算，乙方开具</w:t>
      </w:r>
      <w:r>
        <w:rPr>
          <w:rFonts w:hint="eastAsia" w:eastAsia="仿宋_GB2312"/>
          <w:sz w:val="28"/>
          <w:szCs w:val="28"/>
        </w:rPr>
        <w:t>每次结算</w:t>
      </w:r>
      <w:r>
        <w:rPr>
          <w:rFonts w:eastAsia="仿宋_GB2312"/>
          <w:sz w:val="28"/>
          <w:szCs w:val="28"/>
        </w:rPr>
        <w:t>总价数的全额发票交采购人。</w:t>
      </w:r>
      <w:bookmarkStart w:id="3" w:name="_Toc19515387"/>
    </w:p>
    <w:p w14:paraId="65F9FB58">
      <w:pPr>
        <w:adjustRightInd w:val="0"/>
        <w:snapToGrid w:val="0"/>
        <w:spacing w:line="360" w:lineRule="auto"/>
        <w:ind w:firstLine="562" w:firstLineChars="200"/>
        <w:rPr>
          <w:rFonts w:eastAsia="仿宋_GB2312"/>
          <w:b/>
          <w:sz w:val="28"/>
          <w:szCs w:val="28"/>
        </w:rPr>
      </w:pPr>
      <w:r>
        <w:rPr>
          <w:rFonts w:eastAsia="仿宋_GB2312"/>
          <w:b/>
          <w:sz w:val="28"/>
          <w:szCs w:val="28"/>
        </w:rPr>
        <w:t>四、履行期限、地点及方式:</w:t>
      </w:r>
      <w:bookmarkEnd w:id="3"/>
    </w:p>
    <w:p w14:paraId="422C422D">
      <w:pPr>
        <w:adjustRightInd w:val="0"/>
        <w:snapToGrid w:val="0"/>
        <w:spacing w:line="360" w:lineRule="auto"/>
        <w:ind w:firstLine="560" w:firstLineChars="200"/>
        <w:rPr>
          <w:rFonts w:eastAsia="仿宋_GB2312"/>
          <w:sz w:val="28"/>
          <w:szCs w:val="28"/>
        </w:rPr>
      </w:pPr>
      <w:r>
        <w:rPr>
          <w:rFonts w:eastAsia="仿宋_GB2312"/>
          <w:sz w:val="28"/>
          <w:szCs w:val="28"/>
        </w:rPr>
        <w:t>1、履行期限：</w:t>
      </w:r>
      <w:r>
        <w:rPr>
          <w:rFonts w:hint="eastAsia" w:eastAsia="仿宋_GB2312"/>
          <w:sz w:val="28"/>
          <w:szCs w:val="28"/>
          <w:lang w:eastAsia="zh-CN"/>
        </w:rPr>
        <w:t>合同</w:t>
      </w:r>
      <w:r>
        <w:rPr>
          <w:rFonts w:eastAsia="仿宋_GB2312"/>
          <w:sz w:val="28"/>
          <w:szCs w:val="28"/>
        </w:rPr>
        <w:t>签订</w:t>
      </w:r>
      <w:r>
        <w:rPr>
          <w:rFonts w:hint="eastAsia" w:eastAsia="仿宋_GB2312"/>
          <w:sz w:val="28"/>
          <w:szCs w:val="28"/>
          <w:lang w:val="en-US" w:eastAsia="zh-CN"/>
        </w:rPr>
        <w:t>后</w:t>
      </w:r>
      <w:r>
        <w:rPr>
          <w:rFonts w:eastAsia="仿宋_GB2312"/>
          <w:sz w:val="28"/>
          <w:szCs w:val="28"/>
        </w:rPr>
        <w:t>一年。</w:t>
      </w:r>
    </w:p>
    <w:p w14:paraId="36F37EB5">
      <w:pPr>
        <w:adjustRightInd w:val="0"/>
        <w:snapToGrid w:val="0"/>
        <w:spacing w:line="360" w:lineRule="auto"/>
        <w:ind w:firstLine="560" w:firstLineChars="200"/>
        <w:rPr>
          <w:rFonts w:hint="eastAsia" w:eastAsia="仿宋_GB2312"/>
          <w:sz w:val="28"/>
          <w:szCs w:val="28"/>
          <w:lang w:val="en-US" w:eastAsia="zh-CN"/>
        </w:rPr>
      </w:pPr>
      <w:r>
        <w:rPr>
          <w:rFonts w:eastAsia="仿宋_GB2312"/>
          <w:sz w:val="28"/>
          <w:szCs w:val="28"/>
        </w:rPr>
        <w:t>2、地点：</w:t>
      </w:r>
      <w:r>
        <w:rPr>
          <w:rFonts w:hint="eastAsia" w:eastAsia="仿宋_GB2312"/>
          <w:sz w:val="28"/>
          <w:szCs w:val="28"/>
        </w:rPr>
        <w:t>西安市雁塔区朱雀大街375号雁塔区综治中心</w:t>
      </w:r>
      <w:r>
        <w:rPr>
          <w:rFonts w:hint="eastAsia" w:eastAsia="仿宋_GB2312"/>
          <w:sz w:val="28"/>
          <w:szCs w:val="28"/>
          <w:lang w:val="en-US" w:eastAsia="zh-CN"/>
        </w:rPr>
        <w:t>信访局。</w:t>
      </w:r>
    </w:p>
    <w:p w14:paraId="3B1A4665">
      <w:pPr>
        <w:adjustRightInd w:val="0"/>
        <w:snapToGrid w:val="0"/>
        <w:spacing w:line="360" w:lineRule="auto"/>
        <w:ind w:firstLine="560" w:firstLineChars="200"/>
        <w:rPr>
          <w:rFonts w:hint="eastAsia" w:eastAsia="仿宋_GB2312"/>
          <w:sz w:val="28"/>
          <w:szCs w:val="28"/>
          <w:lang w:eastAsia="zh-CN"/>
        </w:rPr>
      </w:pPr>
      <w:r>
        <w:rPr>
          <w:rFonts w:eastAsia="仿宋_GB2312"/>
          <w:sz w:val="28"/>
          <w:szCs w:val="28"/>
        </w:rPr>
        <w:t>3、方式：</w:t>
      </w:r>
      <w:bookmarkStart w:id="4" w:name="_Toc19515388"/>
      <w:r>
        <w:rPr>
          <w:rFonts w:eastAsia="仿宋_GB2312"/>
          <w:sz w:val="28"/>
          <w:szCs w:val="28"/>
        </w:rPr>
        <w:t>采购人指定方式</w:t>
      </w:r>
      <w:r>
        <w:rPr>
          <w:rFonts w:hint="eastAsia" w:eastAsia="仿宋_GB2312"/>
          <w:sz w:val="28"/>
          <w:szCs w:val="28"/>
          <w:lang w:eastAsia="zh-CN"/>
        </w:rPr>
        <w:t>。</w:t>
      </w:r>
      <w:bookmarkStart w:id="11" w:name="_GoBack"/>
      <w:bookmarkEnd w:id="11"/>
    </w:p>
    <w:bookmarkEnd w:id="4"/>
    <w:p w14:paraId="504C38FD">
      <w:pPr>
        <w:adjustRightInd w:val="0"/>
        <w:snapToGrid w:val="0"/>
        <w:spacing w:line="360" w:lineRule="auto"/>
        <w:ind w:firstLine="562" w:firstLineChars="200"/>
        <w:rPr>
          <w:rFonts w:eastAsia="仿宋_GB2312"/>
          <w:sz w:val="28"/>
          <w:szCs w:val="28"/>
        </w:rPr>
      </w:pPr>
      <w:bookmarkStart w:id="5" w:name="_Toc19515389"/>
      <w:r>
        <w:rPr>
          <w:rFonts w:eastAsia="仿宋_GB2312"/>
          <w:b/>
          <w:sz w:val="28"/>
          <w:szCs w:val="28"/>
        </w:rPr>
        <w:t>五、</w:t>
      </w:r>
      <w:r>
        <w:rPr>
          <w:rFonts w:eastAsia="仿宋_GB2312"/>
          <w:b/>
          <w:bCs/>
          <w:sz w:val="28"/>
          <w:szCs w:val="28"/>
        </w:rPr>
        <w:t>服务</w:t>
      </w:r>
      <w:r>
        <w:rPr>
          <w:rFonts w:hint="eastAsia" w:eastAsia="仿宋_GB2312"/>
          <w:b/>
          <w:bCs/>
          <w:sz w:val="28"/>
          <w:szCs w:val="28"/>
        </w:rPr>
        <w:t>人员基本条件</w:t>
      </w:r>
      <w:r>
        <w:rPr>
          <w:rFonts w:eastAsia="仿宋_GB2312"/>
          <w:b/>
          <w:bCs/>
          <w:sz w:val="28"/>
          <w:szCs w:val="28"/>
        </w:rPr>
        <w:t>和</w:t>
      </w:r>
      <w:bookmarkEnd w:id="5"/>
      <w:r>
        <w:rPr>
          <w:rFonts w:hint="eastAsia" w:eastAsia="仿宋_GB2312"/>
          <w:b/>
          <w:sz w:val="28"/>
          <w:szCs w:val="28"/>
        </w:rPr>
        <w:t>岗位需求</w:t>
      </w:r>
    </w:p>
    <w:p w14:paraId="24CA50C6">
      <w:pPr>
        <w:adjustRightInd w:val="0"/>
        <w:snapToGrid w:val="0"/>
        <w:spacing w:line="360" w:lineRule="auto"/>
        <w:ind w:firstLine="560" w:firstLineChars="200"/>
        <w:rPr>
          <w:rFonts w:hint="default" w:eastAsia="仿宋_GB2312"/>
          <w:sz w:val="28"/>
          <w:szCs w:val="28"/>
          <w:lang w:val="en-US" w:eastAsia="zh-CN"/>
        </w:rPr>
      </w:pPr>
      <w:r>
        <w:rPr>
          <w:rFonts w:hint="eastAsia" w:eastAsia="仿宋_GB2312"/>
          <w:sz w:val="28"/>
          <w:szCs w:val="28"/>
          <w:lang w:val="en-US" w:eastAsia="zh-CN"/>
        </w:rPr>
        <w:t>1、基本条件：</w:t>
      </w:r>
    </w:p>
    <w:p w14:paraId="06D34EFE">
      <w:pPr>
        <w:adjustRightInd w:val="0"/>
        <w:snapToGrid w:val="0"/>
        <w:spacing w:line="360" w:lineRule="auto"/>
        <w:ind w:firstLine="560" w:firstLineChars="200"/>
        <w:rPr>
          <w:rFonts w:eastAsia="仿宋_GB2312"/>
          <w:sz w:val="28"/>
          <w:szCs w:val="28"/>
        </w:rPr>
      </w:pPr>
      <w:r>
        <w:rPr>
          <w:rFonts w:eastAsia="仿宋_GB2312"/>
          <w:sz w:val="28"/>
          <w:szCs w:val="28"/>
        </w:rPr>
        <w:t>1</w:t>
      </w:r>
      <w:r>
        <w:rPr>
          <w:rFonts w:hint="eastAsia" w:eastAsia="仿宋_GB2312"/>
          <w:sz w:val="28"/>
          <w:szCs w:val="28"/>
          <w:lang w:val="en-US" w:eastAsia="zh-CN"/>
        </w:rPr>
        <w:t>-1</w:t>
      </w:r>
      <w:r>
        <w:rPr>
          <w:rFonts w:eastAsia="仿宋_GB2312"/>
          <w:sz w:val="28"/>
          <w:szCs w:val="28"/>
        </w:rPr>
        <w:t>、</w:t>
      </w:r>
      <w:r>
        <w:rPr>
          <w:rFonts w:hint="eastAsia" w:ascii="Times New Roman" w:hAnsi="Times New Roman" w:eastAsia="仿宋_GB2312" w:cs="Times New Roman"/>
          <w:sz w:val="28"/>
          <w:szCs w:val="28"/>
        </w:rPr>
        <w:t>具有中华人民共和国国籍拥护中华人民共和国宪法和法律，拥护中国共产党领导和社会主义制度，具有良好的政治素质、道德品行和职业操守</w:t>
      </w:r>
      <w:r>
        <w:rPr>
          <w:rFonts w:hint="eastAsia" w:eastAsia="仿宋_GB2312"/>
          <w:sz w:val="28"/>
          <w:szCs w:val="28"/>
        </w:rPr>
        <w:t>；</w:t>
      </w:r>
    </w:p>
    <w:p w14:paraId="1491B6B6">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1-</w:t>
      </w:r>
      <w:r>
        <w:rPr>
          <w:rFonts w:hint="eastAsia" w:eastAsia="仿宋_GB2312"/>
          <w:sz w:val="28"/>
          <w:szCs w:val="28"/>
        </w:rPr>
        <w:t>2、</w:t>
      </w:r>
      <w:r>
        <w:rPr>
          <w:rFonts w:hint="eastAsia" w:ascii="Times New Roman" w:hAnsi="Times New Roman" w:eastAsia="仿宋_GB2312" w:cs="Times New Roman"/>
          <w:sz w:val="28"/>
          <w:szCs w:val="28"/>
        </w:rPr>
        <w:t>全日制普通高等院校专科或以上学历，专业不限，能熟练使用计算机办公软件等常规应用软件</w:t>
      </w:r>
      <w:r>
        <w:rPr>
          <w:rFonts w:hint="eastAsia" w:eastAsia="仿宋_GB2312"/>
          <w:sz w:val="28"/>
          <w:szCs w:val="28"/>
        </w:rPr>
        <w:t>；</w:t>
      </w:r>
    </w:p>
    <w:p w14:paraId="24870145">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1-</w:t>
      </w:r>
      <w:r>
        <w:rPr>
          <w:rFonts w:hint="eastAsia" w:eastAsia="仿宋_GB2312"/>
          <w:sz w:val="28"/>
          <w:szCs w:val="28"/>
        </w:rPr>
        <w:t>3、</w:t>
      </w:r>
      <w:r>
        <w:rPr>
          <w:rFonts w:hint="eastAsia" w:ascii="Times New Roman" w:hAnsi="Times New Roman" w:eastAsia="仿宋_GB2312" w:cs="Times New Roman"/>
          <w:sz w:val="28"/>
          <w:szCs w:val="28"/>
        </w:rPr>
        <w:t>热爱群众工作，服从岗位分配安排，爱岗敬业，工作责任心强、工作认真负责，吃苦耐劳、心理抗压能力强，有较强的纪律意识和奉献精神、团队合作精神</w:t>
      </w:r>
      <w:r>
        <w:rPr>
          <w:rFonts w:hint="eastAsia" w:eastAsia="仿宋_GB2312"/>
          <w:sz w:val="28"/>
          <w:szCs w:val="28"/>
        </w:rPr>
        <w:t>；</w:t>
      </w:r>
    </w:p>
    <w:p w14:paraId="023D111A">
      <w:pPr>
        <w:adjustRightInd w:val="0"/>
        <w:snapToGrid w:val="0"/>
        <w:spacing w:line="360" w:lineRule="auto"/>
        <w:ind w:firstLine="560" w:firstLineChars="200"/>
        <w:rPr>
          <w:rFonts w:hint="eastAsia" w:eastAsia="仿宋_GB2312"/>
          <w:sz w:val="28"/>
          <w:szCs w:val="28"/>
          <w:lang w:eastAsia="zh-CN"/>
        </w:rPr>
      </w:pPr>
      <w:r>
        <w:rPr>
          <w:rFonts w:hint="eastAsia" w:eastAsia="仿宋_GB2312"/>
          <w:sz w:val="28"/>
          <w:szCs w:val="28"/>
          <w:lang w:val="en-US" w:eastAsia="zh-CN"/>
        </w:rPr>
        <w:t>1-</w:t>
      </w:r>
      <w:r>
        <w:rPr>
          <w:rFonts w:hint="eastAsia" w:eastAsia="仿宋_GB2312"/>
          <w:sz w:val="28"/>
          <w:szCs w:val="28"/>
        </w:rPr>
        <w:t>4、</w:t>
      </w:r>
      <w:r>
        <w:rPr>
          <w:rFonts w:hint="eastAsia" w:ascii="Times New Roman" w:hAnsi="Times New Roman" w:eastAsia="仿宋_GB2312" w:cs="Times New Roman"/>
          <w:sz w:val="28"/>
          <w:szCs w:val="28"/>
        </w:rPr>
        <w:t>年龄为18至50周岁，身体健康，具有良好的身体素质和心理素质，以及正常履行岗位职责的条件。同时，具备岗位要求的其他资格条件、工作能力和身体条件</w:t>
      </w:r>
      <w:r>
        <w:rPr>
          <w:rFonts w:hint="eastAsia" w:eastAsia="仿宋_GB2312"/>
          <w:sz w:val="28"/>
          <w:szCs w:val="28"/>
          <w:lang w:eastAsia="zh-CN"/>
        </w:rPr>
        <w:t>；</w:t>
      </w:r>
    </w:p>
    <w:p w14:paraId="2935B840">
      <w:pPr>
        <w:adjustRightInd w:val="0"/>
        <w:snapToGrid w:val="0"/>
        <w:spacing w:line="360" w:lineRule="auto"/>
        <w:ind w:firstLine="560" w:firstLineChars="200"/>
        <w:rPr>
          <w:rFonts w:hint="eastAsia" w:eastAsia="仿宋_GB2312"/>
          <w:sz w:val="28"/>
          <w:szCs w:val="28"/>
        </w:rPr>
      </w:pPr>
      <w:r>
        <w:rPr>
          <w:rFonts w:hint="eastAsia" w:eastAsia="仿宋_GB2312"/>
          <w:sz w:val="28"/>
          <w:szCs w:val="28"/>
          <w:lang w:val="en-US" w:eastAsia="zh-CN"/>
        </w:rPr>
        <w:t>1-</w:t>
      </w:r>
      <w:r>
        <w:rPr>
          <w:rFonts w:hint="eastAsia" w:eastAsia="仿宋_GB2312"/>
          <w:sz w:val="28"/>
          <w:szCs w:val="28"/>
        </w:rPr>
        <w:t>5、有以下情形之一的，不符合岗位条件：</w:t>
      </w:r>
    </w:p>
    <w:p w14:paraId="1DA31F75">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1-5.1、受过刑事处罚的；</w:t>
      </w:r>
    </w:p>
    <w:p w14:paraId="3F16B519">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1-5.2、被开除中国共产党党籍的；</w:t>
      </w:r>
    </w:p>
    <w:p w14:paraId="48A32BD9">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1-5.3、被开除公职的；</w:t>
      </w:r>
    </w:p>
    <w:p w14:paraId="762FF5E7">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1-5.4、被依法列为失信联合惩戒对象的；</w:t>
      </w:r>
    </w:p>
    <w:p w14:paraId="7530076F">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1-5.5、岗位人员使用后即构成法律法规规定回避关系的；</w:t>
      </w:r>
    </w:p>
    <w:p w14:paraId="2B89DC23">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1-5.6、法律、法规规定的其他不得应聘的情形。</w:t>
      </w:r>
    </w:p>
    <w:p w14:paraId="3F8AB9C9">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2、岗位需求：</w:t>
      </w:r>
    </w:p>
    <w:p w14:paraId="66905C38">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2-1、</w:t>
      </w:r>
      <w:r>
        <w:rPr>
          <w:rFonts w:hint="eastAsia" w:eastAsia="仿宋_GB2312"/>
          <w:sz w:val="28"/>
          <w:szCs w:val="28"/>
        </w:rPr>
        <w:t>登记接待助理工作岗1人</w:t>
      </w:r>
    </w:p>
    <w:p w14:paraId="73EBE468">
      <w:pPr>
        <w:pStyle w:val="11"/>
        <w:ind w:firstLine="560" w:firstLineChars="200"/>
        <w:rPr>
          <w:rFonts w:hint="eastAsia" w:ascii="Times New Roman" w:hAnsi="Times New Roman" w:eastAsia="仿宋_GB2312" w:cs="Times New Roman"/>
          <w:kern w:val="2"/>
          <w:sz w:val="28"/>
          <w:szCs w:val="28"/>
          <w:lang w:val="en-US" w:eastAsia="zh-CN" w:bidi="ar-SA"/>
        </w:rPr>
      </w:pPr>
      <w:r>
        <w:rPr>
          <w:rFonts w:hint="eastAsia" w:eastAsia="仿宋_GB2312"/>
          <w:sz w:val="28"/>
          <w:szCs w:val="28"/>
        </w:rPr>
        <w:t>岗位职责：</w:t>
      </w:r>
      <w:r>
        <w:rPr>
          <w:rFonts w:hint="eastAsia" w:ascii="Times New Roman" w:hAnsi="Times New Roman" w:eastAsia="仿宋_GB2312" w:cs="Times New Roman"/>
          <w:kern w:val="2"/>
          <w:sz w:val="28"/>
          <w:szCs w:val="28"/>
          <w:lang w:val="en-US" w:eastAsia="zh-CN" w:bidi="ar-SA"/>
        </w:rPr>
        <w:t>①负责日常来访窗口接待；②做好上级部门转交办工作，做好责任单位的办理督办工作；按时起草办理情况报告，做好各类报告归档和检查工作等；③负责走访群众信访事项的登记与录入、转办与督办、数据统计与分析等工作；④完成交办的其他工作。</w:t>
      </w:r>
    </w:p>
    <w:p w14:paraId="0C9F1399">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2-2、</w:t>
      </w:r>
      <w:r>
        <w:rPr>
          <w:rFonts w:hint="eastAsia" w:eastAsia="仿宋_GB2312"/>
          <w:sz w:val="28"/>
          <w:szCs w:val="28"/>
        </w:rPr>
        <w:t>复查复核工作岗1人</w:t>
      </w:r>
    </w:p>
    <w:p w14:paraId="54A0A975">
      <w:pPr>
        <w:adjustRightInd w:val="0"/>
        <w:snapToGrid w:val="0"/>
        <w:spacing w:line="360" w:lineRule="auto"/>
        <w:ind w:firstLine="560" w:firstLineChars="200"/>
        <w:rPr>
          <w:rFonts w:eastAsia="仿宋_GB2312"/>
          <w:sz w:val="28"/>
          <w:szCs w:val="28"/>
        </w:rPr>
      </w:pPr>
      <w:r>
        <w:rPr>
          <w:rFonts w:hint="eastAsia" w:eastAsia="仿宋_GB2312"/>
          <w:sz w:val="28"/>
          <w:szCs w:val="28"/>
        </w:rPr>
        <w:t>岗位职责：</w:t>
      </w:r>
      <w:r>
        <w:rPr>
          <w:rFonts w:hint="eastAsia" w:ascii="Times New Roman" w:hAnsi="Times New Roman" w:eastAsia="仿宋_GB2312" w:cs="Times New Roman"/>
          <w:kern w:val="2"/>
          <w:sz w:val="28"/>
          <w:szCs w:val="28"/>
          <w:lang w:val="en-US" w:eastAsia="zh-CN" w:bidi="ar-SA"/>
        </w:rPr>
        <w:t>①受理复查申请，指导申请人规范提交材料；②督促责任单位按期提交答辩，负责案件审查；③办理复核案件答辩及交办事项；④操作相关工作信息系统，完成复查登记、办理、复核答辩等网上流程；⑤负责电话咨询解答，对复查全流程跟踪并建立台账；⑥与上级部门日常对接，做好案件质量检查、系统归档及查询反馈；⑦完成交办的其他工作。</w:t>
      </w:r>
    </w:p>
    <w:p w14:paraId="32DBBFF2">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2-3、</w:t>
      </w:r>
      <w:r>
        <w:rPr>
          <w:rFonts w:hint="eastAsia" w:eastAsia="仿宋_GB2312"/>
          <w:sz w:val="28"/>
          <w:szCs w:val="28"/>
        </w:rPr>
        <w:t>督查督办工作岗1人</w:t>
      </w:r>
    </w:p>
    <w:p w14:paraId="52957D94">
      <w:pPr>
        <w:adjustRightInd w:val="0"/>
        <w:snapToGrid w:val="0"/>
        <w:spacing w:line="360" w:lineRule="auto"/>
        <w:ind w:firstLine="560" w:firstLineChars="200"/>
        <w:rPr>
          <w:rFonts w:eastAsia="仿宋_GB2312"/>
          <w:sz w:val="28"/>
          <w:szCs w:val="28"/>
        </w:rPr>
      </w:pPr>
      <w:r>
        <w:rPr>
          <w:rFonts w:hint="eastAsia" w:eastAsia="仿宋_GB2312"/>
          <w:sz w:val="28"/>
          <w:szCs w:val="28"/>
        </w:rPr>
        <w:t>岗位职责：</w:t>
      </w:r>
      <w:r>
        <w:rPr>
          <w:rFonts w:hint="eastAsia" w:ascii="Times New Roman" w:hAnsi="Times New Roman" w:eastAsia="仿宋_GB2312" w:cs="Times New Roman"/>
          <w:sz w:val="28"/>
          <w:szCs w:val="28"/>
          <w:lang w:val="en-US" w:eastAsia="zh-CN"/>
        </w:rPr>
        <w:t>①负责相关案例遴选搜集、文书报告撰写；②协助各类矛盾化解工作，做好会议记录、材料撰写、数据统计；③完成交办的其他工作。</w:t>
      </w:r>
    </w:p>
    <w:p w14:paraId="29DA7D3A">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2-4、</w:t>
      </w:r>
      <w:r>
        <w:rPr>
          <w:rFonts w:hint="eastAsia" w:eastAsia="仿宋_GB2312"/>
          <w:sz w:val="28"/>
          <w:szCs w:val="28"/>
        </w:rPr>
        <w:t>综合文案工作岗1人</w:t>
      </w:r>
    </w:p>
    <w:p w14:paraId="2B050655">
      <w:pPr>
        <w:adjustRightInd w:val="0"/>
        <w:snapToGrid w:val="0"/>
        <w:spacing w:line="360" w:lineRule="auto"/>
        <w:ind w:firstLine="560" w:firstLineChars="200"/>
        <w:rPr>
          <w:rFonts w:eastAsia="仿宋_GB2312"/>
          <w:sz w:val="28"/>
          <w:szCs w:val="28"/>
        </w:rPr>
      </w:pPr>
      <w:r>
        <w:rPr>
          <w:rFonts w:hint="eastAsia" w:eastAsia="仿宋_GB2312"/>
          <w:sz w:val="28"/>
          <w:szCs w:val="28"/>
        </w:rPr>
        <w:t>岗位职责：</w:t>
      </w:r>
      <w:r>
        <w:rPr>
          <w:rFonts w:hint="eastAsia" w:ascii="Times New Roman" w:hAnsi="Times New Roman" w:eastAsia="仿宋_GB2312" w:cs="Times New Roman"/>
          <w:sz w:val="28"/>
          <w:szCs w:val="28"/>
          <w:lang w:val="en-US" w:eastAsia="zh-CN"/>
        </w:rPr>
        <w:t>①负责各项活动和会议的宣传；②协助做好年度工作总结、工作简报、各类工作信息等文字材料工作；③完成交办的其他工作。</w:t>
      </w:r>
    </w:p>
    <w:p w14:paraId="1140358C">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2-5、</w:t>
      </w:r>
      <w:r>
        <w:rPr>
          <w:rFonts w:hint="eastAsia" w:eastAsia="仿宋_GB2312"/>
          <w:sz w:val="28"/>
          <w:szCs w:val="28"/>
        </w:rPr>
        <w:t>文档管理工作岗1人</w:t>
      </w:r>
    </w:p>
    <w:p w14:paraId="5208A65E">
      <w:pPr>
        <w:pStyle w:val="11"/>
        <w:rPr>
          <w:rFonts w:hint="eastAsia" w:ascii="Times New Roman" w:hAnsi="Times New Roman" w:eastAsia="仿宋_GB2312" w:cs="Times New Roman"/>
          <w:kern w:val="2"/>
          <w:sz w:val="28"/>
          <w:szCs w:val="28"/>
          <w:lang w:val="en-US" w:eastAsia="zh-CN" w:bidi="ar-SA"/>
        </w:rPr>
      </w:pPr>
      <w:r>
        <w:rPr>
          <w:rFonts w:hint="eastAsia" w:eastAsia="仿宋_GB2312"/>
          <w:sz w:val="28"/>
          <w:szCs w:val="28"/>
        </w:rPr>
        <w:t>岗位职责：</w:t>
      </w:r>
      <w:r>
        <w:rPr>
          <w:rFonts w:hint="eastAsia" w:ascii="Times New Roman" w:hAnsi="Times New Roman" w:eastAsia="仿宋_GB2312" w:cs="Times New Roman"/>
          <w:kern w:val="2"/>
          <w:sz w:val="28"/>
          <w:szCs w:val="28"/>
          <w:lang w:val="en-US" w:eastAsia="zh-CN" w:bidi="ar-SA"/>
        </w:rPr>
        <w:t>①负责各类文档的收发登记、收集整理、归档与保管等全流程管理；②落实局内举行重要活动、会议通知、会议期间的座牌印制、文件印发、会场布置、会场勤务等保障工作；③负责文书文档的流转传递、寄发寄送等工作；④完成交办的其他工作。</w:t>
      </w:r>
    </w:p>
    <w:p w14:paraId="3FE4D857">
      <w:pPr>
        <w:adjustRightInd w:val="0"/>
        <w:snapToGrid w:val="0"/>
        <w:spacing w:line="360" w:lineRule="auto"/>
        <w:ind w:firstLine="560" w:firstLineChars="200"/>
        <w:rPr>
          <w:rFonts w:eastAsia="仿宋_GB2312"/>
          <w:sz w:val="28"/>
          <w:szCs w:val="28"/>
        </w:rPr>
      </w:pPr>
      <w:r>
        <w:rPr>
          <w:rFonts w:hint="eastAsia" w:eastAsia="仿宋_GB2312"/>
          <w:sz w:val="28"/>
          <w:szCs w:val="28"/>
          <w:lang w:val="en-US" w:eastAsia="zh-CN"/>
        </w:rPr>
        <w:t>2-6、</w:t>
      </w:r>
      <w:r>
        <w:rPr>
          <w:rFonts w:hint="eastAsia" w:eastAsia="仿宋_GB2312"/>
          <w:sz w:val="28"/>
          <w:szCs w:val="28"/>
        </w:rPr>
        <w:t>财务经费管理辅助工作岗1人</w:t>
      </w:r>
    </w:p>
    <w:p w14:paraId="7AFC1D94">
      <w:pPr>
        <w:adjustRightInd w:val="0"/>
        <w:snapToGrid w:val="0"/>
        <w:spacing w:line="360" w:lineRule="auto"/>
        <w:ind w:firstLine="560" w:firstLineChars="200"/>
        <w:rPr>
          <w:rFonts w:ascii="仿宋_GB2312" w:eastAsia="仿宋_GB2312"/>
          <w:sz w:val="32"/>
          <w:szCs w:val="32"/>
        </w:rPr>
      </w:pPr>
      <w:r>
        <w:rPr>
          <w:rFonts w:hint="eastAsia" w:eastAsia="仿宋_GB2312"/>
          <w:sz w:val="28"/>
          <w:szCs w:val="28"/>
        </w:rPr>
        <w:t>岗位职责：</w:t>
      </w:r>
      <w:r>
        <w:rPr>
          <w:rFonts w:hint="eastAsia" w:eastAsia="仿宋_GB2312" w:asciiTheme="minorHAnsi" w:hAnsiTheme="minorHAnsi" w:cstheme="minorBidi"/>
          <w:kern w:val="0"/>
          <w:sz w:val="28"/>
          <w:szCs w:val="28"/>
          <w:lang w:val="en-US" w:eastAsia="zh-CN"/>
        </w:rPr>
        <w:t>①负责信访局日常财务收支的辅助核算，包括审核原始凭证、登记会计账簿、编制财务报表等，确保财务数据的准确性和合规性；②协助编制年度财务预算和决算，跟踪预算执行情况，定期分析预算执行差异并提出合理化建议；③负责信访专项资金的申请、拨付和使用监督，确保专款专用，符合相关财务管理规定；④管理财务票据和会计档案，做好票据的领用、核销及会计资料的整理归档工作；⑤完成领导交办的其他财务相关工作。</w:t>
      </w:r>
    </w:p>
    <w:p w14:paraId="05301617">
      <w:pPr>
        <w:adjustRightInd w:val="0"/>
        <w:snapToGrid w:val="0"/>
        <w:spacing w:line="360" w:lineRule="auto"/>
        <w:ind w:left="559" w:leftChars="266"/>
        <w:rPr>
          <w:rFonts w:eastAsia="仿宋_GB2312"/>
          <w:bCs/>
          <w:sz w:val="28"/>
          <w:szCs w:val="28"/>
        </w:rPr>
      </w:pPr>
      <w:r>
        <w:rPr>
          <w:rFonts w:eastAsia="仿宋_GB2312"/>
          <w:b/>
          <w:sz w:val="28"/>
          <w:szCs w:val="28"/>
        </w:rPr>
        <w:t>六、其他事项：</w:t>
      </w:r>
    </w:p>
    <w:p w14:paraId="20CC10F4">
      <w:pPr>
        <w:adjustRightInd w:val="0"/>
        <w:snapToGrid w:val="0"/>
        <w:spacing w:line="360" w:lineRule="auto"/>
        <w:ind w:firstLine="560" w:firstLineChars="200"/>
        <w:rPr>
          <w:rFonts w:eastAsia="仿宋_GB2312"/>
          <w:bCs/>
          <w:sz w:val="28"/>
          <w:szCs w:val="28"/>
        </w:rPr>
      </w:pPr>
      <w:r>
        <w:rPr>
          <w:rFonts w:eastAsia="仿宋_GB2312"/>
          <w:bCs/>
          <w:sz w:val="28"/>
          <w:szCs w:val="28"/>
        </w:rPr>
        <w:t>1、成交单位不得转让、分包给其它单位或个人。</w:t>
      </w:r>
    </w:p>
    <w:p w14:paraId="4FB314A4">
      <w:pPr>
        <w:adjustRightInd w:val="0"/>
        <w:snapToGrid w:val="0"/>
        <w:spacing w:line="360" w:lineRule="auto"/>
        <w:ind w:firstLine="560" w:firstLineChars="200"/>
        <w:rPr>
          <w:rFonts w:eastAsia="仿宋_GB2312"/>
          <w:bCs/>
          <w:sz w:val="28"/>
          <w:szCs w:val="28"/>
        </w:rPr>
      </w:pPr>
      <w:r>
        <w:rPr>
          <w:rFonts w:eastAsia="仿宋_GB2312"/>
          <w:bCs/>
          <w:sz w:val="28"/>
          <w:szCs w:val="28"/>
        </w:rPr>
        <w:t>2、成交单位的响应文件和承诺等内容将列入</w:t>
      </w:r>
      <w:r>
        <w:rPr>
          <w:rFonts w:hint="eastAsia" w:eastAsia="仿宋_GB2312"/>
          <w:bCs/>
          <w:sz w:val="28"/>
          <w:szCs w:val="28"/>
          <w:lang w:eastAsia="zh-CN"/>
        </w:rPr>
        <w:t>合同</w:t>
      </w:r>
      <w:r>
        <w:rPr>
          <w:rFonts w:eastAsia="仿宋_GB2312"/>
          <w:bCs/>
          <w:sz w:val="28"/>
          <w:szCs w:val="28"/>
        </w:rPr>
        <w:t>。</w:t>
      </w:r>
    </w:p>
    <w:p w14:paraId="242BB3AB">
      <w:pPr>
        <w:adjustRightInd w:val="0"/>
        <w:snapToGrid w:val="0"/>
        <w:spacing w:line="360" w:lineRule="auto"/>
        <w:ind w:firstLine="562" w:firstLineChars="200"/>
        <w:rPr>
          <w:rFonts w:eastAsia="仿宋_GB2312"/>
          <w:b/>
          <w:sz w:val="28"/>
          <w:szCs w:val="28"/>
        </w:rPr>
      </w:pPr>
      <w:r>
        <w:rPr>
          <w:rFonts w:eastAsia="仿宋_GB2312"/>
          <w:b/>
          <w:sz w:val="28"/>
          <w:szCs w:val="28"/>
        </w:rPr>
        <w:t>七、甲方的权利和义务</w:t>
      </w:r>
    </w:p>
    <w:p w14:paraId="3B9863AA">
      <w:pPr>
        <w:adjustRightInd w:val="0"/>
        <w:snapToGrid w:val="0"/>
        <w:spacing w:line="360" w:lineRule="auto"/>
        <w:ind w:firstLine="560" w:firstLineChars="200"/>
        <w:rPr>
          <w:rFonts w:eastAsia="仿宋_GB2312"/>
          <w:sz w:val="28"/>
          <w:szCs w:val="28"/>
        </w:rPr>
      </w:pPr>
      <w:r>
        <w:rPr>
          <w:rFonts w:eastAsia="仿宋_GB2312"/>
          <w:sz w:val="28"/>
          <w:szCs w:val="28"/>
        </w:rPr>
        <w:t>1、乙方服务人员有以下情形之一的，甲方可立即通知并退回乙方，且由乙方更换合格服务人员，甲方可视情况追究其相关法律责任和经济损失：</w:t>
      </w:r>
    </w:p>
    <w:p w14:paraId="6034419B">
      <w:pPr>
        <w:adjustRightInd w:val="0"/>
        <w:snapToGrid w:val="0"/>
        <w:spacing w:line="360" w:lineRule="auto"/>
        <w:ind w:firstLine="560" w:firstLineChars="200"/>
        <w:rPr>
          <w:rFonts w:eastAsia="仿宋_GB2312"/>
          <w:sz w:val="28"/>
          <w:szCs w:val="28"/>
        </w:rPr>
      </w:pPr>
      <w:r>
        <w:rPr>
          <w:rFonts w:eastAsia="仿宋_GB2312"/>
          <w:sz w:val="28"/>
          <w:szCs w:val="28"/>
        </w:rPr>
        <w:t>1-1、严重违反甲方劳动纪律、规章制度的；</w:t>
      </w:r>
    </w:p>
    <w:p w14:paraId="4FC5B0C6">
      <w:pPr>
        <w:adjustRightInd w:val="0"/>
        <w:snapToGrid w:val="0"/>
        <w:spacing w:line="360" w:lineRule="auto"/>
        <w:ind w:firstLine="560" w:firstLineChars="200"/>
        <w:rPr>
          <w:rFonts w:eastAsia="仿宋_GB2312"/>
          <w:sz w:val="28"/>
          <w:szCs w:val="28"/>
        </w:rPr>
      </w:pPr>
      <w:r>
        <w:rPr>
          <w:rFonts w:eastAsia="仿宋_GB2312"/>
          <w:sz w:val="28"/>
          <w:szCs w:val="28"/>
        </w:rPr>
        <w:t>1-2、工作严重失职，给甲方造成重大损失的；</w:t>
      </w:r>
    </w:p>
    <w:p w14:paraId="6E1B711F">
      <w:pPr>
        <w:adjustRightInd w:val="0"/>
        <w:snapToGrid w:val="0"/>
        <w:spacing w:line="360" w:lineRule="auto"/>
        <w:ind w:firstLine="560" w:firstLineChars="200"/>
        <w:rPr>
          <w:rFonts w:eastAsia="仿宋_GB2312"/>
          <w:sz w:val="28"/>
          <w:szCs w:val="28"/>
        </w:rPr>
      </w:pPr>
      <w:r>
        <w:rPr>
          <w:rFonts w:eastAsia="仿宋_GB2312"/>
          <w:sz w:val="28"/>
          <w:szCs w:val="28"/>
        </w:rPr>
        <w:t>1-3、泄露甲方机密或者违反甲方保密规定，给甲方造成损失的；</w:t>
      </w:r>
    </w:p>
    <w:p w14:paraId="2DCFA042">
      <w:pPr>
        <w:adjustRightInd w:val="0"/>
        <w:snapToGrid w:val="0"/>
        <w:spacing w:line="360" w:lineRule="auto"/>
        <w:ind w:firstLine="560" w:firstLineChars="200"/>
        <w:rPr>
          <w:rFonts w:eastAsia="仿宋_GB2312"/>
          <w:sz w:val="28"/>
          <w:szCs w:val="28"/>
        </w:rPr>
      </w:pPr>
      <w:r>
        <w:rPr>
          <w:rFonts w:eastAsia="仿宋_GB2312"/>
          <w:sz w:val="28"/>
          <w:szCs w:val="28"/>
        </w:rPr>
        <w:t>1-4、乙方服务人员因身体原因、精神原因不能胜任甲方工作需要的。</w:t>
      </w:r>
    </w:p>
    <w:p w14:paraId="1143D055">
      <w:pPr>
        <w:adjustRightInd w:val="0"/>
        <w:snapToGrid w:val="0"/>
        <w:spacing w:line="360" w:lineRule="auto"/>
        <w:ind w:firstLine="560" w:firstLineChars="200"/>
        <w:rPr>
          <w:rFonts w:eastAsia="仿宋_GB2312"/>
          <w:sz w:val="28"/>
          <w:szCs w:val="28"/>
        </w:rPr>
      </w:pPr>
      <w:r>
        <w:rPr>
          <w:rFonts w:eastAsia="仿宋_GB2312"/>
          <w:sz w:val="28"/>
          <w:szCs w:val="28"/>
        </w:rPr>
        <w:t>2、甲方须为乙方委派员工提供必需的工作条件。</w:t>
      </w:r>
    </w:p>
    <w:p w14:paraId="719C03E0">
      <w:pPr>
        <w:adjustRightInd w:val="0"/>
        <w:snapToGrid w:val="0"/>
        <w:spacing w:line="360" w:lineRule="auto"/>
        <w:ind w:firstLine="560" w:firstLineChars="200"/>
        <w:rPr>
          <w:rFonts w:eastAsia="仿宋_GB2312"/>
          <w:sz w:val="28"/>
          <w:szCs w:val="28"/>
        </w:rPr>
      </w:pPr>
      <w:r>
        <w:rPr>
          <w:rFonts w:eastAsia="仿宋_GB2312"/>
          <w:sz w:val="28"/>
          <w:szCs w:val="28"/>
        </w:rPr>
        <w:t>3、</w:t>
      </w:r>
      <w:r>
        <w:rPr>
          <w:rFonts w:hint="eastAsia" w:eastAsia="仿宋_GB2312"/>
          <w:sz w:val="28"/>
          <w:szCs w:val="28"/>
        </w:rPr>
        <w:t>甲方需</w:t>
      </w:r>
      <w:r>
        <w:rPr>
          <w:rFonts w:eastAsia="仿宋_GB2312"/>
          <w:sz w:val="28"/>
          <w:szCs w:val="28"/>
        </w:rPr>
        <w:t>负责乙方服务员工的考勤记录。</w:t>
      </w:r>
    </w:p>
    <w:p w14:paraId="094D8EA8">
      <w:pPr>
        <w:adjustRightInd w:val="0"/>
        <w:snapToGrid w:val="0"/>
        <w:spacing w:line="360" w:lineRule="auto"/>
        <w:ind w:firstLine="560" w:firstLineChars="200"/>
        <w:rPr>
          <w:rFonts w:eastAsia="仿宋_GB2312"/>
          <w:sz w:val="28"/>
          <w:szCs w:val="28"/>
        </w:rPr>
      </w:pPr>
      <w:r>
        <w:rPr>
          <w:rFonts w:eastAsia="仿宋_GB2312"/>
          <w:sz w:val="28"/>
          <w:szCs w:val="28"/>
        </w:rPr>
        <w:t>4、甲方对乙方的服务人员及乙方提供的服务有监督建议的权利。</w:t>
      </w:r>
    </w:p>
    <w:p w14:paraId="7F667441">
      <w:pPr>
        <w:adjustRightInd w:val="0"/>
        <w:snapToGrid w:val="0"/>
        <w:spacing w:line="360" w:lineRule="auto"/>
        <w:ind w:firstLine="560" w:firstLineChars="200"/>
        <w:rPr>
          <w:rFonts w:eastAsia="仿宋_GB2312"/>
          <w:sz w:val="28"/>
          <w:szCs w:val="28"/>
        </w:rPr>
      </w:pPr>
      <w:r>
        <w:rPr>
          <w:rFonts w:eastAsia="仿宋_GB2312"/>
          <w:sz w:val="28"/>
          <w:szCs w:val="28"/>
        </w:rPr>
        <w:t>5、国家法律、法规所规定由甲方承担的其它责任。</w:t>
      </w:r>
    </w:p>
    <w:p w14:paraId="1886EEC8">
      <w:pPr>
        <w:adjustRightInd w:val="0"/>
        <w:snapToGrid w:val="0"/>
        <w:spacing w:line="360" w:lineRule="auto"/>
        <w:ind w:firstLine="562" w:firstLineChars="200"/>
        <w:rPr>
          <w:rFonts w:eastAsia="仿宋_GB2312"/>
          <w:sz w:val="28"/>
          <w:szCs w:val="28"/>
        </w:rPr>
      </w:pPr>
      <w:r>
        <w:rPr>
          <w:rFonts w:eastAsia="仿宋_GB2312"/>
          <w:b/>
          <w:sz w:val="28"/>
          <w:szCs w:val="28"/>
        </w:rPr>
        <w:t>八、乙方的权利和义务</w:t>
      </w:r>
    </w:p>
    <w:p w14:paraId="0B832A3A">
      <w:pPr>
        <w:adjustRightInd w:val="0"/>
        <w:snapToGrid w:val="0"/>
        <w:spacing w:line="360" w:lineRule="auto"/>
        <w:ind w:firstLine="560" w:firstLineChars="200"/>
        <w:rPr>
          <w:rFonts w:eastAsia="仿宋_GB2312"/>
          <w:sz w:val="28"/>
          <w:szCs w:val="28"/>
        </w:rPr>
      </w:pPr>
      <w:r>
        <w:rPr>
          <w:rFonts w:eastAsia="仿宋_GB2312"/>
          <w:sz w:val="28"/>
          <w:szCs w:val="28"/>
        </w:rPr>
        <w:t>1、委派</w:t>
      </w:r>
      <w:r>
        <w:rPr>
          <w:rFonts w:hint="eastAsia" w:eastAsia="仿宋_GB2312"/>
          <w:sz w:val="28"/>
          <w:szCs w:val="28"/>
        </w:rPr>
        <w:t>期</w:t>
      </w:r>
      <w:r>
        <w:rPr>
          <w:rFonts w:eastAsia="仿宋_GB2312"/>
          <w:sz w:val="28"/>
          <w:szCs w:val="28"/>
        </w:rPr>
        <w:t>间乙方应依据其管理制度负责服务人员的薪酬及福利。乙方工作人员在服务期间发生的人身及财产损害，</w:t>
      </w:r>
      <w:r>
        <w:rPr>
          <w:rFonts w:hint="eastAsia" w:eastAsia="仿宋_GB2312"/>
          <w:sz w:val="28"/>
          <w:szCs w:val="28"/>
        </w:rPr>
        <w:t>应根据实际情况</w:t>
      </w:r>
      <w:r>
        <w:rPr>
          <w:rFonts w:eastAsia="仿宋_GB2312"/>
          <w:sz w:val="28"/>
          <w:szCs w:val="28"/>
        </w:rPr>
        <w:t>由</w:t>
      </w:r>
      <w:r>
        <w:rPr>
          <w:rFonts w:hint="eastAsia" w:eastAsia="仿宋_GB2312"/>
          <w:sz w:val="28"/>
          <w:szCs w:val="28"/>
        </w:rPr>
        <w:t>甲乙双方和工作人员协商处理</w:t>
      </w:r>
      <w:r>
        <w:rPr>
          <w:rFonts w:eastAsia="仿宋_GB2312"/>
          <w:sz w:val="28"/>
          <w:szCs w:val="28"/>
        </w:rPr>
        <w:t>。</w:t>
      </w:r>
    </w:p>
    <w:p w14:paraId="41F7B60E">
      <w:pPr>
        <w:adjustRightInd w:val="0"/>
        <w:snapToGrid w:val="0"/>
        <w:spacing w:line="360" w:lineRule="auto"/>
        <w:ind w:firstLine="560" w:firstLineChars="200"/>
        <w:rPr>
          <w:rFonts w:eastAsia="仿宋_GB2312"/>
          <w:sz w:val="28"/>
          <w:szCs w:val="28"/>
        </w:rPr>
      </w:pPr>
      <w:r>
        <w:rPr>
          <w:rFonts w:eastAsia="仿宋_GB2312"/>
          <w:sz w:val="28"/>
          <w:szCs w:val="28"/>
        </w:rPr>
        <w:t>2、乙方如根据工作需要，决定将服务人员岗位进行调整，应提前30个工作日通知甲方，同时替换甲方认可的服务人员</w:t>
      </w:r>
      <w:r>
        <w:rPr>
          <w:rFonts w:hint="eastAsia" w:eastAsia="仿宋_GB2312"/>
          <w:sz w:val="28"/>
          <w:szCs w:val="28"/>
        </w:rPr>
        <w:t>进行换岗</w:t>
      </w:r>
      <w:r>
        <w:rPr>
          <w:rFonts w:eastAsia="仿宋_GB2312"/>
          <w:sz w:val="28"/>
          <w:szCs w:val="28"/>
        </w:rPr>
        <w:t>。</w:t>
      </w:r>
    </w:p>
    <w:p w14:paraId="57101FC2">
      <w:pPr>
        <w:adjustRightInd w:val="0"/>
        <w:snapToGrid w:val="0"/>
        <w:spacing w:line="360" w:lineRule="auto"/>
        <w:ind w:firstLine="560" w:firstLineChars="200"/>
        <w:rPr>
          <w:rFonts w:eastAsia="仿宋_GB2312"/>
          <w:sz w:val="28"/>
          <w:szCs w:val="28"/>
        </w:rPr>
      </w:pPr>
      <w:r>
        <w:rPr>
          <w:rFonts w:eastAsia="仿宋_GB2312"/>
          <w:sz w:val="28"/>
          <w:szCs w:val="28"/>
        </w:rPr>
        <w:t>3、接受甲方对乙方服务人员及乙方提供服务的监督。</w:t>
      </w:r>
    </w:p>
    <w:p w14:paraId="209F4C2A">
      <w:pPr>
        <w:adjustRightInd w:val="0"/>
        <w:snapToGrid w:val="0"/>
        <w:spacing w:line="360" w:lineRule="auto"/>
        <w:ind w:firstLine="560" w:firstLineChars="200"/>
        <w:rPr>
          <w:rFonts w:eastAsia="仿宋_GB2312"/>
          <w:sz w:val="28"/>
          <w:szCs w:val="28"/>
        </w:rPr>
      </w:pPr>
      <w:r>
        <w:rPr>
          <w:rFonts w:eastAsia="仿宋_GB2312"/>
          <w:sz w:val="28"/>
          <w:szCs w:val="28"/>
        </w:rPr>
        <w:t>4、国家法律、法规所规定由乙方承担的其它责任。</w:t>
      </w:r>
      <w:bookmarkStart w:id="6" w:name="_Toc19515391"/>
    </w:p>
    <w:p w14:paraId="1A39B64F">
      <w:pPr>
        <w:adjustRightInd w:val="0"/>
        <w:snapToGrid w:val="0"/>
        <w:spacing w:line="360" w:lineRule="auto"/>
        <w:ind w:firstLine="562" w:firstLineChars="200"/>
        <w:rPr>
          <w:rFonts w:eastAsia="仿宋_GB2312"/>
          <w:b/>
          <w:sz w:val="28"/>
          <w:szCs w:val="28"/>
        </w:rPr>
      </w:pPr>
      <w:r>
        <w:rPr>
          <w:rFonts w:eastAsia="仿宋_GB2312"/>
          <w:b/>
          <w:sz w:val="28"/>
          <w:szCs w:val="28"/>
        </w:rPr>
        <w:t>九、验收</w:t>
      </w:r>
      <w:bookmarkEnd w:id="6"/>
      <w:r>
        <w:rPr>
          <w:rFonts w:eastAsia="仿宋_GB2312"/>
          <w:b/>
          <w:sz w:val="28"/>
          <w:szCs w:val="28"/>
        </w:rPr>
        <w:t>要求</w:t>
      </w:r>
    </w:p>
    <w:p w14:paraId="3313C061">
      <w:pPr>
        <w:adjustRightInd w:val="0"/>
        <w:snapToGrid w:val="0"/>
        <w:spacing w:line="360" w:lineRule="auto"/>
        <w:ind w:firstLine="560" w:firstLineChars="200"/>
        <w:rPr>
          <w:rFonts w:eastAsia="仿宋_GB2312"/>
          <w:sz w:val="28"/>
          <w:szCs w:val="28"/>
        </w:rPr>
      </w:pPr>
      <w:bookmarkStart w:id="7" w:name="_Toc19515392"/>
      <w:r>
        <w:rPr>
          <w:rFonts w:eastAsia="仿宋_GB2312"/>
          <w:sz w:val="28"/>
          <w:szCs w:val="28"/>
        </w:rPr>
        <w:t>1、每月底由采购人对其进行服务质量验收。</w:t>
      </w:r>
    </w:p>
    <w:p w14:paraId="17C80E40">
      <w:pPr>
        <w:adjustRightInd w:val="0"/>
        <w:snapToGrid w:val="0"/>
        <w:spacing w:line="360" w:lineRule="auto"/>
        <w:ind w:firstLine="560" w:firstLineChars="200"/>
        <w:rPr>
          <w:rFonts w:eastAsia="仿宋_GB2312"/>
          <w:sz w:val="28"/>
          <w:szCs w:val="28"/>
        </w:rPr>
      </w:pPr>
      <w:r>
        <w:rPr>
          <w:rFonts w:eastAsia="仿宋_GB2312"/>
          <w:sz w:val="28"/>
          <w:szCs w:val="28"/>
        </w:rPr>
        <w:t>2、验收依据：</w:t>
      </w:r>
    </w:p>
    <w:p w14:paraId="70D76BE3">
      <w:pPr>
        <w:adjustRightInd w:val="0"/>
        <w:snapToGrid w:val="0"/>
        <w:spacing w:line="360" w:lineRule="auto"/>
        <w:ind w:firstLine="560" w:firstLineChars="200"/>
        <w:rPr>
          <w:rFonts w:eastAsia="仿宋_GB2312"/>
          <w:sz w:val="28"/>
          <w:szCs w:val="28"/>
        </w:rPr>
      </w:pPr>
      <w:r>
        <w:rPr>
          <w:rFonts w:eastAsia="仿宋_GB2312"/>
          <w:sz w:val="28"/>
          <w:szCs w:val="28"/>
        </w:rPr>
        <w:t>2-1、</w:t>
      </w:r>
      <w:r>
        <w:rPr>
          <w:rFonts w:hint="eastAsia" w:eastAsia="仿宋_GB2312"/>
          <w:sz w:val="28"/>
          <w:szCs w:val="28"/>
          <w:lang w:eastAsia="zh-CN"/>
        </w:rPr>
        <w:t>合同</w:t>
      </w:r>
      <w:r>
        <w:rPr>
          <w:rFonts w:eastAsia="仿宋_GB2312"/>
          <w:sz w:val="28"/>
          <w:szCs w:val="28"/>
        </w:rPr>
        <w:t>文本、</w:t>
      </w:r>
      <w:r>
        <w:rPr>
          <w:rFonts w:hint="eastAsia" w:eastAsia="仿宋_GB2312"/>
          <w:sz w:val="28"/>
          <w:szCs w:val="28"/>
          <w:lang w:eastAsia="zh-CN"/>
        </w:rPr>
        <w:t>合同</w:t>
      </w:r>
      <w:r>
        <w:rPr>
          <w:rFonts w:eastAsia="仿宋_GB2312"/>
          <w:sz w:val="28"/>
          <w:szCs w:val="28"/>
        </w:rPr>
        <w:t>附件、竞争性磋商文件、竞争性磋商响应文件。</w:t>
      </w:r>
    </w:p>
    <w:p w14:paraId="1352DDFA">
      <w:pPr>
        <w:adjustRightInd w:val="0"/>
        <w:snapToGrid w:val="0"/>
        <w:spacing w:line="360" w:lineRule="auto"/>
        <w:ind w:firstLine="560" w:firstLineChars="200"/>
        <w:rPr>
          <w:rFonts w:eastAsia="仿宋_GB2312"/>
          <w:sz w:val="28"/>
          <w:szCs w:val="28"/>
        </w:rPr>
      </w:pPr>
      <w:r>
        <w:rPr>
          <w:rFonts w:eastAsia="仿宋_GB2312"/>
          <w:sz w:val="28"/>
          <w:szCs w:val="28"/>
        </w:rPr>
        <w:t>2-2、国内相应的标准、规范。</w:t>
      </w:r>
    </w:p>
    <w:p w14:paraId="6D1A72B2">
      <w:pPr>
        <w:adjustRightInd w:val="0"/>
        <w:snapToGrid w:val="0"/>
        <w:spacing w:line="360" w:lineRule="auto"/>
        <w:ind w:firstLine="562" w:firstLineChars="200"/>
        <w:rPr>
          <w:rFonts w:eastAsia="仿宋_GB2312"/>
          <w:b/>
          <w:sz w:val="28"/>
          <w:szCs w:val="28"/>
        </w:rPr>
      </w:pPr>
      <w:r>
        <w:rPr>
          <w:rFonts w:eastAsia="仿宋_GB2312"/>
          <w:b/>
          <w:sz w:val="28"/>
          <w:szCs w:val="28"/>
        </w:rPr>
        <w:t>十、违约责任</w:t>
      </w:r>
      <w:bookmarkEnd w:id="7"/>
    </w:p>
    <w:p w14:paraId="2AAEFD51">
      <w:pPr>
        <w:adjustRightInd w:val="0"/>
        <w:snapToGrid w:val="0"/>
        <w:spacing w:line="360" w:lineRule="auto"/>
        <w:ind w:firstLine="560" w:firstLineChars="200"/>
        <w:rPr>
          <w:rFonts w:eastAsia="仿宋_GB2312"/>
          <w:sz w:val="28"/>
          <w:szCs w:val="28"/>
        </w:rPr>
      </w:pPr>
      <w:r>
        <w:rPr>
          <w:rFonts w:eastAsia="仿宋_GB2312"/>
          <w:sz w:val="28"/>
          <w:szCs w:val="28"/>
        </w:rPr>
        <w:t>1、乙方因处理不及时，导致甲方延误工作或造成上级部门批评，每出现一次，乙方应按</w:t>
      </w:r>
      <w:r>
        <w:rPr>
          <w:rFonts w:hint="eastAsia" w:eastAsia="仿宋_GB2312"/>
          <w:sz w:val="28"/>
          <w:szCs w:val="28"/>
        </w:rPr>
        <w:t>已结算</w:t>
      </w:r>
      <w:r>
        <w:rPr>
          <w:rFonts w:eastAsia="仿宋_GB2312"/>
          <w:sz w:val="28"/>
          <w:szCs w:val="28"/>
        </w:rPr>
        <w:t>总价款的</w:t>
      </w:r>
      <w:r>
        <w:rPr>
          <w:rFonts w:hint="eastAsia" w:eastAsia="仿宋_GB2312"/>
          <w:sz w:val="28"/>
          <w:szCs w:val="28"/>
        </w:rPr>
        <w:t>0.</w:t>
      </w:r>
      <w:r>
        <w:rPr>
          <w:rFonts w:eastAsia="仿宋_GB2312"/>
          <w:sz w:val="28"/>
          <w:szCs w:val="28"/>
        </w:rPr>
        <w:t>1%向甲方承担违约责任，累计出现三次，乙方应按</w:t>
      </w:r>
      <w:r>
        <w:rPr>
          <w:rFonts w:hint="eastAsia" w:eastAsia="仿宋_GB2312"/>
          <w:sz w:val="28"/>
          <w:szCs w:val="28"/>
        </w:rPr>
        <w:t>已结算</w:t>
      </w:r>
      <w:r>
        <w:rPr>
          <w:rFonts w:eastAsia="仿宋_GB2312"/>
          <w:sz w:val="28"/>
          <w:szCs w:val="28"/>
        </w:rPr>
        <w:t>总价款的</w:t>
      </w:r>
      <w:r>
        <w:rPr>
          <w:rFonts w:hint="eastAsia" w:eastAsia="仿宋_GB2312"/>
          <w:sz w:val="28"/>
          <w:szCs w:val="28"/>
        </w:rPr>
        <w:t>0.5</w:t>
      </w:r>
      <w:r>
        <w:rPr>
          <w:rFonts w:eastAsia="仿宋_GB2312"/>
          <w:sz w:val="28"/>
          <w:szCs w:val="28"/>
        </w:rPr>
        <w:t>%向甲方支付违约金，且甲方可视情节解除本</w:t>
      </w:r>
      <w:r>
        <w:rPr>
          <w:rFonts w:hint="eastAsia" w:eastAsia="仿宋_GB2312"/>
          <w:sz w:val="28"/>
          <w:szCs w:val="28"/>
          <w:lang w:eastAsia="zh-CN"/>
        </w:rPr>
        <w:t>合同</w:t>
      </w:r>
      <w:r>
        <w:rPr>
          <w:rFonts w:eastAsia="仿宋_GB2312"/>
          <w:sz w:val="28"/>
          <w:szCs w:val="28"/>
        </w:rPr>
        <w:t>，因此给甲方造成损失的，乙方应予以赔偿。</w:t>
      </w:r>
    </w:p>
    <w:p w14:paraId="1638E093">
      <w:pPr>
        <w:adjustRightInd w:val="0"/>
        <w:snapToGrid w:val="0"/>
        <w:spacing w:line="360" w:lineRule="auto"/>
        <w:ind w:firstLine="560" w:firstLineChars="200"/>
        <w:rPr>
          <w:rFonts w:eastAsia="仿宋_GB2312"/>
          <w:sz w:val="28"/>
          <w:szCs w:val="28"/>
        </w:rPr>
      </w:pPr>
      <w:r>
        <w:rPr>
          <w:rFonts w:eastAsia="仿宋_GB2312"/>
          <w:sz w:val="28"/>
          <w:szCs w:val="28"/>
        </w:rPr>
        <w:t>2、服务期限内，若甲方因政策等不可控因素，导致提前解约的，甲乙双方共同协商解决，互不承担违约责任。</w:t>
      </w:r>
    </w:p>
    <w:p w14:paraId="1F0C1A35">
      <w:pPr>
        <w:adjustRightInd w:val="0"/>
        <w:snapToGrid w:val="0"/>
        <w:spacing w:line="360" w:lineRule="auto"/>
        <w:ind w:firstLine="562" w:firstLineChars="200"/>
        <w:rPr>
          <w:rFonts w:eastAsia="仿宋_GB2312"/>
          <w:b/>
          <w:sz w:val="28"/>
          <w:szCs w:val="28"/>
        </w:rPr>
      </w:pPr>
      <w:r>
        <w:rPr>
          <w:rFonts w:eastAsia="仿宋_GB2312"/>
          <w:b/>
          <w:sz w:val="28"/>
          <w:szCs w:val="28"/>
        </w:rPr>
        <w:t>十一、不可抗力事件处理</w:t>
      </w:r>
    </w:p>
    <w:p w14:paraId="2E561C93">
      <w:pPr>
        <w:adjustRightInd w:val="0"/>
        <w:snapToGrid w:val="0"/>
        <w:spacing w:line="360" w:lineRule="auto"/>
        <w:ind w:firstLine="560" w:firstLineChars="200"/>
        <w:rPr>
          <w:rFonts w:eastAsia="仿宋_GB2312"/>
          <w:sz w:val="28"/>
          <w:szCs w:val="28"/>
        </w:rPr>
      </w:pPr>
      <w:r>
        <w:rPr>
          <w:rFonts w:eastAsia="仿宋_GB2312"/>
          <w:sz w:val="28"/>
          <w:szCs w:val="28"/>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w:t>
      </w:r>
      <w:r>
        <w:rPr>
          <w:rFonts w:hint="eastAsia" w:eastAsia="仿宋_GB2312"/>
          <w:sz w:val="28"/>
          <w:szCs w:val="28"/>
          <w:lang w:eastAsia="zh-CN"/>
        </w:rPr>
        <w:t>合同</w:t>
      </w:r>
      <w:r>
        <w:rPr>
          <w:rFonts w:eastAsia="仿宋_GB2312"/>
          <w:sz w:val="28"/>
          <w:szCs w:val="28"/>
        </w:rPr>
        <w:t>，并根据情况可部分或全部免于承担违约责任。</w:t>
      </w:r>
    </w:p>
    <w:p w14:paraId="38930B85">
      <w:pPr>
        <w:adjustRightInd w:val="0"/>
        <w:snapToGrid w:val="0"/>
        <w:spacing w:line="360" w:lineRule="auto"/>
        <w:ind w:firstLine="560" w:firstLineChars="200"/>
        <w:rPr>
          <w:rFonts w:eastAsia="仿宋_GB2312"/>
          <w:sz w:val="28"/>
          <w:szCs w:val="28"/>
        </w:rPr>
      </w:pPr>
      <w:r>
        <w:rPr>
          <w:rFonts w:eastAsia="仿宋_GB2312"/>
          <w:sz w:val="28"/>
          <w:szCs w:val="28"/>
        </w:rPr>
        <w:t>2、本</w:t>
      </w:r>
      <w:r>
        <w:rPr>
          <w:rFonts w:hint="eastAsia" w:eastAsia="仿宋_GB2312"/>
          <w:sz w:val="28"/>
          <w:szCs w:val="28"/>
          <w:lang w:eastAsia="zh-CN"/>
        </w:rPr>
        <w:t>合同</w:t>
      </w:r>
      <w:r>
        <w:rPr>
          <w:rFonts w:eastAsia="仿宋_GB2312"/>
          <w:sz w:val="28"/>
          <w:szCs w:val="28"/>
        </w:rPr>
        <w:t>中的不可抗力指不能预见、不能避免并不能克服的客观情况。包括但不限于：自然灾害如地震、台风、洪水、火灾；政府行为、法律规定或其适用的变化或者其他任何无法预见、避免或者控制的事件。</w:t>
      </w:r>
    </w:p>
    <w:p w14:paraId="7C2DB82B">
      <w:pPr>
        <w:adjustRightInd w:val="0"/>
        <w:snapToGrid w:val="0"/>
        <w:spacing w:line="360" w:lineRule="auto"/>
        <w:ind w:firstLine="562" w:firstLineChars="200"/>
        <w:rPr>
          <w:rFonts w:eastAsia="仿宋_GB2312"/>
          <w:b/>
          <w:sz w:val="28"/>
          <w:szCs w:val="28"/>
        </w:rPr>
      </w:pPr>
      <w:bookmarkStart w:id="8" w:name="_Toc19515393"/>
      <w:r>
        <w:rPr>
          <w:rFonts w:eastAsia="仿宋_GB2312"/>
          <w:b/>
          <w:sz w:val="28"/>
          <w:szCs w:val="28"/>
        </w:rPr>
        <w:t>十二、</w:t>
      </w:r>
      <w:r>
        <w:rPr>
          <w:rFonts w:hint="eastAsia" w:eastAsia="仿宋_GB2312"/>
          <w:b/>
          <w:sz w:val="28"/>
          <w:szCs w:val="28"/>
          <w:lang w:eastAsia="zh-CN"/>
        </w:rPr>
        <w:t>合同</w:t>
      </w:r>
      <w:r>
        <w:rPr>
          <w:rFonts w:eastAsia="仿宋_GB2312"/>
          <w:b/>
          <w:sz w:val="28"/>
          <w:szCs w:val="28"/>
        </w:rPr>
        <w:t>组成</w:t>
      </w:r>
      <w:bookmarkEnd w:id="8"/>
    </w:p>
    <w:p w14:paraId="00FF3513">
      <w:pPr>
        <w:adjustRightInd w:val="0"/>
        <w:snapToGrid w:val="0"/>
        <w:spacing w:line="360" w:lineRule="auto"/>
        <w:ind w:firstLine="560" w:firstLineChars="200"/>
        <w:rPr>
          <w:rFonts w:eastAsia="仿宋_GB2312"/>
          <w:sz w:val="28"/>
          <w:szCs w:val="28"/>
        </w:rPr>
      </w:pPr>
      <w:r>
        <w:rPr>
          <w:rFonts w:eastAsia="仿宋_GB2312"/>
          <w:sz w:val="28"/>
          <w:szCs w:val="28"/>
        </w:rPr>
        <w:t>1、成交通知书</w:t>
      </w:r>
    </w:p>
    <w:p w14:paraId="59A3B94C">
      <w:pPr>
        <w:adjustRightInd w:val="0"/>
        <w:snapToGrid w:val="0"/>
        <w:spacing w:line="360" w:lineRule="auto"/>
        <w:ind w:firstLine="560" w:firstLineChars="200"/>
        <w:rPr>
          <w:rFonts w:eastAsia="仿宋_GB2312"/>
          <w:sz w:val="28"/>
          <w:szCs w:val="28"/>
        </w:rPr>
      </w:pPr>
      <w:r>
        <w:rPr>
          <w:rFonts w:eastAsia="仿宋_GB2312"/>
          <w:sz w:val="28"/>
          <w:szCs w:val="28"/>
        </w:rPr>
        <w:t>2、</w:t>
      </w:r>
      <w:r>
        <w:rPr>
          <w:rFonts w:hint="eastAsia" w:eastAsia="仿宋_GB2312"/>
          <w:sz w:val="28"/>
          <w:szCs w:val="28"/>
          <w:lang w:eastAsia="zh-CN"/>
        </w:rPr>
        <w:t>合同</w:t>
      </w:r>
      <w:r>
        <w:rPr>
          <w:rFonts w:eastAsia="仿宋_GB2312"/>
          <w:sz w:val="28"/>
          <w:szCs w:val="28"/>
        </w:rPr>
        <w:t>文件</w:t>
      </w:r>
    </w:p>
    <w:p w14:paraId="79087691">
      <w:pPr>
        <w:adjustRightInd w:val="0"/>
        <w:snapToGrid w:val="0"/>
        <w:spacing w:line="360" w:lineRule="auto"/>
        <w:ind w:firstLine="560" w:firstLineChars="200"/>
        <w:rPr>
          <w:rFonts w:eastAsia="仿宋_GB2312"/>
          <w:sz w:val="28"/>
          <w:szCs w:val="28"/>
        </w:rPr>
      </w:pPr>
      <w:r>
        <w:rPr>
          <w:rFonts w:eastAsia="仿宋_GB2312"/>
          <w:sz w:val="28"/>
          <w:szCs w:val="28"/>
        </w:rPr>
        <w:t>3、国家相关规范及标准</w:t>
      </w:r>
    </w:p>
    <w:p w14:paraId="54B99BCD">
      <w:pPr>
        <w:adjustRightInd w:val="0"/>
        <w:snapToGrid w:val="0"/>
        <w:spacing w:line="360" w:lineRule="auto"/>
        <w:ind w:firstLine="560" w:firstLineChars="200"/>
        <w:rPr>
          <w:rFonts w:eastAsia="仿宋_GB2312"/>
          <w:sz w:val="28"/>
          <w:szCs w:val="28"/>
        </w:rPr>
      </w:pPr>
      <w:r>
        <w:rPr>
          <w:rFonts w:eastAsia="仿宋_GB2312"/>
          <w:sz w:val="28"/>
          <w:szCs w:val="28"/>
        </w:rPr>
        <w:t>4、竞争性磋商文件</w:t>
      </w:r>
    </w:p>
    <w:p w14:paraId="6F9ADC84">
      <w:pPr>
        <w:adjustRightInd w:val="0"/>
        <w:snapToGrid w:val="0"/>
        <w:spacing w:line="360" w:lineRule="auto"/>
        <w:ind w:firstLine="560" w:firstLineChars="200"/>
        <w:rPr>
          <w:rFonts w:eastAsia="仿宋_GB2312"/>
          <w:sz w:val="28"/>
          <w:szCs w:val="28"/>
        </w:rPr>
      </w:pPr>
      <w:r>
        <w:rPr>
          <w:rFonts w:eastAsia="仿宋_GB2312"/>
          <w:sz w:val="28"/>
          <w:szCs w:val="28"/>
        </w:rPr>
        <w:t>5、磋商响应文件</w:t>
      </w:r>
    </w:p>
    <w:p w14:paraId="230A9403">
      <w:pPr>
        <w:adjustRightInd w:val="0"/>
        <w:snapToGrid w:val="0"/>
        <w:spacing w:line="360" w:lineRule="auto"/>
        <w:ind w:firstLine="562" w:firstLineChars="200"/>
        <w:rPr>
          <w:rFonts w:eastAsia="仿宋_GB2312"/>
          <w:b/>
          <w:sz w:val="28"/>
          <w:szCs w:val="28"/>
        </w:rPr>
      </w:pPr>
      <w:bookmarkStart w:id="9" w:name="_Toc19515394"/>
      <w:r>
        <w:rPr>
          <w:rFonts w:eastAsia="仿宋_GB2312"/>
          <w:b/>
          <w:sz w:val="28"/>
          <w:szCs w:val="28"/>
        </w:rPr>
        <w:t>十三、解决争议的方法</w:t>
      </w:r>
      <w:bookmarkEnd w:id="9"/>
    </w:p>
    <w:p w14:paraId="67DD0BD5">
      <w:pPr>
        <w:widowControl/>
        <w:autoSpaceDE w:val="0"/>
        <w:autoSpaceDN w:val="0"/>
        <w:snapToGrid w:val="0"/>
        <w:spacing w:line="360" w:lineRule="auto"/>
        <w:ind w:right="-110" w:firstLine="560" w:firstLineChars="200"/>
        <w:textAlignment w:val="bottom"/>
        <w:rPr>
          <w:rFonts w:eastAsia="仿宋_GB2312"/>
          <w:kern w:val="0"/>
          <w:sz w:val="28"/>
          <w:szCs w:val="28"/>
        </w:rPr>
      </w:pPr>
      <w:r>
        <w:rPr>
          <w:rFonts w:eastAsia="仿宋_GB2312"/>
          <w:kern w:val="0"/>
          <w:sz w:val="28"/>
          <w:szCs w:val="28"/>
        </w:rPr>
        <w:t>凡因本</w:t>
      </w:r>
      <w:r>
        <w:rPr>
          <w:rFonts w:hint="eastAsia" w:eastAsia="仿宋_GB2312"/>
          <w:kern w:val="0"/>
          <w:sz w:val="28"/>
          <w:szCs w:val="28"/>
          <w:lang w:eastAsia="zh-CN"/>
        </w:rPr>
        <w:t>合同</w:t>
      </w:r>
      <w:r>
        <w:rPr>
          <w:rFonts w:eastAsia="仿宋_GB2312"/>
          <w:kern w:val="0"/>
          <w:sz w:val="28"/>
          <w:szCs w:val="28"/>
        </w:rPr>
        <w:t>引起的或与本</w:t>
      </w:r>
      <w:r>
        <w:rPr>
          <w:rFonts w:hint="eastAsia" w:eastAsia="仿宋_GB2312"/>
          <w:kern w:val="0"/>
          <w:sz w:val="28"/>
          <w:szCs w:val="28"/>
          <w:lang w:eastAsia="zh-CN"/>
        </w:rPr>
        <w:t>合同</w:t>
      </w:r>
      <w:r>
        <w:rPr>
          <w:rFonts w:eastAsia="仿宋_GB2312"/>
          <w:kern w:val="0"/>
          <w:sz w:val="28"/>
          <w:szCs w:val="28"/>
        </w:rPr>
        <w:t>有关的争议，双方应友好协商解决。协商不成时，双方均同意采用以下第（ 1 ）种争议解决方式：</w:t>
      </w:r>
    </w:p>
    <w:p w14:paraId="261BD4EE">
      <w:pPr>
        <w:widowControl/>
        <w:autoSpaceDE w:val="0"/>
        <w:autoSpaceDN w:val="0"/>
        <w:snapToGrid w:val="0"/>
        <w:spacing w:line="360" w:lineRule="auto"/>
        <w:ind w:right="-110" w:firstLine="560" w:firstLineChars="200"/>
        <w:textAlignment w:val="bottom"/>
        <w:rPr>
          <w:rFonts w:eastAsia="仿宋_GB2312"/>
          <w:kern w:val="0"/>
          <w:sz w:val="28"/>
          <w:szCs w:val="28"/>
        </w:rPr>
      </w:pPr>
      <w:r>
        <w:rPr>
          <w:rFonts w:eastAsia="仿宋_GB2312"/>
          <w:kern w:val="0"/>
          <w:sz w:val="28"/>
          <w:szCs w:val="28"/>
        </w:rPr>
        <w:t>（1）甲、乙双方均同意向（甲方所在地人民法院）提起诉讼。</w:t>
      </w:r>
    </w:p>
    <w:p w14:paraId="14C46D2E">
      <w:pPr>
        <w:widowControl/>
        <w:autoSpaceDE w:val="0"/>
        <w:autoSpaceDN w:val="0"/>
        <w:snapToGrid w:val="0"/>
        <w:spacing w:line="360" w:lineRule="auto"/>
        <w:ind w:right="-110" w:firstLine="560" w:firstLineChars="200"/>
        <w:textAlignment w:val="bottom"/>
        <w:rPr>
          <w:rFonts w:eastAsia="仿宋_GB2312"/>
          <w:kern w:val="0"/>
          <w:sz w:val="28"/>
          <w:szCs w:val="28"/>
        </w:rPr>
      </w:pPr>
      <w:r>
        <w:rPr>
          <w:rFonts w:eastAsia="仿宋_GB2312"/>
          <w:kern w:val="0"/>
          <w:sz w:val="28"/>
          <w:szCs w:val="28"/>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_GB2312"/>
          <w:kern w:val="0"/>
          <w:sz w:val="28"/>
          <w:szCs w:val="28"/>
        </w:rPr>
        <w:t>仲裁委员会</w:t>
      </w:r>
      <w:r>
        <w:rPr>
          <w:rFonts w:eastAsia="仿宋_GB2312"/>
          <w:kern w:val="0"/>
          <w:sz w:val="28"/>
          <w:szCs w:val="28"/>
        </w:rPr>
        <w:fldChar w:fldCharType="end"/>
      </w:r>
      <w:r>
        <w:rPr>
          <w:rFonts w:eastAsia="仿宋_GB2312"/>
          <w:kern w:val="0"/>
          <w:sz w:val="28"/>
          <w:szCs w:val="28"/>
        </w:rPr>
        <w:t>）提起仲裁。</w:t>
      </w:r>
    </w:p>
    <w:p w14:paraId="4E9D3276">
      <w:pPr>
        <w:adjustRightInd w:val="0"/>
        <w:snapToGrid w:val="0"/>
        <w:spacing w:line="360" w:lineRule="auto"/>
        <w:ind w:firstLine="562" w:firstLineChars="200"/>
        <w:rPr>
          <w:rFonts w:eastAsia="仿宋_GB2312"/>
          <w:b/>
          <w:sz w:val="28"/>
          <w:szCs w:val="28"/>
        </w:rPr>
      </w:pPr>
      <w:bookmarkStart w:id="10" w:name="_Toc19515395"/>
      <w:r>
        <w:rPr>
          <w:rFonts w:eastAsia="仿宋_GB2312"/>
          <w:b/>
          <w:sz w:val="28"/>
          <w:szCs w:val="28"/>
        </w:rPr>
        <w:t>十四、</w:t>
      </w:r>
      <w:r>
        <w:rPr>
          <w:rFonts w:hint="eastAsia" w:eastAsia="仿宋_GB2312"/>
          <w:b/>
          <w:sz w:val="28"/>
          <w:szCs w:val="28"/>
          <w:lang w:eastAsia="zh-CN"/>
        </w:rPr>
        <w:t>合同</w:t>
      </w:r>
      <w:r>
        <w:rPr>
          <w:rFonts w:eastAsia="仿宋_GB2312"/>
          <w:b/>
          <w:sz w:val="28"/>
          <w:szCs w:val="28"/>
        </w:rPr>
        <w:t>生效及其它</w:t>
      </w:r>
      <w:bookmarkEnd w:id="10"/>
    </w:p>
    <w:p w14:paraId="7FA5ADE8">
      <w:pPr>
        <w:adjustRightInd w:val="0"/>
        <w:snapToGrid w:val="0"/>
        <w:spacing w:line="360" w:lineRule="auto"/>
        <w:ind w:firstLine="560" w:firstLineChars="200"/>
        <w:rPr>
          <w:rFonts w:eastAsia="仿宋_GB2312"/>
          <w:b/>
          <w:sz w:val="28"/>
          <w:szCs w:val="28"/>
        </w:rPr>
      </w:pPr>
      <w:r>
        <w:rPr>
          <w:rFonts w:eastAsia="仿宋_GB2312"/>
          <w:kern w:val="0"/>
          <w:sz w:val="28"/>
          <w:szCs w:val="28"/>
        </w:rPr>
        <w:t>1、</w:t>
      </w:r>
      <w:r>
        <w:rPr>
          <w:rFonts w:hint="eastAsia" w:eastAsia="仿宋_GB2312"/>
          <w:kern w:val="0"/>
          <w:sz w:val="28"/>
          <w:szCs w:val="28"/>
          <w:lang w:eastAsia="zh-CN"/>
        </w:rPr>
        <w:t>合同</w:t>
      </w:r>
      <w:r>
        <w:rPr>
          <w:rFonts w:eastAsia="仿宋_GB2312"/>
          <w:kern w:val="0"/>
          <w:sz w:val="28"/>
          <w:szCs w:val="28"/>
        </w:rPr>
        <w:t>未尽事宜、由甲、乙双方协商，作为</w:t>
      </w:r>
      <w:r>
        <w:rPr>
          <w:rFonts w:hint="eastAsia" w:eastAsia="仿宋_GB2312"/>
          <w:kern w:val="0"/>
          <w:sz w:val="28"/>
          <w:szCs w:val="28"/>
          <w:lang w:eastAsia="zh-CN"/>
        </w:rPr>
        <w:t>合同</w:t>
      </w:r>
      <w:r>
        <w:rPr>
          <w:rFonts w:eastAsia="仿宋_GB2312"/>
          <w:kern w:val="0"/>
          <w:sz w:val="28"/>
          <w:szCs w:val="28"/>
        </w:rPr>
        <w:t>补充，与原</w:t>
      </w:r>
      <w:r>
        <w:rPr>
          <w:rFonts w:hint="eastAsia" w:eastAsia="仿宋_GB2312"/>
          <w:kern w:val="0"/>
          <w:sz w:val="28"/>
          <w:szCs w:val="28"/>
          <w:lang w:eastAsia="zh-CN"/>
        </w:rPr>
        <w:t>合同</w:t>
      </w:r>
      <w:r>
        <w:rPr>
          <w:rFonts w:eastAsia="仿宋_GB2312"/>
          <w:kern w:val="0"/>
          <w:sz w:val="28"/>
          <w:szCs w:val="28"/>
        </w:rPr>
        <w:t>具有同等法律效力。</w:t>
      </w:r>
    </w:p>
    <w:p w14:paraId="120DA3B5">
      <w:pPr>
        <w:adjustRightInd w:val="0"/>
        <w:snapToGrid w:val="0"/>
        <w:spacing w:line="360" w:lineRule="auto"/>
        <w:ind w:firstLine="560" w:firstLineChars="200"/>
        <w:rPr>
          <w:rFonts w:eastAsia="仿宋_GB2312"/>
          <w:b/>
          <w:sz w:val="28"/>
          <w:szCs w:val="28"/>
        </w:rPr>
      </w:pPr>
      <w:r>
        <w:rPr>
          <w:rFonts w:eastAsia="仿宋_GB2312"/>
          <w:kern w:val="0"/>
          <w:sz w:val="28"/>
          <w:szCs w:val="28"/>
        </w:rPr>
        <w:t>2</w:t>
      </w:r>
      <w:r>
        <w:rPr>
          <w:rFonts w:hint="eastAsia" w:eastAsia="仿宋_GB2312"/>
          <w:kern w:val="0"/>
          <w:sz w:val="28"/>
          <w:szCs w:val="28"/>
        </w:rPr>
        <w:t>、</w:t>
      </w:r>
      <w:r>
        <w:rPr>
          <w:rFonts w:eastAsia="仿宋_GB2312"/>
          <w:kern w:val="0"/>
          <w:sz w:val="28"/>
          <w:szCs w:val="28"/>
        </w:rPr>
        <w:t>本</w:t>
      </w:r>
      <w:r>
        <w:rPr>
          <w:rFonts w:hint="eastAsia" w:eastAsia="仿宋_GB2312"/>
          <w:kern w:val="0"/>
          <w:sz w:val="28"/>
          <w:szCs w:val="28"/>
          <w:lang w:eastAsia="zh-CN"/>
        </w:rPr>
        <w:t>合同</w:t>
      </w:r>
      <w:r>
        <w:rPr>
          <w:rFonts w:eastAsia="仿宋_GB2312"/>
          <w:kern w:val="0"/>
          <w:sz w:val="28"/>
          <w:szCs w:val="28"/>
        </w:rPr>
        <w:t>一式</w:t>
      </w:r>
      <w:r>
        <w:rPr>
          <w:rFonts w:eastAsia="仿宋_GB2312"/>
          <w:kern w:val="0"/>
          <w:sz w:val="28"/>
          <w:szCs w:val="28"/>
          <w:u w:val="single"/>
        </w:rPr>
        <w:t xml:space="preserve"> </w:t>
      </w:r>
      <w:r>
        <w:rPr>
          <w:rFonts w:hint="eastAsia" w:eastAsia="仿宋_GB2312"/>
          <w:kern w:val="0"/>
          <w:sz w:val="28"/>
          <w:szCs w:val="28"/>
          <w:u w:val="single"/>
        </w:rPr>
        <w:t xml:space="preserve"> </w:t>
      </w:r>
      <w:r>
        <w:rPr>
          <w:rFonts w:eastAsia="仿宋_GB2312"/>
          <w:kern w:val="0"/>
          <w:sz w:val="28"/>
          <w:szCs w:val="28"/>
          <w:u w:val="single"/>
        </w:rPr>
        <w:t xml:space="preserve"> </w:t>
      </w:r>
      <w:r>
        <w:rPr>
          <w:rFonts w:eastAsia="仿宋_GB2312"/>
          <w:kern w:val="0"/>
          <w:sz w:val="28"/>
          <w:szCs w:val="28"/>
        </w:rPr>
        <w:t>份，甲</w:t>
      </w:r>
      <w:r>
        <w:rPr>
          <w:rFonts w:hint="eastAsia" w:eastAsia="仿宋_GB2312"/>
          <w:kern w:val="0"/>
          <w:sz w:val="28"/>
          <w:szCs w:val="28"/>
        </w:rPr>
        <w:t>、</w:t>
      </w:r>
      <w:r>
        <w:rPr>
          <w:rFonts w:eastAsia="仿宋_GB2312"/>
          <w:kern w:val="0"/>
          <w:sz w:val="28"/>
          <w:szCs w:val="28"/>
        </w:rPr>
        <w:t>乙双方</w:t>
      </w:r>
      <w:r>
        <w:rPr>
          <w:rFonts w:hint="eastAsia" w:eastAsia="仿宋_GB2312"/>
          <w:kern w:val="0"/>
          <w:sz w:val="28"/>
          <w:szCs w:val="28"/>
        </w:rPr>
        <w:t>各执</w:t>
      </w:r>
      <w:r>
        <w:rPr>
          <w:rFonts w:eastAsia="仿宋_GB2312"/>
          <w:kern w:val="0"/>
          <w:sz w:val="28"/>
          <w:szCs w:val="28"/>
          <w:u w:val="single"/>
        </w:rPr>
        <w:t xml:space="preserve">  </w:t>
      </w:r>
      <w:r>
        <w:rPr>
          <w:rFonts w:hint="eastAsia" w:eastAsia="仿宋_GB2312"/>
          <w:kern w:val="0"/>
          <w:sz w:val="28"/>
          <w:szCs w:val="28"/>
          <w:u w:val="single"/>
        </w:rPr>
        <w:t xml:space="preserve">  </w:t>
      </w:r>
      <w:r>
        <w:rPr>
          <w:rFonts w:eastAsia="仿宋_GB2312"/>
          <w:kern w:val="0"/>
          <w:sz w:val="28"/>
          <w:szCs w:val="28"/>
        </w:rPr>
        <w:t>份，</w:t>
      </w:r>
      <w:r>
        <w:rPr>
          <w:rFonts w:eastAsia="仿宋_GB2312"/>
          <w:kern w:val="0"/>
          <w:sz w:val="28"/>
          <w:szCs w:val="28"/>
          <w:u w:val="single"/>
        </w:rPr>
        <w:t xml:space="preserve">  </w:t>
      </w:r>
      <w:r>
        <w:rPr>
          <w:rFonts w:hint="eastAsia" w:eastAsia="仿宋_GB2312"/>
          <w:kern w:val="0"/>
          <w:sz w:val="28"/>
          <w:szCs w:val="28"/>
          <w:u w:val="single"/>
        </w:rPr>
        <w:t xml:space="preserve"> </w:t>
      </w:r>
      <w:r>
        <w:rPr>
          <w:rFonts w:eastAsia="仿宋_GB2312"/>
          <w:kern w:val="0"/>
          <w:sz w:val="28"/>
          <w:szCs w:val="28"/>
          <w:u w:val="single"/>
        </w:rPr>
        <w:t xml:space="preserve"> </w:t>
      </w:r>
      <w:r>
        <w:rPr>
          <w:rFonts w:eastAsia="仿宋_GB2312"/>
          <w:kern w:val="0"/>
          <w:sz w:val="28"/>
          <w:szCs w:val="28"/>
        </w:rPr>
        <w:t>备案</w:t>
      </w:r>
      <w:r>
        <w:rPr>
          <w:rFonts w:eastAsia="仿宋_GB2312"/>
          <w:kern w:val="0"/>
          <w:sz w:val="28"/>
          <w:szCs w:val="28"/>
          <w:u w:val="single"/>
        </w:rPr>
        <w:t xml:space="preserve">  </w:t>
      </w:r>
      <w:r>
        <w:rPr>
          <w:rFonts w:hint="eastAsia" w:eastAsia="仿宋_GB2312"/>
          <w:kern w:val="0"/>
          <w:sz w:val="28"/>
          <w:szCs w:val="28"/>
          <w:u w:val="single"/>
        </w:rPr>
        <w:t xml:space="preserve"> </w:t>
      </w:r>
      <w:r>
        <w:rPr>
          <w:rFonts w:eastAsia="仿宋_GB2312"/>
          <w:kern w:val="0"/>
          <w:sz w:val="28"/>
          <w:szCs w:val="28"/>
        </w:rPr>
        <w:t>份。</w:t>
      </w:r>
    </w:p>
    <w:p w14:paraId="304E0523">
      <w:pPr>
        <w:adjustRightInd w:val="0"/>
        <w:snapToGrid w:val="0"/>
        <w:spacing w:line="360" w:lineRule="auto"/>
        <w:ind w:firstLine="560" w:firstLineChars="200"/>
        <w:rPr>
          <w:rFonts w:eastAsia="仿宋_GB2312"/>
          <w:b/>
          <w:sz w:val="28"/>
          <w:szCs w:val="28"/>
        </w:rPr>
      </w:pPr>
      <w:r>
        <w:rPr>
          <w:rFonts w:eastAsia="仿宋_GB2312"/>
          <w:kern w:val="0"/>
          <w:sz w:val="28"/>
          <w:szCs w:val="28"/>
        </w:rPr>
        <w:t>3、</w:t>
      </w:r>
      <w:r>
        <w:rPr>
          <w:rFonts w:hint="eastAsia" w:eastAsia="仿宋_GB2312"/>
          <w:kern w:val="0"/>
          <w:sz w:val="28"/>
          <w:szCs w:val="28"/>
          <w:lang w:eastAsia="zh-CN"/>
        </w:rPr>
        <w:t>合同</w:t>
      </w:r>
      <w:r>
        <w:rPr>
          <w:rFonts w:eastAsia="仿宋_GB2312"/>
          <w:kern w:val="0"/>
          <w:sz w:val="28"/>
          <w:szCs w:val="28"/>
        </w:rPr>
        <w:t>经甲</w:t>
      </w:r>
      <w:r>
        <w:rPr>
          <w:rFonts w:hint="eastAsia" w:eastAsia="仿宋_GB2312"/>
          <w:kern w:val="0"/>
          <w:sz w:val="28"/>
          <w:szCs w:val="28"/>
        </w:rPr>
        <w:t>、</w:t>
      </w:r>
      <w:r>
        <w:rPr>
          <w:rFonts w:eastAsia="仿宋_GB2312"/>
          <w:kern w:val="0"/>
          <w:sz w:val="28"/>
          <w:szCs w:val="28"/>
        </w:rPr>
        <w:t>乙双方盖章、签字后生效，</w:t>
      </w:r>
      <w:r>
        <w:rPr>
          <w:rFonts w:hint="eastAsia" w:eastAsia="仿宋_GB2312"/>
          <w:kern w:val="0"/>
          <w:sz w:val="28"/>
          <w:szCs w:val="28"/>
          <w:lang w:eastAsia="zh-CN"/>
        </w:rPr>
        <w:t>合同</w:t>
      </w:r>
      <w:r>
        <w:rPr>
          <w:rFonts w:eastAsia="仿宋_GB2312"/>
          <w:kern w:val="0"/>
          <w:sz w:val="28"/>
          <w:szCs w:val="28"/>
        </w:rPr>
        <w:t>签订地点为</w:t>
      </w:r>
      <w:r>
        <w:rPr>
          <w:rFonts w:eastAsia="仿宋_GB2312"/>
          <w:kern w:val="0"/>
          <w:sz w:val="28"/>
          <w:szCs w:val="28"/>
          <w:u w:val="single"/>
        </w:rPr>
        <w:t xml:space="preserve">  </w:t>
      </w:r>
      <w:r>
        <w:rPr>
          <w:rFonts w:hint="eastAsia" w:eastAsia="仿宋_GB2312"/>
          <w:kern w:val="0"/>
          <w:sz w:val="28"/>
          <w:szCs w:val="28"/>
          <w:u w:val="single"/>
        </w:rPr>
        <w:t xml:space="preserve">        </w:t>
      </w:r>
      <w:r>
        <w:rPr>
          <w:rFonts w:eastAsia="仿宋_GB2312"/>
          <w:kern w:val="0"/>
          <w:sz w:val="28"/>
          <w:szCs w:val="28"/>
          <w:u w:val="single"/>
        </w:rPr>
        <w:t xml:space="preserve"> </w:t>
      </w:r>
      <w:r>
        <w:rPr>
          <w:rFonts w:eastAsia="仿宋_GB2312"/>
          <w:kern w:val="0"/>
          <w:sz w:val="28"/>
          <w:szCs w:val="28"/>
        </w:rPr>
        <w:t>。</w:t>
      </w:r>
    </w:p>
    <w:p w14:paraId="3C27D3E6">
      <w:pPr>
        <w:adjustRightInd w:val="0"/>
        <w:snapToGrid w:val="0"/>
        <w:spacing w:line="360" w:lineRule="auto"/>
        <w:ind w:firstLine="560" w:firstLineChars="200"/>
        <w:rPr>
          <w:rFonts w:eastAsia="仿宋_GB2312"/>
          <w:b/>
          <w:sz w:val="28"/>
          <w:szCs w:val="28"/>
        </w:rPr>
      </w:pPr>
      <w:r>
        <w:rPr>
          <w:rFonts w:eastAsia="仿宋_GB2312"/>
          <w:kern w:val="0"/>
          <w:sz w:val="28"/>
          <w:szCs w:val="28"/>
        </w:rPr>
        <w:t>4、生效时间：    年    月    日</w:t>
      </w:r>
    </w:p>
    <w:p w14:paraId="5EF903A2">
      <w:pPr>
        <w:adjustRightInd w:val="0"/>
        <w:snapToGrid w:val="0"/>
        <w:spacing w:line="358" w:lineRule="auto"/>
        <w:ind w:firstLine="562" w:firstLineChars="200"/>
        <w:rPr>
          <w:rFonts w:eastAsia="仿宋_GB2312"/>
          <w:b/>
          <w:sz w:val="28"/>
          <w:szCs w:val="28"/>
        </w:rPr>
      </w:pPr>
    </w:p>
    <w:tbl>
      <w:tblPr>
        <w:tblStyle w:val="6"/>
        <w:tblW w:w="0" w:type="auto"/>
        <w:jc w:val="center"/>
        <w:tblLayout w:type="fixed"/>
        <w:tblCellMar>
          <w:top w:w="0" w:type="dxa"/>
          <w:left w:w="108" w:type="dxa"/>
          <w:bottom w:w="0" w:type="dxa"/>
          <w:right w:w="108" w:type="dxa"/>
        </w:tblCellMar>
      </w:tblPr>
      <w:tblGrid>
        <w:gridCol w:w="4643"/>
        <w:gridCol w:w="4643"/>
      </w:tblGrid>
      <w:tr w14:paraId="4CADF326">
        <w:tblPrEx>
          <w:tblCellMar>
            <w:top w:w="0" w:type="dxa"/>
            <w:left w:w="108" w:type="dxa"/>
            <w:bottom w:w="0" w:type="dxa"/>
            <w:right w:w="108" w:type="dxa"/>
          </w:tblCellMar>
        </w:tblPrEx>
        <w:trPr>
          <w:jc w:val="center"/>
        </w:trPr>
        <w:tc>
          <w:tcPr>
            <w:tcW w:w="4643" w:type="dxa"/>
          </w:tcPr>
          <w:p w14:paraId="120D38F8">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甲方名称</w:t>
            </w:r>
            <w:r>
              <w:rPr>
                <w:rFonts w:eastAsia="仿宋_GB2312"/>
                <w:spacing w:val="-20"/>
                <w:kern w:val="0"/>
                <w:sz w:val="28"/>
                <w:szCs w:val="28"/>
              </w:rPr>
              <w:t>（盖章）</w:t>
            </w:r>
            <w:r>
              <w:rPr>
                <w:rFonts w:eastAsia="仿宋_GB2312"/>
                <w:kern w:val="0"/>
                <w:sz w:val="28"/>
                <w:szCs w:val="28"/>
              </w:rPr>
              <w:t>：</w:t>
            </w:r>
          </w:p>
          <w:p w14:paraId="204F30C7">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地址：</w:t>
            </w:r>
          </w:p>
          <w:p w14:paraId="190EFBFE">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代表人（签字）：</w:t>
            </w:r>
          </w:p>
          <w:p w14:paraId="6EE5ED80">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电话：</w:t>
            </w:r>
          </w:p>
          <w:p w14:paraId="05D54A7B">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开户银行：</w:t>
            </w:r>
          </w:p>
          <w:p w14:paraId="6296F147">
            <w:pPr>
              <w:widowControl/>
              <w:autoSpaceDE w:val="0"/>
              <w:autoSpaceDN w:val="0"/>
              <w:snapToGrid w:val="0"/>
              <w:spacing w:line="358" w:lineRule="auto"/>
              <w:ind w:right="-154"/>
              <w:textAlignment w:val="bottom"/>
              <w:rPr>
                <w:rFonts w:eastAsia="仿宋_GB2312"/>
                <w:kern w:val="0"/>
                <w:sz w:val="28"/>
                <w:szCs w:val="28"/>
              </w:rPr>
            </w:pPr>
            <w:r>
              <w:rPr>
                <w:rFonts w:hint="eastAsia" w:eastAsia="仿宋_GB2312"/>
                <w:kern w:val="0"/>
                <w:sz w:val="28"/>
                <w:szCs w:val="28"/>
              </w:rPr>
              <w:t>账</w:t>
            </w:r>
            <w:r>
              <w:rPr>
                <w:rFonts w:eastAsia="仿宋_GB2312"/>
                <w:kern w:val="0"/>
                <w:sz w:val="28"/>
                <w:szCs w:val="28"/>
              </w:rPr>
              <w:t>号：</w:t>
            </w:r>
          </w:p>
        </w:tc>
        <w:tc>
          <w:tcPr>
            <w:tcW w:w="4643" w:type="dxa"/>
          </w:tcPr>
          <w:p w14:paraId="53B30B28">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乙方名称</w:t>
            </w:r>
            <w:r>
              <w:rPr>
                <w:rFonts w:eastAsia="仿宋_GB2312"/>
                <w:spacing w:val="-20"/>
                <w:kern w:val="0"/>
                <w:sz w:val="28"/>
                <w:szCs w:val="28"/>
              </w:rPr>
              <w:t>（盖章）</w:t>
            </w:r>
            <w:r>
              <w:rPr>
                <w:rFonts w:eastAsia="仿宋_GB2312"/>
                <w:kern w:val="0"/>
                <w:sz w:val="28"/>
                <w:szCs w:val="28"/>
              </w:rPr>
              <w:t>:</w:t>
            </w:r>
          </w:p>
          <w:p w14:paraId="16BFD99F">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地址：</w:t>
            </w:r>
          </w:p>
          <w:p w14:paraId="590C654D">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代表人（签字）：</w:t>
            </w:r>
          </w:p>
          <w:p w14:paraId="4B97322F">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电话：</w:t>
            </w:r>
          </w:p>
          <w:p w14:paraId="026D0E8B">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开户银行：</w:t>
            </w:r>
          </w:p>
          <w:p w14:paraId="2CD39954">
            <w:pPr>
              <w:widowControl/>
              <w:autoSpaceDE w:val="0"/>
              <w:autoSpaceDN w:val="0"/>
              <w:snapToGrid w:val="0"/>
              <w:spacing w:line="358" w:lineRule="auto"/>
              <w:ind w:right="-154"/>
              <w:textAlignment w:val="bottom"/>
              <w:rPr>
                <w:rFonts w:eastAsia="仿宋_GB2312"/>
                <w:kern w:val="0"/>
                <w:sz w:val="28"/>
                <w:szCs w:val="28"/>
              </w:rPr>
            </w:pPr>
            <w:r>
              <w:rPr>
                <w:rFonts w:hint="eastAsia" w:eastAsia="仿宋_GB2312"/>
                <w:kern w:val="0"/>
                <w:sz w:val="28"/>
                <w:szCs w:val="28"/>
              </w:rPr>
              <w:t>账</w:t>
            </w:r>
            <w:r>
              <w:rPr>
                <w:rFonts w:eastAsia="仿宋_GB2312"/>
                <w:kern w:val="0"/>
                <w:sz w:val="28"/>
                <w:szCs w:val="28"/>
              </w:rPr>
              <w:t>号：</w:t>
            </w:r>
          </w:p>
        </w:tc>
      </w:tr>
    </w:tbl>
    <w:p w14:paraId="712CB1FF">
      <w:pPr>
        <w:rPr>
          <w:rFonts w:hint="eastAsia"/>
        </w:rPr>
      </w:pPr>
    </w:p>
    <w:sectPr>
      <w:pgSz w:w="11906" w:h="16838"/>
      <w:pgMar w:top="993" w:right="1274"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116"/>
    <w:rsid w:val="000D28A8"/>
    <w:rsid w:val="0010311A"/>
    <w:rsid w:val="001724D3"/>
    <w:rsid w:val="00384B9C"/>
    <w:rsid w:val="00487364"/>
    <w:rsid w:val="00500138"/>
    <w:rsid w:val="00522102"/>
    <w:rsid w:val="00B064C9"/>
    <w:rsid w:val="00B06E28"/>
    <w:rsid w:val="00B40116"/>
    <w:rsid w:val="00D4701F"/>
    <w:rsid w:val="016C0FA1"/>
    <w:rsid w:val="01731A64"/>
    <w:rsid w:val="01BF37C7"/>
    <w:rsid w:val="02887C0F"/>
    <w:rsid w:val="032633D2"/>
    <w:rsid w:val="0328539C"/>
    <w:rsid w:val="038325D2"/>
    <w:rsid w:val="03A569EC"/>
    <w:rsid w:val="03D80B70"/>
    <w:rsid w:val="04003C23"/>
    <w:rsid w:val="041D6583"/>
    <w:rsid w:val="048D195A"/>
    <w:rsid w:val="04C2712A"/>
    <w:rsid w:val="05355B4E"/>
    <w:rsid w:val="053A4F12"/>
    <w:rsid w:val="056621AB"/>
    <w:rsid w:val="05706B86"/>
    <w:rsid w:val="05776166"/>
    <w:rsid w:val="05B72A07"/>
    <w:rsid w:val="05E97064"/>
    <w:rsid w:val="065546FA"/>
    <w:rsid w:val="06783F44"/>
    <w:rsid w:val="069074E0"/>
    <w:rsid w:val="069F7723"/>
    <w:rsid w:val="077566D6"/>
    <w:rsid w:val="07762B7A"/>
    <w:rsid w:val="08204893"/>
    <w:rsid w:val="08624EAC"/>
    <w:rsid w:val="088272FC"/>
    <w:rsid w:val="089332B7"/>
    <w:rsid w:val="08DD2784"/>
    <w:rsid w:val="09063A89"/>
    <w:rsid w:val="091268D2"/>
    <w:rsid w:val="0926237D"/>
    <w:rsid w:val="09840E52"/>
    <w:rsid w:val="099B68C7"/>
    <w:rsid w:val="0A002BCE"/>
    <w:rsid w:val="0A5D1DCF"/>
    <w:rsid w:val="0A6E5D8A"/>
    <w:rsid w:val="0A740EC6"/>
    <w:rsid w:val="0A8F3F52"/>
    <w:rsid w:val="0A99092D"/>
    <w:rsid w:val="0AB87005"/>
    <w:rsid w:val="0AFA13CC"/>
    <w:rsid w:val="0B106E41"/>
    <w:rsid w:val="0B3B7059"/>
    <w:rsid w:val="0B4167BD"/>
    <w:rsid w:val="0B5D195B"/>
    <w:rsid w:val="0B705B32"/>
    <w:rsid w:val="0BD0037E"/>
    <w:rsid w:val="0C2506CA"/>
    <w:rsid w:val="0C2972BF"/>
    <w:rsid w:val="0C721436"/>
    <w:rsid w:val="0CC2416B"/>
    <w:rsid w:val="0CD36378"/>
    <w:rsid w:val="0CE642FD"/>
    <w:rsid w:val="0D046532"/>
    <w:rsid w:val="0D350DE1"/>
    <w:rsid w:val="0D8256A8"/>
    <w:rsid w:val="0D894C89"/>
    <w:rsid w:val="0D95362E"/>
    <w:rsid w:val="0DA73361"/>
    <w:rsid w:val="0DBC505E"/>
    <w:rsid w:val="0DBD4932"/>
    <w:rsid w:val="0E547045"/>
    <w:rsid w:val="0E651252"/>
    <w:rsid w:val="0F0E3698"/>
    <w:rsid w:val="0F144A26"/>
    <w:rsid w:val="0F661726"/>
    <w:rsid w:val="0FBF0E36"/>
    <w:rsid w:val="0FCB1589"/>
    <w:rsid w:val="0FD9624A"/>
    <w:rsid w:val="0FDE750E"/>
    <w:rsid w:val="0FDF6DE2"/>
    <w:rsid w:val="103044F3"/>
    <w:rsid w:val="10455D10"/>
    <w:rsid w:val="10525806"/>
    <w:rsid w:val="108300B5"/>
    <w:rsid w:val="10AC131E"/>
    <w:rsid w:val="10C85AC8"/>
    <w:rsid w:val="10F22B45"/>
    <w:rsid w:val="10FD7461"/>
    <w:rsid w:val="114535BD"/>
    <w:rsid w:val="119500A0"/>
    <w:rsid w:val="119B31DD"/>
    <w:rsid w:val="11BC387F"/>
    <w:rsid w:val="11E608FC"/>
    <w:rsid w:val="123A29F6"/>
    <w:rsid w:val="12503FC7"/>
    <w:rsid w:val="12687563"/>
    <w:rsid w:val="128819B3"/>
    <w:rsid w:val="12D90460"/>
    <w:rsid w:val="12DB7D35"/>
    <w:rsid w:val="133D279D"/>
    <w:rsid w:val="13961EAE"/>
    <w:rsid w:val="13F13588"/>
    <w:rsid w:val="14157276"/>
    <w:rsid w:val="143F60A1"/>
    <w:rsid w:val="14465682"/>
    <w:rsid w:val="14887A48"/>
    <w:rsid w:val="14890989"/>
    <w:rsid w:val="14B7657F"/>
    <w:rsid w:val="14BA1BCC"/>
    <w:rsid w:val="14E8498B"/>
    <w:rsid w:val="15051099"/>
    <w:rsid w:val="153621F4"/>
    <w:rsid w:val="15BB209F"/>
    <w:rsid w:val="161812A0"/>
    <w:rsid w:val="163B36C7"/>
    <w:rsid w:val="16777D74"/>
    <w:rsid w:val="167F4E7B"/>
    <w:rsid w:val="169C77DB"/>
    <w:rsid w:val="16CB00C0"/>
    <w:rsid w:val="16D57191"/>
    <w:rsid w:val="16F62C92"/>
    <w:rsid w:val="16FC296F"/>
    <w:rsid w:val="17521041"/>
    <w:rsid w:val="175400B6"/>
    <w:rsid w:val="178D1819"/>
    <w:rsid w:val="17D86F39"/>
    <w:rsid w:val="180A4C18"/>
    <w:rsid w:val="182932F0"/>
    <w:rsid w:val="183268C1"/>
    <w:rsid w:val="1844637C"/>
    <w:rsid w:val="18512847"/>
    <w:rsid w:val="18622CA6"/>
    <w:rsid w:val="186B3909"/>
    <w:rsid w:val="18AE1A47"/>
    <w:rsid w:val="191044B0"/>
    <w:rsid w:val="1997072D"/>
    <w:rsid w:val="19A215AC"/>
    <w:rsid w:val="19C77265"/>
    <w:rsid w:val="19E80F89"/>
    <w:rsid w:val="1A0D459C"/>
    <w:rsid w:val="1A3F6DFB"/>
    <w:rsid w:val="1A400DC5"/>
    <w:rsid w:val="1AA255DC"/>
    <w:rsid w:val="1AA9696A"/>
    <w:rsid w:val="1ABD41C4"/>
    <w:rsid w:val="1AF37BE5"/>
    <w:rsid w:val="1B0D514B"/>
    <w:rsid w:val="1B6B3C20"/>
    <w:rsid w:val="1BEA548C"/>
    <w:rsid w:val="1BFE08AF"/>
    <w:rsid w:val="1C200EAE"/>
    <w:rsid w:val="1CBD494F"/>
    <w:rsid w:val="1D104A7F"/>
    <w:rsid w:val="1D704095"/>
    <w:rsid w:val="1DDC2BB3"/>
    <w:rsid w:val="1DFD14A7"/>
    <w:rsid w:val="1E05035C"/>
    <w:rsid w:val="1E067C30"/>
    <w:rsid w:val="1E8219AC"/>
    <w:rsid w:val="1EC73863"/>
    <w:rsid w:val="1F9A0F77"/>
    <w:rsid w:val="1FAF73F7"/>
    <w:rsid w:val="1FD44489"/>
    <w:rsid w:val="1FD47FE6"/>
    <w:rsid w:val="20124FB2"/>
    <w:rsid w:val="20450EE3"/>
    <w:rsid w:val="20612CCB"/>
    <w:rsid w:val="207D68CF"/>
    <w:rsid w:val="20847C5E"/>
    <w:rsid w:val="208A783B"/>
    <w:rsid w:val="20C05B59"/>
    <w:rsid w:val="21582E98"/>
    <w:rsid w:val="216278F1"/>
    <w:rsid w:val="21717AB6"/>
    <w:rsid w:val="2173382E"/>
    <w:rsid w:val="219739C1"/>
    <w:rsid w:val="21FF3314"/>
    <w:rsid w:val="220B1A78"/>
    <w:rsid w:val="221072CF"/>
    <w:rsid w:val="222D60D3"/>
    <w:rsid w:val="223B259E"/>
    <w:rsid w:val="228201CD"/>
    <w:rsid w:val="22857CBD"/>
    <w:rsid w:val="22AE0FC2"/>
    <w:rsid w:val="22CF2CE6"/>
    <w:rsid w:val="23256DAA"/>
    <w:rsid w:val="23384D2F"/>
    <w:rsid w:val="2347697F"/>
    <w:rsid w:val="23737B15"/>
    <w:rsid w:val="23B32608"/>
    <w:rsid w:val="23EB3B50"/>
    <w:rsid w:val="242332EA"/>
    <w:rsid w:val="245C2C9F"/>
    <w:rsid w:val="247022A7"/>
    <w:rsid w:val="256718FC"/>
    <w:rsid w:val="257302A1"/>
    <w:rsid w:val="25A95A70"/>
    <w:rsid w:val="25B05051"/>
    <w:rsid w:val="26461511"/>
    <w:rsid w:val="26CD23C6"/>
    <w:rsid w:val="27084A19"/>
    <w:rsid w:val="273852FE"/>
    <w:rsid w:val="27402404"/>
    <w:rsid w:val="27606603"/>
    <w:rsid w:val="277976C4"/>
    <w:rsid w:val="27914A0E"/>
    <w:rsid w:val="27A209C9"/>
    <w:rsid w:val="281E347C"/>
    <w:rsid w:val="285919D0"/>
    <w:rsid w:val="286F11F3"/>
    <w:rsid w:val="28EA13EA"/>
    <w:rsid w:val="291B0A33"/>
    <w:rsid w:val="292D69B8"/>
    <w:rsid w:val="295821C2"/>
    <w:rsid w:val="299A404E"/>
    <w:rsid w:val="29BB5D72"/>
    <w:rsid w:val="2A077209"/>
    <w:rsid w:val="2A473AAA"/>
    <w:rsid w:val="2A557F75"/>
    <w:rsid w:val="2A7D74CC"/>
    <w:rsid w:val="2A97058D"/>
    <w:rsid w:val="2ACA2711"/>
    <w:rsid w:val="2B34402E"/>
    <w:rsid w:val="2B7E52A9"/>
    <w:rsid w:val="2BFD08C4"/>
    <w:rsid w:val="2C0C0B07"/>
    <w:rsid w:val="2C9A39C7"/>
    <w:rsid w:val="2CBA4A07"/>
    <w:rsid w:val="2CC3566A"/>
    <w:rsid w:val="2CC969F8"/>
    <w:rsid w:val="2CDF621C"/>
    <w:rsid w:val="2D4744ED"/>
    <w:rsid w:val="2D7921CC"/>
    <w:rsid w:val="2D8D3ECA"/>
    <w:rsid w:val="2DA134D1"/>
    <w:rsid w:val="2E1D524D"/>
    <w:rsid w:val="2E536EC1"/>
    <w:rsid w:val="2E7035CF"/>
    <w:rsid w:val="2E935510"/>
    <w:rsid w:val="2ED022C0"/>
    <w:rsid w:val="2ED0406E"/>
    <w:rsid w:val="2ED578D6"/>
    <w:rsid w:val="2ED718A0"/>
    <w:rsid w:val="2EE713B8"/>
    <w:rsid w:val="2EEF3653"/>
    <w:rsid w:val="2F032695"/>
    <w:rsid w:val="2F230642"/>
    <w:rsid w:val="2F2820FC"/>
    <w:rsid w:val="2F414EB4"/>
    <w:rsid w:val="2F7075FF"/>
    <w:rsid w:val="2F7B66D0"/>
    <w:rsid w:val="2F8A06C1"/>
    <w:rsid w:val="2FA15A0A"/>
    <w:rsid w:val="304271ED"/>
    <w:rsid w:val="30896BCA"/>
    <w:rsid w:val="309A4933"/>
    <w:rsid w:val="30B31E99"/>
    <w:rsid w:val="30CE0A81"/>
    <w:rsid w:val="30DF67EA"/>
    <w:rsid w:val="3103697D"/>
    <w:rsid w:val="3106021B"/>
    <w:rsid w:val="31A33CBC"/>
    <w:rsid w:val="31D40319"/>
    <w:rsid w:val="31E85B72"/>
    <w:rsid w:val="31E87920"/>
    <w:rsid w:val="31F46862"/>
    <w:rsid w:val="31FB58A6"/>
    <w:rsid w:val="32582CF8"/>
    <w:rsid w:val="3287538B"/>
    <w:rsid w:val="32AF043E"/>
    <w:rsid w:val="32BF68D3"/>
    <w:rsid w:val="32FD564D"/>
    <w:rsid w:val="33010C9A"/>
    <w:rsid w:val="33791178"/>
    <w:rsid w:val="337C47C4"/>
    <w:rsid w:val="33953AD8"/>
    <w:rsid w:val="33AC20AE"/>
    <w:rsid w:val="33B757FC"/>
    <w:rsid w:val="33BB353F"/>
    <w:rsid w:val="33EC7B9C"/>
    <w:rsid w:val="34060532"/>
    <w:rsid w:val="3442156A"/>
    <w:rsid w:val="345117AD"/>
    <w:rsid w:val="349249DB"/>
    <w:rsid w:val="34936269"/>
    <w:rsid w:val="34B14942"/>
    <w:rsid w:val="34D118C1"/>
    <w:rsid w:val="34E84094"/>
    <w:rsid w:val="34E95E89"/>
    <w:rsid w:val="35215623"/>
    <w:rsid w:val="35327830"/>
    <w:rsid w:val="35904557"/>
    <w:rsid w:val="35A63D7A"/>
    <w:rsid w:val="35B91D00"/>
    <w:rsid w:val="360016DD"/>
    <w:rsid w:val="36EA7C97"/>
    <w:rsid w:val="37305FF2"/>
    <w:rsid w:val="37386C54"/>
    <w:rsid w:val="375021F0"/>
    <w:rsid w:val="379C3687"/>
    <w:rsid w:val="37AF33BA"/>
    <w:rsid w:val="37DC3A83"/>
    <w:rsid w:val="38B22A36"/>
    <w:rsid w:val="39050DB8"/>
    <w:rsid w:val="39162FC5"/>
    <w:rsid w:val="39611A21"/>
    <w:rsid w:val="39F74BA5"/>
    <w:rsid w:val="3A8D72B7"/>
    <w:rsid w:val="3AA82343"/>
    <w:rsid w:val="3AB962FE"/>
    <w:rsid w:val="3AC86541"/>
    <w:rsid w:val="3AF86E26"/>
    <w:rsid w:val="3B451940"/>
    <w:rsid w:val="3B5B1163"/>
    <w:rsid w:val="3BBA0580"/>
    <w:rsid w:val="3C1A2DCC"/>
    <w:rsid w:val="3C21415B"/>
    <w:rsid w:val="3C2E0948"/>
    <w:rsid w:val="3C3D6ABB"/>
    <w:rsid w:val="3C8C1F1C"/>
    <w:rsid w:val="3D3954D4"/>
    <w:rsid w:val="3D3C6CA4"/>
    <w:rsid w:val="3E012496"/>
    <w:rsid w:val="3E8F1850"/>
    <w:rsid w:val="3ED90D1D"/>
    <w:rsid w:val="3F3B5533"/>
    <w:rsid w:val="3F4343E8"/>
    <w:rsid w:val="3F7171A7"/>
    <w:rsid w:val="3FC76DC7"/>
    <w:rsid w:val="404228F2"/>
    <w:rsid w:val="406B1E48"/>
    <w:rsid w:val="40864ED4"/>
    <w:rsid w:val="40D914A8"/>
    <w:rsid w:val="41032081"/>
    <w:rsid w:val="41197AF6"/>
    <w:rsid w:val="41270465"/>
    <w:rsid w:val="41320BB8"/>
    <w:rsid w:val="417D0085"/>
    <w:rsid w:val="41A03D74"/>
    <w:rsid w:val="41B415CD"/>
    <w:rsid w:val="41EA3241"/>
    <w:rsid w:val="41EC0D67"/>
    <w:rsid w:val="421502BE"/>
    <w:rsid w:val="424B3CDF"/>
    <w:rsid w:val="432A5FEB"/>
    <w:rsid w:val="438C0A54"/>
    <w:rsid w:val="43911BC6"/>
    <w:rsid w:val="439D67BD"/>
    <w:rsid w:val="43AF4742"/>
    <w:rsid w:val="43CA332A"/>
    <w:rsid w:val="43D877F5"/>
    <w:rsid w:val="43F3462F"/>
    <w:rsid w:val="44352E99"/>
    <w:rsid w:val="44901E7E"/>
    <w:rsid w:val="452B7DF8"/>
    <w:rsid w:val="45352A25"/>
    <w:rsid w:val="4574354D"/>
    <w:rsid w:val="45B24076"/>
    <w:rsid w:val="45F20916"/>
    <w:rsid w:val="460743C1"/>
    <w:rsid w:val="464F7B16"/>
    <w:rsid w:val="46DC3AA0"/>
    <w:rsid w:val="46E82445"/>
    <w:rsid w:val="46ED1809"/>
    <w:rsid w:val="472114B3"/>
    <w:rsid w:val="472B40E0"/>
    <w:rsid w:val="477A6E15"/>
    <w:rsid w:val="477C0DDF"/>
    <w:rsid w:val="47B9793D"/>
    <w:rsid w:val="48027536"/>
    <w:rsid w:val="48DC5F3C"/>
    <w:rsid w:val="48EB7FCA"/>
    <w:rsid w:val="492928A1"/>
    <w:rsid w:val="4A080708"/>
    <w:rsid w:val="4A4A0D21"/>
    <w:rsid w:val="4AEC1DD8"/>
    <w:rsid w:val="4B702A09"/>
    <w:rsid w:val="4B944949"/>
    <w:rsid w:val="4BAD1567"/>
    <w:rsid w:val="4BB87F0C"/>
    <w:rsid w:val="4C343A36"/>
    <w:rsid w:val="4CA706AC"/>
    <w:rsid w:val="4CF66F3E"/>
    <w:rsid w:val="4D4C3002"/>
    <w:rsid w:val="4DBC0187"/>
    <w:rsid w:val="4E8567CB"/>
    <w:rsid w:val="4EF179BD"/>
    <w:rsid w:val="4F4E3061"/>
    <w:rsid w:val="4F55619D"/>
    <w:rsid w:val="4F9A44F8"/>
    <w:rsid w:val="4FDD6193"/>
    <w:rsid w:val="4FFE6835"/>
    <w:rsid w:val="506A3ECB"/>
    <w:rsid w:val="50BE5FC4"/>
    <w:rsid w:val="51346287"/>
    <w:rsid w:val="51703763"/>
    <w:rsid w:val="51782617"/>
    <w:rsid w:val="51D35A9F"/>
    <w:rsid w:val="52067C23"/>
    <w:rsid w:val="529E1C09"/>
    <w:rsid w:val="52AE10D5"/>
    <w:rsid w:val="5373753A"/>
    <w:rsid w:val="53A5346C"/>
    <w:rsid w:val="53D855EF"/>
    <w:rsid w:val="541008E5"/>
    <w:rsid w:val="54D062C6"/>
    <w:rsid w:val="54D1276A"/>
    <w:rsid w:val="54E3249D"/>
    <w:rsid w:val="55173EF5"/>
    <w:rsid w:val="5572737D"/>
    <w:rsid w:val="5592206E"/>
    <w:rsid w:val="55B17EA6"/>
    <w:rsid w:val="55CF47D0"/>
    <w:rsid w:val="55DB4F23"/>
    <w:rsid w:val="56044479"/>
    <w:rsid w:val="5621327D"/>
    <w:rsid w:val="563034C0"/>
    <w:rsid w:val="564E1B99"/>
    <w:rsid w:val="569A4DDE"/>
    <w:rsid w:val="56A17F1A"/>
    <w:rsid w:val="571406EC"/>
    <w:rsid w:val="5737087F"/>
    <w:rsid w:val="57E36310"/>
    <w:rsid w:val="57EE718F"/>
    <w:rsid w:val="58256929"/>
    <w:rsid w:val="58346B6C"/>
    <w:rsid w:val="58694A68"/>
    <w:rsid w:val="58B303D9"/>
    <w:rsid w:val="58D75E75"/>
    <w:rsid w:val="58FE1654"/>
    <w:rsid w:val="5947124D"/>
    <w:rsid w:val="59B937CD"/>
    <w:rsid w:val="5A1B7FE4"/>
    <w:rsid w:val="5A3B0686"/>
    <w:rsid w:val="5A511C57"/>
    <w:rsid w:val="5A7C48C2"/>
    <w:rsid w:val="5A8B6F17"/>
    <w:rsid w:val="5B2D6220"/>
    <w:rsid w:val="5B7C71A8"/>
    <w:rsid w:val="5BB66216"/>
    <w:rsid w:val="5BB95D06"/>
    <w:rsid w:val="5C1B6233"/>
    <w:rsid w:val="5C50666A"/>
    <w:rsid w:val="5C657C3C"/>
    <w:rsid w:val="5C6C2D78"/>
    <w:rsid w:val="5C967DF5"/>
    <w:rsid w:val="5CEC5C67"/>
    <w:rsid w:val="5D492A11"/>
    <w:rsid w:val="5DC32E6C"/>
    <w:rsid w:val="5DC80482"/>
    <w:rsid w:val="5DE3706A"/>
    <w:rsid w:val="5DE828D3"/>
    <w:rsid w:val="5E055233"/>
    <w:rsid w:val="5E4D0988"/>
    <w:rsid w:val="5EA66A16"/>
    <w:rsid w:val="5EC62C14"/>
    <w:rsid w:val="5F0B6879"/>
    <w:rsid w:val="5F337B7D"/>
    <w:rsid w:val="5F645F89"/>
    <w:rsid w:val="5F7C7776"/>
    <w:rsid w:val="5F9C1BC7"/>
    <w:rsid w:val="5FC66C44"/>
    <w:rsid w:val="60CF38D6"/>
    <w:rsid w:val="60DF7FBD"/>
    <w:rsid w:val="60E645E5"/>
    <w:rsid w:val="610B0DB2"/>
    <w:rsid w:val="61161505"/>
    <w:rsid w:val="61202383"/>
    <w:rsid w:val="61493688"/>
    <w:rsid w:val="615A001F"/>
    <w:rsid w:val="61D805A5"/>
    <w:rsid w:val="62287742"/>
    <w:rsid w:val="62830E1C"/>
    <w:rsid w:val="628F77C1"/>
    <w:rsid w:val="62A82630"/>
    <w:rsid w:val="62E01DCA"/>
    <w:rsid w:val="63052D56"/>
    <w:rsid w:val="63134F4D"/>
    <w:rsid w:val="632C3261"/>
    <w:rsid w:val="63660521"/>
    <w:rsid w:val="637D586B"/>
    <w:rsid w:val="644963EC"/>
    <w:rsid w:val="645962D8"/>
    <w:rsid w:val="64744EC0"/>
    <w:rsid w:val="64A82DBC"/>
    <w:rsid w:val="64C33752"/>
    <w:rsid w:val="65046244"/>
    <w:rsid w:val="65366619"/>
    <w:rsid w:val="65624D19"/>
    <w:rsid w:val="65A610A9"/>
    <w:rsid w:val="65A90B99"/>
    <w:rsid w:val="65BF03BD"/>
    <w:rsid w:val="65D06126"/>
    <w:rsid w:val="668A2779"/>
    <w:rsid w:val="66CA0DC7"/>
    <w:rsid w:val="66D4362D"/>
    <w:rsid w:val="66DD4F9F"/>
    <w:rsid w:val="66E63727"/>
    <w:rsid w:val="67627252"/>
    <w:rsid w:val="6796514D"/>
    <w:rsid w:val="67A91325"/>
    <w:rsid w:val="680E73DA"/>
    <w:rsid w:val="68150768"/>
    <w:rsid w:val="684F3C7A"/>
    <w:rsid w:val="686A0AB4"/>
    <w:rsid w:val="68D979E8"/>
    <w:rsid w:val="68F465CF"/>
    <w:rsid w:val="691D5B26"/>
    <w:rsid w:val="693B5FAC"/>
    <w:rsid w:val="694C01BA"/>
    <w:rsid w:val="695157D0"/>
    <w:rsid w:val="695B03FD"/>
    <w:rsid w:val="699D27C3"/>
    <w:rsid w:val="69BA3375"/>
    <w:rsid w:val="6A333127"/>
    <w:rsid w:val="6A3824EC"/>
    <w:rsid w:val="6A687275"/>
    <w:rsid w:val="6A6E4160"/>
    <w:rsid w:val="6AA95198"/>
    <w:rsid w:val="6ACB3360"/>
    <w:rsid w:val="6ACD70D8"/>
    <w:rsid w:val="6AF24D91"/>
    <w:rsid w:val="6B080110"/>
    <w:rsid w:val="6B362ECF"/>
    <w:rsid w:val="6B9B71D6"/>
    <w:rsid w:val="6C9A123C"/>
    <w:rsid w:val="6CF90658"/>
    <w:rsid w:val="6D260D22"/>
    <w:rsid w:val="6D635AD2"/>
    <w:rsid w:val="6DCC403B"/>
    <w:rsid w:val="6E070B53"/>
    <w:rsid w:val="6E0A23F1"/>
    <w:rsid w:val="6E1119D2"/>
    <w:rsid w:val="6E35746E"/>
    <w:rsid w:val="6E922B12"/>
    <w:rsid w:val="6EDC3D8E"/>
    <w:rsid w:val="6EDC5B3C"/>
    <w:rsid w:val="6EE423D3"/>
    <w:rsid w:val="6F42021D"/>
    <w:rsid w:val="6F4436E1"/>
    <w:rsid w:val="6FAA5C3A"/>
    <w:rsid w:val="70E4517B"/>
    <w:rsid w:val="71327C95"/>
    <w:rsid w:val="7161057A"/>
    <w:rsid w:val="716B1C5C"/>
    <w:rsid w:val="71777D9E"/>
    <w:rsid w:val="71ED0060"/>
    <w:rsid w:val="72071122"/>
    <w:rsid w:val="720A29C0"/>
    <w:rsid w:val="721B697B"/>
    <w:rsid w:val="72435ED2"/>
    <w:rsid w:val="725325B9"/>
    <w:rsid w:val="729C3F60"/>
    <w:rsid w:val="72F83160"/>
    <w:rsid w:val="734C0DB6"/>
    <w:rsid w:val="737722D7"/>
    <w:rsid w:val="7379604F"/>
    <w:rsid w:val="73927111"/>
    <w:rsid w:val="73A86934"/>
    <w:rsid w:val="73B452D9"/>
    <w:rsid w:val="74166092"/>
    <w:rsid w:val="74312486"/>
    <w:rsid w:val="74493C73"/>
    <w:rsid w:val="74BB2697"/>
    <w:rsid w:val="750556C0"/>
    <w:rsid w:val="750C6A4F"/>
    <w:rsid w:val="753F5076"/>
    <w:rsid w:val="7568637B"/>
    <w:rsid w:val="759058D2"/>
    <w:rsid w:val="75A1363B"/>
    <w:rsid w:val="75A85E1C"/>
    <w:rsid w:val="75B90985"/>
    <w:rsid w:val="760407E9"/>
    <w:rsid w:val="760A7432"/>
    <w:rsid w:val="766703E1"/>
    <w:rsid w:val="76DF266D"/>
    <w:rsid w:val="773B361B"/>
    <w:rsid w:val="773D3837"/>
    <w:rsid w:val="77456248"/>
    <w:rsid w:val="77D575CC"/>
    <w:rsid w:val="77DA1086"/>
    <w:rsid w:val="77EB6DF0"/>
    <w:rsid w:val="784529A4"/>
    <w:rsid w:val="785B5D23"/>
    <w:rsid w:val="78CF4963"/>
    <w:rsid w:val="78DD0E2E"/>
    <w:rsid w:val="79053EE1"/>
    <w:rsid w:val="79055BA7"/>
    <w:rsid w:val="790C526F"/>
    <w:rsid w:val="79165C20"/>
    <w:rsid w:val="791800B8"/>
    <w:rsid w:val="79865022"/>
    <w:rsid w:val="7996105B"/>
    <w:rsid w:val="7A2D7B93"/>
    <w:rsid w:val="7A543372"/>
    <w:rsid w:val="7A8552D9"/>
    <w:rsid w:val="7AD16771"/>
    <w:rsid w:val="7B1B79EC"/>
    <w:rsid w:val="7B362A78"/>
    <w:rsid w:val="7B737828"/>
    <w:rsid w:val="7B851309"/>
    <w:rsid w:val="7B890DF9"/>
    <w:rsid w:val="7C0641F8"/>
    <w:rsid w:val="7C2E374F"/>
    <w:rsid w:val="7C887303"/>
    <w:rsid w:val="7CED53B8"/>
    <w:rsid w:val="7D0C3A90"/>
    <w:rsid w:val="7D1B3CD3"/>
    <w:rsid w:val="7D276B1C"/>
    <w:rsid w:val="7DC73E5B"/>
    <w:rsid w:val="7E5971A9"/>
    <w:rsid w:val="7F853FCE"/>
    <w:rsid w:val="7F963AE5"/>
    <w:rsid w:val="7FFD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link w:val="10"/>
    <w:qFormat/>
    <w:uiPriority w:val="0"/>
    <w:pPr>
      <w:keepNext/>
      <w:spacing w:line="720" w:lineRule="exact"/>
      <w:outlineLvl w:val="1"/>
    </w:pPr>
    <w:rPr>
      <w:rFonts w:ascii="黑体" w:hAnsi="Copperplate Gothic Bold" w:eastAsia="楷体_GB2312"/>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2"/>
    <w:qFormat/>
    <w:uiPriority w:val="0"/>
    <w:rPr>
      <w:rFonts w:ascii="黑体" w:hAnsi="Copperplate Gothic Bold" w:eastAsia="楷体_GB2312" w:cs="Times New Roman"/>
      <w:sz w:val="28"/>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3200</Words>
  <Characters>3286</Characters>
  <Lines>24</Lines>
  <Paragraphs>6</Paragraphs>
  <TotalTime>18</TotalTime>
  <ScaleCrop>false</ScaleCrop>
  <LinksUpToDate>false</LinksUpToDate>
  <CharactersWithSpaces>3343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2024-05-06T06:57:00Z</dcterms:created>
  <dc:creator>Lenovo</dc:creator>
  <cp:lastModifiedBy>钟声</cp:lastModifiedBy>
  <dcterms:modified xsi:type="dcterms:W3CDTF">2026-05-26T06:55:13Z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eyJoZGlkIjoiOTJmM2Y3YjgzNWU3ZDc3NGZmYWVkNzQyNTc3YTk1YjQiLCJ1c2VySWQiOiI2Nzc2MzQ0MTQifQ==</vt:lpwstr>
  </property>
  <property fmtid="{D5CDD505-2E9C-101B-9397-08002B2CF9AE}" pid="3" name="KSOProductBuildVer">
    <vt:lpwstr>2052-12.1.0.26375</vt:lpwstr>
  </property>
  <property fmtid="{D5CDD505-2E9C-101B-9397-08002B2CF9AE}" pid="4" name="ICV">
    <vt:lpwstr>13E3AF942E42437F9B0DC5ACFFAB73F4_13</vt:lpwstr>
  </property>
</Properties>
</file>