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版本号：DXZB-2026-072420260717002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放射治疗配套器械采购项目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DXZB-2026-0724</w:t>
      </w:r>
      <w:r>
        <w:br/>
      </w:r>
      <w:r>
        <w:br/>
      </w:r>
      <w:r>
        <w:br/>
      </w:r>
    </w:p>
    <w:p>
      <w:pPr>
        <w:pStyle w:val="null3"/>
        <w:jc w:val="center"/>
        <w:outlineLvl w:val="2"/>
      </w:pPr>
      <w:r>
        <w:rPr>
          <w:rFonts w:ascii="仿宋_GB2312" w:hAnsi="仿宋_GB2312" w:cs="仿宋_GB2312" w:eastAsia="仿宋_GB2312"/>
          <w:sz w:val="28"/>
          <w:b/>
        </w:rPr>
        <w:t>汉中市人民医院</w:t>
      </w:r>
    </w:p>
    <w:p>
      <w:pPr>
        <w:pStyle w:val="null3"/>
        <w:jc w:val="center"/>
        <w:outlineLvl w:val="2"/>
      </w:pPr>
      <w:r>
        <w:rPr>
          <w:rFonts w:ascii="仿宋_GB2312" w:hAnsi="仿宋_GB2312" w:cs="仿宋_GB2312" w:eastAsia="仿宋_GB2312"/>
          <w:sz w:val="28"/>
          <w:b/>
        </w:rPr>
        <w:t>陕西德信招标有限公司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陕西德信招标有限公司</w:t>
      </w:r>
      <w:r>
        <w:rPr>
          <w:rFonts w:ascii="仿宋_GB2312" w:hAnsi="仿宋_GB2312" w:cs="仿宋_GB2312" w:eastAsia="仿宋_GB2312"/>
        </w:rPr>
        <w:t>（以下简称“代理机构”）受</w:t>
      </w:r>
      <w:r>
        <w:rPr>
          <w:rFonts w:ascii="仿宋_GB2312" w:hAnsi="仿宋_GB2312" w:cs="仿宋_GB2312" w:eastAsia="仿宋_GB2312"/>
        </w:rPr>
        <w:t>汉中市人民医院</w:t>
      </w:r>
      <w:r>
        <w:rPr>
          <w:rFonts w:ascii="仿宋_GB2312" w:hAnsi="仿宋_GB2312" w:cs="仿宋_GB2312" w:eastAsia="仿宋_GB2312"/>
        </w:rPr>
        <w:t>委托，拟对</w:t>
      </w:r>
      <w:r>
        <w:rPr>
          <w:rFonts w:ascii="仿宋_GB2312" w:hAnsi="仿宋_GB2312" w:cs="仿宋_GB2312" w:eastAsia="仿宋_GB2312"/>
        </w:rPr>
        <w:t>放射治疗配套器械采购项目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DXZB-2026-0724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放射治疗配套器械采购项目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汉中市人民医院购置放射治疗配套器械一批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1、主体资格证明文件：具有独立承担民事责任能力的法人或非法人组织或自然人，提供合法有效的统一社会信用代码的营业执照等证明文件；</w:t>
      </w:r>
    </w:p>
    <w:p>
      <w:pPr>
        <w:pStyle w:val="null3"/>
      </w:pPr>
      <w:r>
        <w:rPr>
          <w:rFonts w:ascii="仿宋_GB2312" w:hAnsi="仿宋_GB2312" w:cs="仿宋_GB2312" w:eastAsia="仿宋_GB2312"/>
        </w:rPr>
        <w:t>2、法定代表人授权书：提供法定代表人授权委托书及被授权人身份证（投标人为法定代表人时，须提交法定代表人证明书）；</w:t>
      </w:r>
    </w:p>
    <w:p>
      <w:pPr>
        <w:pStyle w:val="null3"/>
      </w:pPr>
      <w:r>
        <w:rPr>
          <w:rFonts w:ascii="仿宋_GB2312" w:hAnsi="仿宋_GB2312" w:cs="仿宋_GB2312" w:eastAsia="仿宋_GB2312"/>
        </w:rPr>
        <w:t>3、特定资格要求：投标人为经销商的应出具医疗器械经营许可证或二类医疗器械备案凭证（投标产品须在其生产范围内）、投标产品属于医疗器械管理的提供医疗器械注册证；投标人为制造厂家的应出具医疗器械生产许可证（投标产品须在其生产范围内）、投标产品属于医疗器械管理的提供医疗器械注册证；</w:t>
      </w:r>
    </w:p>
    <w:p>
      <w:pPr>
        <w:pStyle w:val="null3"/>
      </w:pPr>
      <w:r>
        <w:rPr>
          <w:rFonts w:ascii="仿宋_GB2312" w:hAnsi="仿宋_GB2312" w:cs="仿宋_GB2312" w:eastAsia="仿宋_GB2312"/>
        </w:rPr>
        <w:t>4、基本资格条件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w:t>
      </w:r>
    </w:p>
    <w:p>
      <w:pPr>
        <w:pStyle w:val="null3"/>
      </w:pPr>
      <w:r>
        <w:rPr>
          <w:rFonts w:ascii="仿宋_GB2312" w:hAnsi="仿宋_GB2312" w:cs="仿宋_GB2312" w:eastAsia="仿宋_GB2312"/>
        </w:rPr>
        <w:t>5、非联合体投标声明：本项目不接受联合体投标；</w:t>
      </w:r>
    </w:p>
    <w:p>
      <w:pPr>
        <w:pStyle w:val="null3"/>
      </w:pPr>
      <w:r>
        <w:rPr>
          <w:rFonts w:ascii="仿宋_GB2312" w:hAnsi="仿宋_GB2312" w:cs="仿宋_GB2312" w:eastAsia="仿宋_GB2312"/>
        </w:rPr>
        <w:t>6、信用主体查询：截止响应文件递交截止时间之前，供应商不得在“信用中国” 网站（ww w.creditchina.gov.cn）中被列入失信被执行人、重大税收违法失信主体名单、“ 中国政府采购网(www.ccgp.gov.cn)” 未被列入政府采购严重违法失信行为记录名单。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0916-2709356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陕西省西安市雁塔区南二环东段凯森盛世一号B座4层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029-82694900-9021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开户名称：陕西德信招标有限公司</w:t>
            </w:r>
          </w:p>
          <w:p>
            <w:pPr>
              <w:pStyle w:val="null3"/>
            </w:pPr>
            <w:r>
              <w:rPr>
                <w:rFonts w:ascii="仿宋_GB2312" w:hAnsi="仿宋_GB2312" w:cs="仿宋_GB2312" w:eastAsia="仿宋_GB2312"/>
              </w:rPr>
              <w:t>开户银行：西安银行东二环南段支行</w:t>
            </w:r>
          </w:p>
          <w:p>
            <w:pPr>
              <w:pStyle w:val="null3"/>
            </w:pPr>
            <w:r>
              <w:rPr>
                <w:rFonts w:ascii="仿宋_GB2312" w:hAnsi="仿宋_GB2312" w:cs="仿宋_GB2312" w:eastAsia="仿宋_GB2312"/>
              </w:rPr>
              <w:t>银行账号：209011580000073440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lt;招标代理服务收费管理暂行办法&gt;的通知》（计价格[2002]1980号）规定标准收取。（2）在领取（中标）成交通知书前由中标（成交）单位向陕西德信招标有限公司缴纳代理服务费。 中标（成交）服务费账户： 开户名称：陕西德信招标有限公司 开户银行：西安银行东二环南段支行 账 号：209011580000073440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汉中市人民医院</w:t>
      </w:r>
      <w:r>
        <w:rPr>
          <w:rFonts w:ascii="仿宋_GB2312" w:hAnsi="仿宋_GB2312" w:cs="仿宋_GB2312" w:eastAsia="仿宋_GB2312"/>
        </w:rPr>
        <w:t>和</w:t>
      </w:r>
      <w:r>
        <w:rPr>
          <w:rFonts w:ascii="仿宋_GB2312" w:hAnsi="仿宋_GB2312" w:cs="仿宋_GB2312" w:eastAsia="仿宋_GB2312"/>
        </w:rPr>
        <w:t>陕西德信招标有限公司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联系人：李敏</w:t>
      </w:r>
    </w:p>
    <w:p>
      <w:pPr>
        <w:pStyle w:val="null3"/>
      </w:pPr>
      <w:r>
        <w:rPr>
          <w:rFonts w:ascii="仿宋_GB2312" w:hAnsi="仿宋_GB2312" w:cs="仿宋_GB2312" w:eastAsia="仿宋_GB2312"/>
        </w:rPr>
        <w:t>联系电话：029-82694900转9021</w:t>
      </w:r>
    </w:p>
    <w:p>
      <w:pPr>
        <w:pStyle w:val="null3"/>
      </w:pPr>
      <w:r>
        <w:rPr>
          <w:rFonts w:ascii="仿宋_GB2312" w:hAnsi="仿宋_GB2312" w:cs="仿宋_GB2312" w:eastAsia="仿宋_GB2312"/>
        </w:rPr>
        <w:t>地址：陕西省西安市雁塔区二环南路东段凯森盛世一号B座4层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汉中市人民医院购置放射治疗配套器械一批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三维剂量验证系统（射线束扫描测量系统）、三维水箱、全身集成定位架(含SBRT定位功能、SRS定位架、人体定位垫）等一批设备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标的名称：三维剂量验证系统（射线束扫描测量系统）、三维水箱、全身集成定位架(含SBRT定位功能、SRS定位架、人体定位垫）等一批设备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248"/>
              <w:gridCol w:w="878"/>
              <w:gridCol w:w="259"/>
              <w:gridCol w:w="261"/>
              <w:gridCol w:w="451"/>
              <w:gridCol w:w="455"/>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序号</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产品名称</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数量</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单位</w:t>
                  </w:r>
                </w:p>
              </w:tc>
              <w:tc>
                <w:tcPr>
                  <w:tcW w:type="dxa" w:w="4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预算金额（万元）</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备注</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1</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三维剂量验证系统（射线束扫描测量系统）</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套</w:t>
                  </w:r>
                </w:p>
              </w:tc>
              <w:tc>
                <w:tcPr>
                  <w:tcW w:type="dxa" w:w="4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核心产品</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2</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三维水箱</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套</w:t>
                  </w:r>
                </w:p>
              </w:tc>
              <w:tc>
                <w:tcPr>
                  <w:tcW w:type="dxa" w:w="451"/>
                  <w:vMerge/>
                  <w:tcBorders>
                    <w:top w:val="none" w:color="000000" w:sz="4"/>
                    <w:left w:val="single" w:color="000000" w:sz="4"/>
                    <w:bottom w:val="single" w:color="000000" w:sz="4"/>
                    <w:right w:val="single" w:color="000000" w:sz="4"/>
                  </w:tcBorders>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3</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全身集成定位架</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套</w:t>
                  </w:r>
                </w:p>
              </w:tc>
              <w:tc>
                <w:tcPr>
                  <w:tcW w:type="dxa" w:w="451"/>
                  <w:vMerge/>
                  <w:tcBorders>
                    <w:top w:val="none" w:color="000000" w:sz="4"/>
                    <w:left w:val="single" w:color="000000" w:sz="4"/>
                    <w:bottom w:val="single" w:color="000000" w:sz="4"/>
                    <w:right w:val="single" w:color="000000" w:sz="4"/>
                  </w:tcBorders>
                </w:tcP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222222"/>
                    </w:rPr>
                    <w:t>/</w:t>
                  </w:r>
                </w:p>
              </w:tc>
            </w:tr>
          </w:tbl>
          <w:p>
            <w:pPr>
              <w:pStyle w:val="null3"/>
              <w:jc w:val="both"/>
            </w:pPr>
            <w:r>
              <w:rPr>
                <w:rFonts w:ascii="仿宋_GB2312" w:hAnsi="仿宋_GB2312" w:cs="仿宋_GB2312" w:eastAsia="仿宋_GB2312"/>
                <w:sz w:val="24"/>
                <w:b/>
                <w:color w:val="000000"/>
              </w:rPr>
              <w:t>二、技术参数</w:t>
            </w:r>
          </w:p>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color w:val="222222"/>
              </w:rPr>
              <w:t>三维剂量验证系统</w:t>
            </w:r>
            <w:r>
              <w:rPr>
                <w:rFonts w:ascii="仿宋_GB2312" w:hAnsi="仿宋_GB2312" w:cs="仿宋_GB2312" w:eastAsia="仿宋_GB2312"/>
                <w:sz w:val="24"/>
                <w:b/>
              </w:rPr>
              <w:t>技术参数</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设备用途：</w:t>
                  </w:r>
                  <w:r>
                    <w:rPr>
                      <w:rFonts w:ascii="仿宋_GB2312" w:hAnsi="仿宋_GB2312" w:cs="仿宋_GB2312" w:eastAsia="仿宋_GB2312"/>
                      <w:sz w:val="24"/>
                    </w:rPr>
                    <w:t>用于放射治疗调强计划实施前的</w:t>
                  </w:r>
                  <w:r>
                    <w:rPr>
                      <w:rFonts w:ascii="仿宋_GB2312" w:hAnsi="仿宋_GB2312" w:cs="仿宋_GB2312" w:eastAsia="仿宋_GB2312"/>
                      <w:sz w:val="24"/>
                      <w:color w:val="000000"/>
                    </w:rPr>
                    <w:t>二维三维及容积</w:t>
                  </w:r>
                  <w:r>
                    <w:rPr>
                      <w:rFonts w:ascii="仿宋_GB2312" w:hAnsi="仿宋_GB2312" w:cs="仿宋_GB2312" w:eastAsia="仿宋_GB2312"/>
                      <w:sz w:val="24"/>
                    </w:rPr>
                    <w:t>剂量验证，支持固定野调强放疗（</w:t>
                  </w:r>
                  <w:r>
                    <w:rPr>
                      <w:rFonts w:ascii="仿宋_GB2312" w:hAnsi="仿宋_GB2312" w:cs="仿宋_GB2312" w:eastAsia="仿宋_GB2312"/>
                      <w:sz w:val="24"/>
                    </w:rPr>
                    <w:t>IMRT）和容积旋转调强放疗（VMAT），支持SBRT技术，支持TOMO等先进机型及常规直加机型。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系统硬件技术要求：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▲2.1探测器模体构造：圆筒形模体，里含立体弧形排列或交叉排列的探测器阵列</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2.2探测器类型：电离室或半导体</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2.3探测器数量：≥1000</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2.4探测器有效体积：≤0.1cc</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2.5探测器直径：≤5 mm</w:t>
                  </w:r>
                  <w:r>
                    <w:rPr>
                      <w:rFonts w:ascii="仿宋_GB2312" w:hAnsi="仿宋_GB2312" w:cs="仿宋_GB2312" w:eastAsia="仿宋_GB2312"/>
                      <w:sz w:val="21"/>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2.6探测器高度：≤4.8mm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2.7野最大测量范围：</w:t>
                  </w:r>
                  <w:r>
                    <w:rPr>
                      <w:rFonts w:ascii="仿宋_GB2312" w:hAnsi="仿宋_GB2312" w:cs="仿宋_GB2312" w:eastAsia="仿宋_GB2312"/>
                      <w:sz w:val="24"/>
                      <w:color w:val="000000"/>
                    </w:rPr>
                    <w:t>≥26×26cm</w:t>
                  </w:r>
                  <w:r>
                    <w:rPr>
                      <w:rFonts w:ascii="仿宋_GB2312" w:hAnsi="仿宋_GB2312" w:cs="仿宋_GB2312" w:eastAsia="仿宋_GB2312"/>
                      <w:sz w:val="24"/>
                      <w:color w:val="000000"/>
                      <w:vertAlign w:val="superscript"/>
                    </w:rPr>
                    <w:t>2</w:t>
                  </w:r>
                  <w:r>
                    <w:rPr>
                      <w:rFonts w:ascii="仿宋_GB2312" w:hAnsi="仿宋_GB2312" w:cs="仿宋_GB2312" w:eastAsia="仿宋_GB2312"/>
                      <w:sz w:val="21"/>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2.8探测值非线性：≤0.5%（≥10mGy）</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2.9最大放射剂量率：≥</w:t>
                  </w:r>
                  <w:r>
                    <w:rPr>
                      <w:rFonts w:ascii="仿宋_GB2312" w:hAnsi="仿宋_GB2312" w:cs="仿宋_GB2312" w:eastAsia="仿宋_GB2312"/>
                      <w:sz w:val="24"/>
                    </w:rPr>
                    <w:t>14Gy/min</w:t>
                  </w:r>
                  <w:r>
                    <w:rPr>
                      <w:rFonts w:ascii="仿宋_GB2312" w:hAnsi="仿宋_GB2312" w:cs="仿宋_GB2312" w:eastAsia="仿宋_GB2312"/>
                      <w:sz w:val="24"/>
                    </w:rPr>
                    <w:t xml:space="preserve"> </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2.10最小放射剂量率：≤</w:t>
                  </w:r>
                  <w:r>
                    <w:rPr>
                      <w:rFonts w:ascii="仿宋_GB2312" w:hAnsi="仿宋_GB2312" w:cs="仿宋_GB2312" w:eastAsia="仿宋_GB2312"/>
                      <w:sz w:val="24"/>
                    </w:rPr>
                    <w:t>0.2 Gy/min</w:t>
                  </w:r>
                  <w:r>
                    <w:rPr>
                      <w:rFonts w:ascii="仿宋_GB2312" w:hAnsi="仿宋_GB2312" w:cs="仿宋_GB2312" w:eastAsia="仿宋_GB2312"/>
                      <w:sz w:val="21"/>
                    </w:rPr>
                    <w:t xml:space="preserve"> </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2.11测量一致性：≤1.5%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2.12收集效率：≥0.99</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2.13标称灵敏度：≤</w:t>
                  </w:r>
                  <w:r>
                    <w:rPr>
                      <w:rFonts w:ascii="仿宋_GB2312" w:hAnsi="仿宋_GB2312" w:cs="仿宋_GB2312" w:eastAsia="仿宋_GB2312"/>
                      <w:sz w:val="24"/>
                    </w:rPr>
                    <w:t>3.6 nc/Gy</w:t>
                  </w:r>
                  <w:r>
                    <w:rPr>
                      <w:rFonts w:ascii="仿宋_GB2312" w:hAnsi="仿宋_GB2312" w:cs="仿宋_GB2312" w:eastAsia="仿宋_GB2312"/>
                      <w:sz w:val="24"/>
                    </w:rPr>
                    <w:t xml:space="preserve"> </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2.14重复性：≤0.5%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2.15采样时间：≤120ms</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2.16含</w:t>
                  </w:r>
                  <w:r>
                    <w:rPr>
                      <w:rFonts w:ascii="仿宋_GB2312" w:hAnsi="仿宋_GB2312" w:cs="仿宋_GB2312" w:eastAsia="仿宋_GB2312"/>
                      <w:sz w:val="24"/>
                      <w:color w:val="000000"/>
                    </w:rPr>
                    <w:t>模体</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≤18kg</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2.17建层材料：PMMA</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2.18</w:t>
                  </w:r>
                  <w:r>
                    <w:rPr>
                      <w:rFonts w:ascii="仿宋_GB2312" w:hAnsi="仿宋_GB2312" w:cs="仿宋_GB2312" w:eastAsia="仿宋_GB2312"/>
                      <w:sz w:val="24"/>
                      <w:color w:val="000000"/>
                    </w:rPr>
                    <w:t>模体尺寸：</w:t>
                  </w:r>
                  <w:r>
                    <w:rPr>
                      <w:rFonts w:ascii="仿宋_GB2312" w:hAnsi="仿宋_GB2312" w:cs="仿宋_GB2312" w:eastAsia="仿宋_GB2312"/>
                      <w:sz w:val="24"/>
                      <w:color w:val="000000"/>
                    </w:rPr>
                    <w:t>≥</w:t>
                  </w:r>
                  <w:r>
                    <w:rPr>
                      <w:rFonts w:ascii="仿宋_GB2312" w:hAnsi="仿宋_GB2312" w:cs="仿宋_GB2312" w:eastAsia="仿宋_GB2312"/>
                      <w:sz w:val="24"/>
                    </w:rPr>
                    <w:t>370×300×270 mm（L×H×W）</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2.19</w:t>
                  </w:r>
                  <w:r>
                    <w:rPr>
                      <w:rFonts w:ascii="仿宋_GB2312" w:hAnsi="仿宋_GB2312" w:cs="仿宋_GB2312" w:eastAsia="仿宋_GB2312"/>
                      <w:sz w:val="24"/>
                      <w:color w:val="000000"/>
                    </w:rPr>
                    <w:t>模体可</w:t>
                  </w:r>
                  <w:r>
                    <w:rPr>
                      <w:rFonts w:ascii="仿宋_GB2312" w:hAnsi="仿宋_GB2312" w:cs="仿宋_GB2312" w:eastAsia="仿宋_GB2312"/>
                      <w:sz w:val="24"/>
                      <w:color w:val="000000"/>
                    </w:rPr>
                    <w:t>测量</w:t>
                  </w:r>
                  <w:r>
                    <w:rPr>
                      <w:rFonts w:ascii="仿宋_GB2312" w:hAnsi="仿宋_GB2312" w:cs="仿宋_GB2312" w:eastAsia="仿宋_GB2312"/>
                      <w:sz w:val="24"/>
                      <w:color w:val="000000"/>
                    </w:rPr>
                    <w:t>角度范围：</w:t>
                  </w:r>
                  <w:r>
                    <w:rPr>
                      <w:rFonts w:ascii="仿宋_GB2312" w:hAnsi="仿宋_GB2312" w:cs="仿宋_GB2312" w:eastAsia="仿宋_GB2312"/>
                      <w:sz w:val="24"/>
                      <w:color w:val="000000"/>
                    </w:rPr>
                    <w:t>360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2.20电离室插件：可配备电离室插件，用于测量模体中心点剂量</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系统软件技术要求：</w:t>
                  </w:r>
                  <w:r>
                    <w:rPr>
                      <w:rFonts w:ascii="仿宋_GB2312" w:hAnsi="仿宋_GB2312" w:cs="仿宋_GB2312" w:eastAsia="仿宋_GB2312"/>
                      <w:sz w:val="24"/>
                      <w:color w:val="000000"/>
                    </w:rPr>
                    <w:t>配备相应的</w:t>
                  </w:r>
                  <w:r>
                    <w:rPr>
                      <w:rFonts w:ascii="仿宋_GB2312" w:hAnsi="仿宋_GB2312" w:cs="仿宋_GB2312" w:eastAsia="仿宋_GB2312"/>
                      <w:sz w:val="24"/>
                      <w:color w:val="000000"/>
                    </w:rPr>
                    <w:t>2D、3D(及容积或4D)剂量</w:t>
                  </w:r>
                  <w:r>
                    <w:rPr>
                      <w:rFonts w:ascii="仿宋_GB2312" w:hAnsi="仿宋_GB2312" w:cs="仿宋_GB2312" w:eastAsia="仿宋_GB2312"/>
                      <w:sz w:val="24"/>
                      <w:color w:val="000000"/>
                    </w:rPr>
                    <w:t>验证分析软件</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3.1剂量分析</w:t>
                  </w:r>
                  <w:r>
                    <w:rPr>
                      <w:rFonts w:ascii="仿宋_GB2312" w:hAnsi="仿宋_GB2312" w:cs="仿宋_GB2312" w:eastAsia="仿宋_GB2312"/>
                      <w:sz w:val="24"/>
                    </w:rPr>
                    <w:t>：</w:t>
                  </w:r>
                  <w:r>
                    <w:rPr>
                      <w:rFonts w:ascii="仿宋_GB2312" w:hAnsi="仿宋_GB2312" w:cs="仿宋_GB2312" w:eastAsia="仿宋_GB2312"/>
                      <w:sz w:val="24"/>
                      <w:color w:val="000000"/>
                    </w:rPr>
                    <w:t>多个或单个平面的剂量分布曲线分析与误差比较</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3.2剂量评估</w:t>
                  </w:r>
                  <w:r>
                    <w:rPr>
                      <w:rFonts w:ascii="仿宋_GB2312" w:hAnsi="仿宋_GB2312" w:cs="仿宋_GB2312" w:eastAsia="仿宋_GB2312"/>
                      <w:sz w:val="24"/>
                    </w:rPr>
                    <w:t>：</w:t>
                  </w:r>
                  <w:r>
                    <w:rPr>
                      <w:rFonts w:ascii="仿宋_GB2312" w:hAnsi="仿宋_GB2312" w:cs="仿宋_GB2312" w:eastAsia="仿宋_GB2312"/>
                      <w:sz w:val="24"/>
                      <w:color w:val="000000"/>
                    </w:rPr>
                    <w:t>多个或单个平面剂量的</w:t>
                  </w:r>
                  <w:r>
                    <w:rPr>
                      <w:rFonts w:ascii="仿宋_GB2312" w:hAnsi="仿宋_GB2312" w:cs="仿宋_GB2312" w:eastAsia="仿宋_GB2312"/>
                      <w:sz w:val="24"/>
                      <w:color w:val="000000"/>
                    </w:rPr>
                    <w:t>Gamma通过率评估</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3.3角度分析</w:t>
                  </w:r>
                  <w:r>
                    <w:rPr>
                      <w:rFonts w:ascii="仿宋_GB2312" w:hAnsi="仿宋_GB2312" w:cs="仿宋_GB2312" w:eastAsia="仿宋_GB2312"/>
                      <w:sz w:val="24"/>
                    </w:rPr>
                    <w:t>：</w:t>
                  </w:r>
                  <w:r>
                    <w:rPr>
                      <w:rFonts w:ascii="仿宋_GB2312" w:hAnsi="仿宋_GB2312" w:cs="仿宋_GB2312" w:eastAsia="仿宋_GB2312"/>
                      <w:sz w:val="24"/>
                      <w:color w:val="000000"/>
                    </w:rPr>
                    <w:t>自动分析入射角度</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3.4相关信息显示</w:t>
                  </w:r>
                  <w:r>
                    <w:rPr>
                      <w:rFonts w:ascii="仿宋_GB2312" w:hAnsi="仿宋_GB2312" w:cs="仿宋_GB2312" w:eastAsia="仿宋_GB2312"/>
                      <w:sz w:val="24"/>
                    </w:rPr>
                    <w:t>：</w:t>
                  </w:r>
                  <w:r>
                    <w:rPr>
                      <w:rFonts w:ascii="仿宋_GB2312" w:hAnsi="仿宋_GB2312" w:cs="仿宋_GB2312" w:eastAsia="仿宋_GB2312"/>
                      <w:sz w:val="24"/>
                      <w:color w:val="000000"/>
                    </w:rPr>
                    <w:t>能显示计划及射野相关信息</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3.5平面剂量和</w:t>
                  </w:r>
                  <w:r>
                    <w:rPr>
                      <w:rFonts w:ascii="仿宋_GB2312" w:hAnsi="仿宋_GB2312" w:cs="仿宋_GB2312" w:eastAsia="仿宋_GB2312"/>
                      <w:sz w:val="24"/>
                      <w:color w:val="000000"/>
                    </w:rPr>
                    <w:t>Gamma值显示</w:t>
                  </w:r>
                  <w:r>
                    <w:rPr>
                      <w:rFonts w:ascii="仿宋_GB2312" w:hAnsi="仿宋_GB2312" w:cs="仿宋_GB2312" w:eastAsia="仿宋_GB2312"/>
                      <w:sz w:val="24"/>
                      <w:color w:val="000000"/>
                    </w:rPr>
                    <w:t>：</w:t>
                  </w:r>
                  <w:r>
                    <w:rPr>
                      <w:rFonts w:ascii="仿宋_GB2312" w:hAnsi="仿宋_GB2312" w:cs="仿宋_GB2312" w:eastAsia="仿宋_GB2312"/>
                      <w:sz w:val="24"/>
                      <w:color w:val="000000"/>
                    </w:rPr>
                    <w:t>能多平面或单平面剂量显示，多平面或单平面</w:t>
                  </w:r>
                  <w:r>
                    <w:rPr>
                      <w:rFonts w:ascii="仿宋_GB2312" w:hAnsi="仿宋_GB2312" w:cs="仿宋_GB2312" w:eastAsia="仿宋_GB2312"/>
                      <w:sz w:val="24"/>
                      <w:color w:val="000000"/>
                    </w:rPr>
                    <w:t>Gamma值显示</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3.6三维剂量和</w:t>
                  </w:r>
                  <w:r>
                    <w:rPr>
                      <w:rFonts w:ascii="仿宋_GB2312" w:hAnsi="仿宋_GB2312" w:cs="仿宋_GB2312" w:eastAsia="仿宋_GB2312"/>
                      <w:sz w:val="24"/>
                      <w:color w:val="000000"/>
                    </w:rPr>
                    <w:t>Gamma值显示</w:t>
                  </w:r>
                  <w:r>
                    <w:rPr>
                      <w:rFonts w:ascii="仿宋_GB2312" w:hAnsi="仿宋_GB2312" w:cs="仿宋_GB2312" w:eastAsia="仿宋_GB2312"/>
                      <w:sz w:val="24"/>
                      <w:color w:val="000000"/>
                    </w:rPr>
                    <w:t>：</w:t>
                  </w:r>
                  <w:r>
                    <w:rPr>
                      <w:rFonts w:ascii="仿宋_GB2312" w:hAnsi="仿宋_GB2312" w:cs="仿宋_GB2312" w:eastAsia="仿宋_GB2312"/>
                      <w:sz w:val="24"/>
                      <w:color w:val="000000"/>
                    </w:rPr>
                    <w:t>能三维空间剂量显示，三维</w:t>
                  </w:r>
                  <w:r>
                    <w:rPr>
                      <w:rFonts w:ascii="仿宋_GB2312" w:hAnsi="仿宋_GB2312" w:cs="仿宋_GB2312" w:eastAsia="仿宋_GB2312"/>
                      <w:sz w:val="24"/>
                      <w:color w:val="000000"/>
                    </w:rPr>
                    <w:t>Gamma值显示</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3.7自动管理</w:t>
                  </w:r>
                  <w:r>
                    <w:rPr>
                      <w:rFonts w:ascii="仿宋_GB2312" w:hAnsi="仿宋_GB2312" w:cs="仿宋_GB2312" w:eastAsia="仿宋_GB2312"/>
                      <w:sz w:val="24"/>
                    </w:rPr>
                    <w:t>：</w:t>
                  </w:r>
                  <w:r>
                    <w:rPr>
                      <w:rFonts w:ascii="仿宋_GB2312" w:hAnsi="仿宋_GB2312" w:cs="仿宋_GB2312" w:eastAsia="仿宋_GB2312"/>
                      <w:sz w:val="24"/>
                      <w:color w:val="000000"/>
                    </w:rPr>
                    <w:t>能自动管理患者的治疗计划数据，能自动管理所有的测量和分析数据</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w:t>
                  </w:r>
                  <w:r>
                    <w:rPr>
                      <w:rFonts w:ascii="仿宋_GB2312" w:hAnsi="仿宋_GB2312" w:cs="仿宋_GB2312" w:eastAsia="仿宋_GB2312"/>
                      <w:sz w:val="24"/>
                      <w:color w:val="000000"/>
                    </w:rPr>
                    <w:t>Gamma计算：可完成绝对剂量、相对最大剂量值归一、相对中心点剂量归一三种类型的Gamma计算，可以自定义Gamma计算标准</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3.9水平显示：</w:t>
                  </w:r>
                  <w:r>
                    <w:rPr>
                      <w:rFonts w:ascii="仿宋_GB2312" w:hAnsi="仿宋_GB2312" w:cs="仿宋_GB2312" w:eastAsia="仿宋_GB2312"/>
                      <w:sz w:val="24"/>
                      <w:color w:val="000000"/>
                    </w:rPr>
                    <w:t>支持水平调节显示</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3.103D视图：</w:t>
                  </w:r>
                  <w:r>
                    <w:rPr>
                      <w:rFonts w:ascii="仿宋_GB2312" w:hAnsi="仿宋_GB2312" w:cs="仿宋_GB2312" w:eastAsia="仿宋_GB2312"/>
                      <w:sz w:val="24"/>
                      <w:color w:val="000000"/>
                    </w:rPr>
                    <w:t>支持射野的</w:t>
                  </w:r>
                  <w:r>
                    <w:rPr>
                      <w:rFonts w:ascii="仿宋_GB2312" w:hAnsi="仿宋_GB2312" w:cs="仿宋_GB2312" w:eastAsia="仿宋_GB2312"/>
                      <w:sz w:val="24"/>
                      <w:color w:val="000000"/>
                    </w:rPr>
                    <w:t>3D视图显示剂量分布</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3.11</w:t>
                  </w:r>
                  <w:r>
                    <w:rPr>
                      <w:rFonts w:ascii="仿宋_GB2312" w:hAnsi="仿宋_GB2312" w:cs="仿宋_GB2312" w:eastAsia="仿宋_GB2312"/>
                      <w:sz w:val="21"/>
                    </w:rPr>
                    <w:t xml:space="preserve"> </w:t>
                  </w:r>
                  <w:r>
                    <w:rPr>
                      <w:rFonts w:ascii="仿宋_GB2312" w:hAnsi="仿宋_GB2312" w:cs="仿宋_GB2312" w:eastAsia="仿宋_GB2312"/>
                      <w:sz w:val="24"/>
                      <w:color w:val="000000"/>
                    </w:rPr>
                    <w:t>Gamma通过率查看：支持查看总野的Gamma通过率，支持查看Gamma直方图</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3.12剂量分布图：</w:t>
                  </w:r>
                  <w:r>
                    <w:rPr>
                      <w:rFonts w:ascii="仿宋_GB2312" w:hAnsi="仿宋_GB2312" w:cs="仿宋_GB2312" w:eastAsia="仿宋_GB2312"/>
                      <w:sz w:val="24"/>
                      <w:color w:val="000000"/>
                    </w:rPr>
                    <w:t>通过剂量分布图来显示测量剂量和</w:t>
                  </w:r>
                  <w:r>
                    <w:rPr>
                      <w:rFonts w:ascii="仿宋_GB2312" w:hAnsi="仿宋_GB2312" w:cs="仿宋_GB2312" w:eastAsia="仿宋_GB2312"/>
                      <w:sz w:val="24"/>
                      <w:color w:val="000000"/>
                    </w:rPr>
                    <w:t>TPS剂量</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3.13</w:t>
                  </w:r>
                  <w:r>
                    <w:rPr>
                      <w:rFonts w:ascii="仿宋_GB2312" w:hAnsi="仿宋_GB2312" w:cs="仿宋_GB2312" w:eastAsia="仿宋_GB2312"/>
                      <w:sz w:val="21"/>
                    </w:rPr>
                    <w:t xml:space="preserve"> </w:t>
                  </w:r>
                  <w:r>
                    <w:rPr>
                      <w:rFonts w:ascii="仿宋_GB2312" w:hAnsi="仿宋_GB2312" w:cs="仿宋_GB2312" w:eastAsia="仿宋_GB2312"/>
                      <w:sz w:val="24"/>
                      <w:color w:val="000000"/>
                    </w:rPr>
                    <w:t>Gamma分布图：显示总体的Gamma分布图</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3.14软件数据库：</w:t>
                  </w:r>
                  <w:r>
                    <w:rPr>
                      <w:rFonts w:ascii="仿宋_GB2312" w:hAnsi="仿宋_GB2312" w:cs="仿宋_GB2312" w:eastAsia="仿宋_GB2312"/>
                      <w:sz w:val="24"/>
                      <w:color w:val="000000"/>
                    </w:rPr>
                    <w:t>支持数据库管理计划和测量数据</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3.15软件数据接口：</w:t>
                  </w:r>
                  <w:r>
                    <w:rPr>
                      <w:rFonts w:ascii="仿宋_GB2312" w:hAnsi="仿宋_GB2312" w:cs="仿宋_GB2312" w:eastAsia="仿宋_GB2312"/>
                      <w:sz w:val="24"/>
                      <w:color w:val="000000"/>
                    </w:rPr>
                    <w:t>通过</w:t>
                  </w:r>
                  <w:r>
                    <w:rPr>
                      <w:rFonts w:ascii="仿宋_GB2312" w:hAnsi="仿宋_GB2312" w:cs="仿宋_GB2312" w:eastAsia="仿宋_GB2312"/>
                      <w:sz w:val="24"/>
                      <w:color w:val="000000"/>
                    </w:rPr>
                    <w:t>DICOM RT方式，实现无缝连接TPS治疗系统</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3.16软件支持的调强：</w:t>
                  </w:r>
                  <w:r>
                    <w:rPr>
                      <w:rFonts w:ascii="仿宋_GB2312" w:hAnsi="仿宋_GB2312" w:cs="仿宋_GB2312" w:eastAsia="仿宋_GB2312"/>
                      <w:sz w:val="24"/>
                      <w:color w:val="000000"/>
                    </w:rPr>
                    <w:t>支持固定野调强剂量验证以及容积旋转调强剂量验证</w:t>
                  </w:r>
                  <w:r>
                    <w:rPr>
                      <w:rFonts w:ascii="仿宋_GB2312" w:hAnsi="仿宋_GB2312" w:cs="仿宋_GB2312" w:eastAsia="仿宋_GB2312"/>
                      <w:sz w:val="24"/>
                      <w:color w:val="000000"/>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系统整体配置要求</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4.1含探测器的模体1个</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4.2三维容积剂量验证分析系统1套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移动终端</w:t>
                  </w:r>
                  <w:r>
                    <w:rPr>
                      <w:rFonts w:ascii="仿宋_GB2312" w:hAnsi="仿宋_GB2312" w:cs="仿宋_GB2312" w:eastAsia="仿宋_GB2312"/>
                      <w:sz w:val="24"/>
                    </w:rPr>
                    <w:t>1台</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4.4电源及数据电缆1套</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w:t>
                  </w:r>
                  <w:r>
                    <w:rPr>
                      <w:rFonts w:ascii="仿宋_GB2312" w:hAnsi="仿宋_GB2312" w:cs="仿宋_GB2312" w:eastAsia="仿宋_GB2312"/>
                      <w:sz w:val="24"/>
                      <w:color w:val="000000"/>
                    </w:rPr>
                    <w:t>运转手推车</w:t>
                  </w:r>
                  <w:r>
                    <w:rPr>
                      <w:rFonts w:ascii="仿宋_GB2312" w:hAnsi="仿宋_GB2312" w:cs="仿宋_GB2312" w:eastAsia="仿宋_GB2312"/>
                      <w:sz w:val="24"/>
                      <w:color w:val="000000"/>
                    </w:rPr>
                    <w:t>1辆</w:t>
                  </w:r>
                </w:p>
              </w:tc>
            </w:tr>
          </w:tbl>
          <w:p>
            <w:pPr>
              <w:pStyle w:val="null3"/>
              <w:jc w:val="center"/>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）三维水箱</w:t>
            </w:r>
            <w:r>
              <w:rPr>
                <w:rFonts w:ascii="仿宋_GB2312" w:hAnsi="仿宋_GB2312" w:cs="仿宋_GB2312" w:eastAsia="仿宋_GB2312"/>
                <w:sz w:val="24"/>
                <w:b/>
              </w:rPr>
              <w:t>技术参数</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箱体形状</w:t>
                  </w:r>
                  <w:r>
                    <w:rPr>
                      <w:rFonts w:ascii="仿宋_GB2312" w:hAnsi="仿宋_GB2312" w:cs="仿宋_GB2312" w:eastAsia="仿宋_GB2312"/>
                      <w:sz w:val="24"/>
                    </w:rPr>
                    <w:t>:立方体或圆形</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箱体壁厚：</w:t>
                  </w:r>
                  <w:r>
                    <w:rPr>
                      <w:rFonts w:ascii="仿宋_GB2312" w:hAnsi="仿宋_GB2312" w:cs="仿宋_GB2312" w:eastAsia="仿宋_GB2312"/>
                      <w:sz w:val="24"/>
                    </w:rPr>
                    <w:t>≤15mm</w:t>
                  </w:r>
                  <w:r>
                    <w:rPr>
                      <w:rFonts w:ascii="仿宋_GB2312" w:hAnsi="仿宋_GB2312" w:cs="仿宋_GB2312" w:eastAsia="仿宋_GB2312"/>
                      <w:sz w:val="21"/>
                    </w:rPr>
                    <w:t xml:space="preserve"> </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水容积：</w:t>
                  </w:r>
                  <w:r>
                    <w:rPr>
                      <w:rFonts w:ascii="仿宋_GB2312" w:hAnsi="仿宋_GB2312" w:cs="仿宋_GB2312" w:eastAsia="仿宋_GB2312"/>
                      <w:sz w:val="24"/>
                    </w:rPr>
                    <w:t>≥50L</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空箱重量：</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kg</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扫描范围</w:t>
                  </w:r>
                  <w:r>
                    <w:rPr>
                      <w:rFonts w:ascii="仿宋_GB2312" w:hAnsi="仿宋_GB2312" w:cs="仿宋_GB2312" w:eastAsia="仿宋_GB2312"/>
                      <w:sz w:val="24"/>
                    </w:rPr>
                    <w:t>≥(长x宽x高)：260mm x 260mm x 300mm</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扫描模式：步进模式、连续模式</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扫描速度范围：</w:t>
                  </w:r>
                  <w:r>
                    <w:rPr>
                      <w:rFonts w:ascii="仿宋_GB2312" w:hAnsi="仿宋_GB2312" w:cs="仿宋_GB2312" w:eastAsia="仿宋_GB2312"/>
                      <w:sz w:val="24"/>
                    </w:rPr>
                    <w:t>≤25.0 mm/sec</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最小步进距离：</w:t>
                  </w:r>
                  <w:r>
                    <w:rPr>
                      <w:rFonts w:ascii="仿宋_GB2312" w:hAnsi="仿宋_GB2312" w:cs="仿宋_GB2312" w:eastAsia="仿宋_GB2312"/>
                      <w:sz w:val="24"/>
                    </w:rPr>
                    <w:t>≤0.1mm</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重复性：</w:t>
                  </w:r>
                  <w:r>
                    <w:rPr>
                      <w:rFonts w:ascii="仿宋_GB2312" w:hAnsi="仿宋_GB2312" w:cs="仿宋_GB2312" w:eastAsia="仿宋_GB2312"/>
                      <w:sz w:val="24"/>
                    </w:rPr>
                    <w:t>≤0.1mm</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驱动机构：单臂悬挂系统，全不锈钢滚珠丝杆驱动加铝合金滑轨</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离轴测量：支持电离室沿着射野中心轴，前后左右上下三维方向的扫描，及离轴曲线测量</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控制装置</w:t>
                  </w:r>
                  <w:r>
                    <w:rPr>
                      <w:rFonts w:ascii="仿宋_GB2312" w:hAnsi="仿宋_GB2312" w:cs="仿宋_GB2312" w:eastAsia="仿宋_GB2312"/>
                      <w:sz w:val="24"/>
                    </w:rPr>
                    <w:t>：</w:t>
                  </w:r>
                  <w:r>
                    <w:rPr>
                      <w:rFonts w:ascii="仿宋_GB2312" w:hAnsi="仿宋_GB2312" w:cs="仿宋_GB2312" w:eastAsia="仿宋_GB2312"/>
                      <w:sz w:val="24"/>
                    </w:rPr>
                    <w:t>控制装置与水箱一体</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手控盒：快速手动控制</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软件：配备三维快速扫描应用软件</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15</w:t>
                  </w:r>
                  <w:r>
                    <w:rPr>
                      <w:rFonts w:ascii="仿宋_GB2312" w:hAnsi="仿宋_GB2312" w:cs="仿宋_GB2312" w:eastAsia="仿宋_GB2312"/>
                      <w:sz w:val="24"/>
                    </w:rPr>
                    <w:t>.</w:t>
                  </w:r>
                  <w:r>
                    <w:rPr>
                      <w:rFonts w:ascii="仿宋_GB2312" w:hAnsi="仿宋_GB2312" w:cs="仿宋_GB2312" w:eastAsia="仿宋_GB2312"/>
                      <w:sz w:val="24"/>
                    </w:rPr>
                    <w:t>静电计集成式的双通道静电计（剂量仪），与水箱架构一体式设计</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静电计分辨率：</w:t>
                  </w:r>
                  <w:r>
                    <w:rPr>
                      <w:rFonts w:ascii="仿宋_GB2312" w:hAnsi="仿宋_GB2312" w:cs="仿宋_GB2312" w:eastAsia="仿宋_GB2312"/>
                      <w:sz w:val="24"/>
                    </w:rPr>
                    <w:t>≤10 fA</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长期稳定性：</w:t>
                  </w:r>
                  <w:r>
                    <w:rPr>
                      <w:rFonts w:ascii="仿宋_GB2312" w:hAnsi="仿宋_GB2312" w:cs="仿宋_GB2312" w:eastAsia="仿宋_GB2312"/>
                      <w:sz w:val="24"/>
                    </w:rPr>
                    <w:t>≤±0.5%</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w:t>
                  </w:r>
                  <w:r>
                    <w:rPr>
                      <w:rFonts w:ascii="仿宋_GB2312" w:hAnsi="仿宋_GB2312" w:cs="仿宋_GB2312" w:eastAsia="仿宋_GB2312"/>
                      <w:sz w:val="24"/>
                    </w:rPr>
                    <w:t>重复性：</w:t>
                  </w:r>
                  <w:r>
                    <w:rPr>
                      <w:rFonts w:ascii="仿宋_GB2312" w:hAnsi="仿宋_GB2312" w:cs="仿宋_GB2312" w:eastAsia="仿宋_GB2312"/>
                      <w:sz w:val="24"/>
                    </w:rPr>
                    <w:t xml:space="preserve">≤±0.5% </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w:t>
                  </w:r>
                  <w:r>
                    <w:rPr>
                      <w:rFonts w:ascii="仿宋_GB2312" w:hAnsi="仿宋_GB2312" w:cs="仿宋_GB2312" w:eastAsia="仿宋_GB2312"/>
                      <w:sz w:val="24"/>
                    </w:rPr>
                    <w:t>探测器类型：支持</w:t>
                  </w:r>
                  <w:r>
                    <w:rPr>
                      <w:rFonts w:ascii="仿宋_GB2312" w:hAnsi="仿宋_GB2312" w:cs="仿宋_GB2312" w:eastAsia="仿宋_GB2312"/>
                      <w:sz w:val="24"/>
                    </w:rPr>
                    <w:t>PTW，IBA ，SUNNUCLEAR等常规电离室</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探测器灵敏体积及数量：</w:t>
                  </w:r>
                  <w:r>
                    <w:rPr>
                      <w:rFonts w:ascii="仿宋_GB2312" w:hAnsi="仿宋_GB2312" w:cs="仿宋_GB2312" w:eastAsia="仿宋_GB2312"/>
                      <w:sz w:val="24"/>
                    </w:rPr>
                    <w:t>≥0.125cc探头2支，配探头支架</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定位方式：自动找水平和自动对位</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w:t>
                  </w:r>
                  <w:r>
                    <w:rPr>
                      <w:rFonts w:ascii="仿宋_GB2312" w:hAnsi="仿宋_GB2312" w:cs="仿宋_GB2312" w:eastAsia="仿宋_GB2312"/>
                      <w:sz w:val="24"/>
                    </w:rPr>
                    <w:t>测量方式：支持连续测量和步进测量方式</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r>
                    <w:rPr>
                      <w:rFonts w:ascii="仿宋_GB2312" w:hAnsi="仿宋_GB2312" w:cs="仿宋_GB2312" w:eastAsia="仿宋_GB2312"/>
                      <w:sz w:val="24"/>
                    </w:rPr>
                    <w:t>.</w:t>
                  </w:r>
                  <w:r>
                    <w:rPr>
                      <w:rFonts w:ascii="仿宋_GB2312" w:hAnsi="仿宋_GB2312" w:cs="仿宋_GB2312" w:eastAsia="仿宋_GB2312"/>
                      <w:sz w:val="24"/>
                    </w:rPr>
                    <w:t>支持三种曲线类型：百分深度剂量</w:t>
                  </w:r>
                  <w:r>
                    <w:rPr>
                      <w:rFonts w:ascii="仿宋_GB2312" w:hAnsi="仿宋_GB2312" w:cs="仿宋_GB2312" w:eastAsia="仿宋_GB2312"/>
                      <w:sz w:val="24"/>
                    </w:rPr>
                    <w:t>(PDD)，离轴曲线(x方向、Y方向、对角线方向)和点剂量</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w:t>
                  </w:r>
                  <w:r>
                    <w:rPr>
                      <w:rFonts w:ascii="仿宋_GB2312" w:hAnsi="仿宋_GB2312" w:cs="仿宋_GB2312" w:eastAsia="仿宋_GB2312"/>
                      <w:sz w:val="24"/>
                    </w:rPr>
                    <w:t>自动化测量和分析：支持批量选择任务，自动测量、实时显示、自动数据处理、自动分析和评估</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探测器库</w:t>
                  </w:r>
                  <w:r>
                    <w:rPr>
                      <w:rFonts w:ascii="仿宋_GB2312" w:hAnsi="仿宋_GB2312" w:cs="仿宋_GB2312" w:eastAsia="仿宋_GB2312"/>
                      <w:sz w:val="24"/>
                    </w:rPr>
                    <w:t>&amp;辐射单元库：含有探测器库和辐射单元库</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r>
                    <w:rPr>
                      <w:rFonts w:ascii="仿宋_GB2312" w:hAnsi="仿宋_GB2312" w:cs="仿宋_GB2312" w:eastAsia="仿宋_GB2312"/>
                      <w:sz w:val="24"/>
                    </w:rPr>
                    <w:t>.</w:t>
                  </w:r>
                  <w:r>
                    <w:rPr>
                      <w:rFonts w:ascii="仿宋_GB2312" w:hAnsi="仿宋_GB2312" w:cs="仿宋_GB2312" w:eastAsia="仿宋_GB2312"/>
                      <w:sz w:val="24"/>
                    </w:rPr>
                    <w:t>测量数据的对比：支持不同时间测量数据的对比</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r>
                    <w:rPr>
                      <w:rFonts w:ascii="仿宋_GB2312" w:hAnsi="仿宋_GB2312" w:cs="仿宋_GB2312" w:eastAsia="仿宋_GB2312"/>
                      <w:sz w:val="24"/>
                    </w:rPr>
                    <w:t>.</w:t>
                  </w:r>
                  <w:r>
                    <w:rPr>
                      <w:rFonts w:ascii="仿宋_GB2312" w:hAnsi="仿宋_GB2312" w:cs="仿宋_GB2312" w:eastAsia="仿宋_GB2312"/>
                      <w:sz w:val="24"/>
                    </w:rPr>
                    <w:t>测量数据的合并：支持不同时间测量数据的合并</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PDD计算：支持PDD计算TMR/TPR</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r>
                    <w:rPr>
                      <w:rFonts w:ascii="仿宋_GB2312" w:hAnsi="仿宋_GB2312" w:cs="仿宋_GB2312" w:eastAsia="仿宋_GB2312"/>
                      <w:sz w:val="24"/>
                    </w:rPr>
                    <w:t>.</w:t>
                  </w:r>
                  <w:r>
                    <w:rPr>
                      <w:rFonts w:ascii="仿宋_GB2312" w:hAnsi="仿宋_GB2312" w:cs="仿宋_GB2312" w:eastAsia="仿宋_GB2312"/>
                      <w:sz w:val="24"/>
                    </w:rPr>
                    <w:t>保修及其他：因设备主要用于直线加速器的全面年检，无需用于治疗计划系统（</w:t>
                  </w:r>
                  <w:r>
                    <w:rPr>
                      <w:rFonts w:ascii="仿宋_GB2312" w:hAnsi="仿宋_GB2312" w:cs="仿宋_GB2312" w:eastAsia="仿宋_GB2312"/>
                      <w:sz w:val="24"/>
                    </w:rPr>
                    <w:t>TPS）的初始建模。在保修期内如果加速器发生重大维修，需要重新建模的，供货商应当免费提供建模服务</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配置系统操作</w:t>
                  </w:r>
                  <w:r>
                    <w:rPr>
                      <w:rFonts w:ascii="仿宋_GB2312" w:hAnsi="仿宋_GB2312" w:cs="仿宋_GB2312" w:eastAsia="仿宋_GB2312"/>
                      <w:sz w:val="24"/>
                    </w:rPr>
                    <w:t>移动终端</w:t>
                  </w:r>
                  <w:r>
                    <w:rPr>
                      <w:rFonts w:ascii="仿宋_GB2312" w:hAnsi="仿宋_GB2312" w:cs="仿宋_GB2312" w:eastAsia="仿宋_GB2312"/>
                      <w:sz w:val="24"/>
                    </w:rPr>
                    <w:t>配置</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CPU：≥i5处理器</w:t>
                  </w:r>
                </w:p>
                <w:p>
                  <w:pPr>
                    <w:pStyle w:val="null3"/>
                    <w:jc w:val="both"/>
                  </w:pPr>
                  <w:r>
                    <w:rPr>
                      <w:rFonts w:ascii="仿宋_GB2312" w:hAnsi="仿宋_GB2312" w:cs="仿宋_GB2312" w:eastAsia="仿宋_GB2312"/>
                      <w:sz w:val="24"/>
                    </w:rPr>
                    <w:t>内存：</w:t>
                  </w:r>
                  <w:r>
                    <w:rPr>
                      <w:rFonts w:ascii="仿宋_GB2312" w:hAnsi="仿宋_GB2312" w:cs="仿宋_GB2312" w:eastAsia="仿宋_GB2312"/>
                      <w:sz w:val="24"/>
                    </w:rPr>
                    <w:t>≥16G</w:t>
                  </w:r>
                </w:p>
                <w:p>
                  <w:pPr>
                    <w:pStyle w:val="null3"/>
                    <w:jc w:val="both"/>
                  </w:pPr>
                  <w:r>
                    <w:rPr>
                      <w:rFonts w:ascii="仿宋_GB2312" w:hAnsi="仿宋_GB2312" w:cs="仿宋_GB2312" w:eastAsia="仿宋_GB2312"/>
                      <w:sz w:val="24"/>
                    </w:rPr>
                    <w:t>硬盘：</w:t>
                  </w:r>
                  <w:r>
                    <w:rPr>
                      <w:rFonts w:ascii="仿宋_GB2312" w:hAnsi="仿宋_GB2312" w:cs="仿宋_GB2312" w:eastAsia="仿宋_GB2312"/>
                      <w:sz w:val="24"/>
                    </w:rPr>
                    <w:t>≥1TB</w:t>
                  </w:r>
                </w:p>
                <w:p>
                  <w:pPr>
                    <w:pStyle w:val="null3"/>
                    <w:jc w:val="both"/>
                  </w:pPr>
                  <w:r>
                    <w:rPr>
                      <w:rFonts w:ascii="仿宋_GB2312" w:hAnsi="仿宋_GB2312" w:cs="仿宋_GB2312" w:eastAsia="仿宋_GB2312"/>
                      <w:sz w:val="24"/>
                    </w:rPr>
                    <w:t>鼠标：配备</w:t>
                  </w:r>
                </w:p>
                <w:p>
                  <w:pPr>
                    <w:pStyle w:val="null3"/>
                    <w:spacing w:after="120"/>
                    <w:jc w:val="both"/>
                  </w:pPr>
                  <w:r>
                    <w:rPr>
                      <w:rFonts w:ascii="仿宋_GB2312" w:hAnsi="仿宋_GB2312" w:cs="仿宋_GB2312" w:eastAsia="仿宋_GB2312"/>
                      <w:sz w:val="24"/>
                    </w:rPr>
                    <w:t>操作系统：</w:t>
                  </w:r>
                  <w:r>
                    <w:rPr>
                      <w:rFonts w:ascii="仿宋_GB2312" w:hAnsi="仿宋_GB2312" w:cs="仿宋_GB2312" w:eastAsia="仿宋_GB2312"/>
                      <w:sz w:val="24"/>
                    </w:rPr>
                    <w:t>Windows10 ，64位</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w:t>
                  </w:r>
                  <w:r>
                    <w:rPr>
                      <w:rFonts w:ascii="仿宋_GB2312" w:hAnsi="仿宋_GB2312" w:cs="仿宋_GB2312" w:eastAsia="仿宋_GB2312"/>
                      <w:sz w:val="24"/>
                    </w:rPr>
                    <w:t>运转台车</w:t>
                  </w:r>
                  <w:r>
                    <w:rPr>
                      <w:rFonts w:ascii="仿宋_GB2312" w:hAnsi="仿宋_GB2312" w:cs="仿宋_GB2312" w:eastAsia="仿宋_GB2312"/>
                      <w:sz w:val="24"/>
                    </w:rPr>
                    <w:t>：</w:t>
                  </w:r>
                  <w:r>
                    <w:rPr>
                      <w:rFonts w:ascii="仿宋_GB2312" w:hAnsi="仿宋_GB2312" w:cs="仿宋_GB2312" w:eastAsia="仿宋_GB2312"/>
                      <w:sz w:val="24"/>
                      <w:color w:val="000000"/>
                    </w:rPr>
                    <w:t>1辆</w:t>
                  </w:r>
                  <w:r>
                    <w:rPr>
                      <w:rFonts w:ascii="仿宋_GB2312" w:hAnsi="仿宋_GB2312" w:cs="仿宋_GB2312" w:eastAsia="仿宋_GB2312"/>
                      <w:sz w:val="24"/>
                      <w:color w:val="000000"/>
                    </w:rPr>
                    <w:t>。</w:t>
                  </w:r>
                </w:p>
              </w:tc>
            </w:tr>
          </w:tbl>
          <w:p>
            <w:pPr>
              <w:pStyle w:val="null3"/>
              <w:jc w:val="center"/>
            </w:pPr>
            <w:r>
              <w:rPr>
                <w:rFonts w:ascii="仿宋_GB2312" w:hAnsi="仿宋_GB2312" w:cs="仿宋_GB2312" w:eastAsia="仿宋_GB2312"/>
                <w:sz w:val="24"/>
                <w:b/>
              </w:rPr>
              <w:t>（三）全身集成定位架技术参数</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全身集成定位架（含</w:t>
                  </w:r>
                  <w:r>
                    <w:rPr>
                      <w:rFonts w:ascii="仿宋_GB2312" w:hAnsi="仿宋_GB2312" w:cs="仿宋_GB2312" w:eastAsia="仿宋_GB2312"/>
                      <w:sz w:val="24"/>
                      <w:b/>
                    </w:rPr>
                    <w:t>SBRT定位功能）</w:t>
                  </w:r>
                  <w:r>
                    <w:rPr>
                      <w:rFonts w:ascii="仿宋_GB2312" w:hAnsi="仿宋_GB2312" w:cs="仿宋_GB2312" w:eastAsia="仿宋_GB2312"/>
                      <w:sz w:val="24"/>
                      <w:b/>
                    </w:rPr>
                    <w:t>：</w:t>
                  </w:r>
                  <w:r>
                    <w:rPr>
                      <w:rFonts w:ascii="仿宋_GB2312" w:hAnsi="仿宋_GB2312" w:cs="仿宋_GB2312" w:eastAsia="仿宋_GB2312"/>
                      <w:sz w:val="24"/>
                    </w:rPr>
                    <w:t>全碳纤维材质，模块化结构。由全身集成定位架、举臂支架、下肢延长板、呼吸控制弓形尺、脚垫及膝垫组成。可实现所有调强放疗体位固定及</w:t>
                  </w:r>
                  <w:r>
                    <w:rPr>
                      <w:rFonts w:ascii="仿宋_GB2312" w:hAnsi="仿宋_GB2312" w:cs="仿宋_GB2312" w:eastAsia="仿宋_GB2312"/>
                      <w:sz w:val="24"/>
                    </w:rPr>
                    <w:t>SBRT体位固定。体板主板长度：190-220cm,宽度：60-63cm, 厚度：2-5cm；重量</w:t>
                  </w:r>
                  <w:r>
                    <w:rPr>
                      <w:rFonts w:ascii="仿宋_GB2312" w:hAnsi="仿宋_GB2312" w:cs="仿宋_GB2312" w:eastAsia="仿宋_GB2312"/>
                      <w:sz w:val="24"/>
                    </w:rPr>
                    <w:t>£</w:t>
                  </w:r>
                  <w:r>
                    <w:rPr>
                      <w:rFonts w:ascii="仿宋_GB2312" w:hAnsi="仿宋_GB2312" w:cs="仿宋_GB2312" w:eastAsia="仿宋_GB2312"/>
                      <w:sz w:val="24"/>
                    </w:rPr>
                    <w:t>10KG。适配用户的医科达Infinity直线加速器和飞利浦大孔径CT的床面。</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SRS定位架</w:t>
                  </w:r>
                  <w:r>
                    <w:rPr>
                      <w:rFonts w:ascii="仿宋_GB2312" w:hAnsi="仿宋_GB2312" w:cs="仿宋_GB2312" w:eastAsia="仿宋_GB2312"/>
                      <w:sz w:val="24"/>
                      <w:b/>
                    </w:rPr>
                    <w:t>：</w:t>
                  </w:r>
                  <w:r>
                    <w:rPr>
                      <w:rFonts w:ascii="仿宋_GB2312" w:hAnsi="仿宋_GB2312" w:cs="仿宋_GB2312" w:eastAsia="仿宋_GB2312"/>
                      <w:sz w:val="24"/>
                    </w:rPr>
                    <w:t>使用双层面膜或水活化垫将头部包裹固定。使头部在</w:t>
                  </w:r>
                  <w:r>
                    <w:rPr>
                      <w:rFonts w:ascii="仿宋_GB2312" w:hAnsi="仿宋_GB2312" w:cs="仿宋_GB2312" w:eastAsia="仿宋_GB2312"/>
                      <w:sz w:val="24"/>
                    </w:rPr>
                    <w:t>X，Y及Z轴方向都能得到可定靠固定，</w:t>
                  </w:r>
                  <w:r>
                    <w:rPr>
                      <w:rFonts w:ascii="仿宋_GB2312" w:hAnsi="仿宋_GB2312" w:cs="仿宋_GB2312" w:eastAsia="仿宋_GB2312"/>
                      <w:sz w:val="24"/>
                    </w:rPr>
                    <w:t>可</w:t>
                  </w:r>
                  <w:r>
                    <w:rPr>
                      <w:rFonts w:ascii="仿宋_GB2312" w:hAnsi="仿宋_GB2312" w:cs="仿宋_GB2312" w:eastAsia="仿宋_GB2312"/>
                      <w:sz w:val="24"/>
                    </w:rPr>
                    <w:t>配合使用牙托。</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人体定位垫</w:t>
                  </w:r>
                  <w:r>
                    <w:rPr>
                      <w:rFonts w:ascii="仿宋_GB2312" w:hAnsi="仿宋_GB2312" w:cs="仿宋_GB2312" w:eastAsia="仿宋_GB2312"/>
                      <w:sz w:val="24"/>
                      <w:b/>
                    </w:rPr>
                    <w:t>：</w:t>
                  </w:r>
                  <w:r>
                    <w:rPr>
                      <w:rFonts w:ascii="仿宋_GB2312" w:hAnsi="仿宋_GB2312" w:cs="仿宋_GB2312" w:eastAsia="仿宋_GB2312"/>
                      <w:sz w:val="24"/>
                    </w:rPr>
                    <w:t>真空垫</w:t>
                  </w:r>
                  <w:r>
                    <w:rPr>
                      <w:rFonts w:ascii="仿宋_GB2312" w:hAnsi="仿宋_GB2312" w:cs="仿宋_GB2312" w:eastAsia="仿宋_GB2312"/>
                      <w:sz w:val="24"/>
                    </w:rPr>
                    <w:t>，</w:t>
                  </w:r>
                  <w:r>
                    <w:rPr>
                      <w:rFonts w:ascii="仿宋_GB2312" w:hAnsi="仿宋_GB2312" w:cs="仿宋_GB2312" w:eastAsia="仿宋_GB2312"/>
                      <w:sz w:val="24"/>
                    </w:rPr>
                    <w:t>自动密封。标准规格</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120*80*4cm,填充量:</w:t>
                  </w:r>
                  <w:r>
                    <w:rPr>
                      <w:rFonts w:ascii="仿宋_GB2312" w:hAnsi="仿宋_GB2312" w:cs="仿宋_GB2312" w:eastAsia="仿宋_GB2312"/>
                      <w:sz w:val="24"/>
                    </w:rPr>
                    <w:t>≥</w:t>
                  </w:r>
                  <w:r>
                    <w:rPr>
                      <w:rFonts w:ascii="仿宋_GB2312" w:hAnsi="仿宋_GB2312" w:cs="仿宋_GB2312" w:eastAsia="仿宋_GB2312"/>
                      <w:sz w:val="24"/>
                    </w:rPr>
                    <w:t>35L</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人体定位垫</w:t>
                  </w:r>
                  <w:r>
                    <w:rPr>
                      <w:rFonts w:ascii="仿宋_GB2312" w:hAnsi="仿宋_GB2312" w:cs="仿宋_GB2312" w:eastAsia="仿宋_GB2312"/>
                      <w:sz w:val="24"/>
                      <w:b/>
                    </w:rPr>
                    <w:t>：</w:t>
                  </w:r>
                  <w:r>
                    <w:rPr>
                      <w:rFonts w:ascii="仿宋_GB2312" w:hAnsi="仿宋_GB2312" w:cs="仿宋_GB2312" w:eastAsia="仿宋_GB2312"/>
                      <w:sz w:val="24"/>
                    </w:rPr>
                    <w:t>真空垫</w:t>
                  </w:r>
                  <w:r>
                    <w:rPr>
                      <w:rFonts w:ascii="仿宋_GB2312" w:hAnsi="仿宋_GB2312" w:cs="仿宋_GB2312" w:eastAsia="仿宋_GB2312"/>
                      <w:sz w:val="24"/>
                    </w:rPr>
                    <w:t>，</w:t>
                  </w:r>
                  <w:r>
                    <w:rPr>
                      <w:rFonts w:ascii="仿宋_GB2312" w:hAnsi="仿宋_GB2312" w:cs="仿宋_GB2312" w:eastAsia="仿宋_GB2312"/>
                      <w:sz w:val="24"/>
                    </w:rPr>
                    <w:t>自动密封。规格：</w:t>
                  </w:r>
                  <w:r>
                    <w:rPr>
                      <w:rFonts w:ascii="仿宋_GB2312" w:hAnsi="仿宋_GB2312" w:cs="仿宋_GB2312" w:eastAsia="仿宋_GB2312"/>
                      <w:sz w:val="24"/>
                    </w:rPr>
                    <w:t>≥</w:t>
                  </w:r>
                  <w:r>
                    <w:rPr>
                      <w:rFonts w:ascii="仿宋_GB2312" w:hAnsi="仿宋_GB2312" w:cs="仿宋_GB2312" w:eastAsia="仿宋_GB2312"/>
                      <w:sz w:val="24"/>
                    </w:rPr>
                    <w:t>100*150cm*4cm定制，主要做乳腺和SBRT用</w:t>
                  </w:r>
                  <w:r>
                    <w:rPr>
                      <w:rFonts w:ascii="仿宋_GB2312" w:hAnsi="仿宋_GB2312" w:cs="仿宋_GB2312" w:eastAsia="仿宋_GB2312"/>
                      <w:sz w:val="24"/>
                    </w:rPr>
                    <w:t>，</w:t>
                  </w:r>
                  <w:r>
                    <w:rPr>
                      <w:rFonts w:ascii="仿宋_GB2312" w:hAnsi="仿宋_GB2312" w:cs="仿宋_GB2312" w:eastAsia="仿宋_GB2312"/>
                      <w:sz w:val="24"/>
                    </w:rPr>
                    <w:t>填充量</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60L</w:t>
                  </w:r>
                  <w:r>
                    <w:rPr>
                      <w:rFonts w:ascii="仿宋_GB2312" w:hAnsi="仿宋_GB2312" w:cs="仿宋_GB2312" w:eastAsia="仿宋_GB2312"/>
                      <w:sz w:val="24"/>
                    </w:rPr>
                    <w:t>。</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5.</w:t>
                  </w:r>
                  <w:r>
                    <w:rPr>
                      <w:rFonts w:ascii="仿宋_GB2312" w:hAnsi="仿宋_GB2312" w:cs="仿宋_GB2312" w:eastAsia="仿宋_GB2312"/>
                      <w:sz w:val="24"/>
                      <w:b/>
                    </w:rPr>
                    <w:t>头肩膜</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厚，</w:t>
                  </w:r>
                  <w:r>
                    <w:rPr>
                      <w:rFonts w:ascii="仿宋_GB2312" w:hAnsi="仿宋_GB2312" w:cs="仿宋_GB2312" w:eastAsia="仿宋_GB2312"/>
                      <w:sz w:val="24"/>
                    </w:rPr>
                    <w:t>≤40</w:t>
                  </w:r>
                  <w:r>
                    <w:rPr>
                      <w:rFonts w:ascii="仿宋_GB2312" w:hAnsi="仿宋_GB2312" w:cs="仿宋_GB2312" w:eastAsia="仿宋_GB2312"/>
                      <w:sz w:val="24"/>
                    </w:rPr>
                    <w:t>％网眼，尺寸：</w:t>
                  </w:r>
                  <w:r>
                    <w:rPr>
                      <w:rFonts w:ascii="仿宋_GB2312" w:hAnsi="仿宋_GB2312" w:cs="仿宋_GB2312" w:eastAsia="仿宋_GB2312"/>
                      <w:sz w:val="24"/>
                    </w:rPr>
                    <w:t>5</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540</w:t>
                  </w:r>
                  <w:r>
                    <w:rPr>
                      <w:rFonts w:ascii="仿宋_GB2312" w:hAnsi="仿宋_GB2312" w:cs="仿宋_GB2312" w:eastAsia="仿宋_GB2312"/>
                      <w:sz w:val="24"/>
                    </w:rPr>
                    <w:t>mm</w:t>
                  </w:r>
                  <w:r>
                    <w:rPr>
                      <w:rFonts w:ascii="仿宋_GB2312" w:hAnsi="仿宋_GB2312" w:cs="仿宋_GB2312" w:eastAsia="仿宋_GB2312"/>
                      <w:sz w:val="24"/>
                    </w:rPr>
                    <w:t>±10</w:t>
                  </w:r>
                  <w:r>
                    <w:rPr>
                      <w:rFonts w:ascii="仿宋_GB2312" w:hAnsi="仿宋_GB2312" w:cs="仿宋_GB2312" w:eastAsia="仿宋_GB2312"/>
                      <w:sz w:val="24"/>
                    </w:rPr>
                    <w:t>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6.</w:t>
                  </w:r>
                  <w:r>
                    <w:rPr>
                      <w:rFonts w:ascii="仿宋_GB2312" w:hAnsi="仿宋_GB2312" w:cs="仿宋_GB2312" w:eastAsia="仿宋_GB2312"/>
                      <w:sz w:val="24"/>
                      <w:b/>
                    </w:rPr>
                    <w:t>颈胸膜</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厚，</w:t>
                  </w:r>
                  <w:r>
                    <w:rPr>
                      <w:rFonts w:ascii="仿宋_GB2312" w:hAnsi="仿宋_GB2312" w:cs="仿宋_GB2312" w:eastAsia="仿宋_GB2312"/>
                      <w:sz w:val="24"/>
                    </w:rPr>
                    <w:t>≤40</w:t>
                  </w:r>
                  <w:r>
                    <w:rPr>
                      <w:rFonts w:ascii="仿宋_GB2312" w:hAnsi="仿宋_GB2312" w:cs="仿宋_GB2312" w:eastAsia="仿宋_GB2312"/>
                      <w:sz w:val="24"/>
                    </w:rPr>
                    <w:t>％网眼，尺寸：</w:t>
                  </w:r>
                  <w:r>
                    <w:rPr>
                      <w:rFonts w:ascii="仿宋_GB2312" w:hAnsi="仿宋_GB2312" w:cs="仿宋_GB2312" w:eastAsia="仿宋_GB2312"/>
                      <w:sz w:val="24"/>
                    </w:rPr>
                    <w:t>560*460mm</w:t>
                  </w:r>
                  <w:r>
                    <w:rPr>
                      <w:rFonts w:ascii="仿宋_GB2312" w:hAnsi="仿宋_GB2312" w:cs="仿宋_GB2312" w:eastAsia="仿宋_GB2312"/>
                      <w:sz w:val="24"/>
                    </w:rPr>
                    <w:t>±10</w:t>
                  </w:r>
                  <w:r>
                    <w:rPr>
                      <w:rFonts w:ascii="仿宋_GB2312" w:hAnsi="仿宋_GB2312" w:cs="仿宋_GB2312" w:eastAsia="仿宋_GB2312"/>
                      <w:sz w:val="24"/>
                    </w:rPr>
                    <w:t>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7.</w:t>
                  </w:r>
                  <w:r>
                    <w:rPr>
                      <w:rFonts w:ascii="仿宋_GB2312" w:hAnsi="仿宋_GB2312" w:cs="仿宋_GB2312" w:eastAsia="仿宋_GB2312"/>
                      <w:sz w:val="24"/>
                      <w:b/>
                    </w:rPr>
                    <w:t>两边条体膜</w:t>
                  </w:r>
                  <w:r>
                    <w:rPr>
                      <w:rFonts w:ascii="仿宋_GB2312" w:hAnsi="仿宋_GB2312" w:cs="仿宋_GB2312" w:eastAsia="仿宋_GB2312"/>
                      <w:sz w:val="24"/>
                      <w:b/>
                    </w:rPr>
                    <w:t>：</w:t>
                  </w:r>
                  <w:r>
                    <w:rPr>
                      <w:rFonts w:ascii="仿宋_GB2312" w:hAnsi="仿宋_GB2312" w:cs="仿宋_GB2312" w:eastAsia="仿宋_GB2312"/>
                      <w:sz w:val="24"/>
                      <w:b/>
                    </w:rPr>
                    <w:t>≤</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厚，</w:t>
                  </w:r>
                  <w:r>
                    <w:rPr>
                      <w:rFonts w:ascii="仿宋_GB2312" w:hAnsi="仿宋_GB2312" w:cs="仿宋_GB2312" w:eastAsia="仿宋_GB2312"/>
                      <w:sz w:val="24"/>
                    </w:rPr>
                    <w:t>≤40</w:t>
                  </w:r>
                  <w:r>
                    <w:rPr>
                      <w:rFonts w:ascii="仿宋_GB2312" w:hAnsi="仿宋_GB2312" w:cs="仿宋_GB2312" w:eastAsia="仿宋_GB2312"/>
                      <w:sz w:val="24"/>
                    </w:rPr>
                    <w:t>％网眼，尺寸：</w:t>
                  </w:r>
                  <w:r>
                    <w:rPr>
                      <w:rFonts w:ascii="仿宋_GB2312" w:hAnsi="仿宋_GB2312" w:cs="仿宋_GB2312" w:eastAsia="仿宋_GB2312"/>
                      <w:sz w:val="24"/>
                    </w:rPr>
                    <w:t>560*460mm</w:t>
                  </w:r>
                  <w:r>
                    <w:rPr>
                      <w:rFonts w:ascii="仿宋_GB2312" w:hAnsi="仿宋_GB2312" w:cs="仿宋_GB2312" w:eastAsia="仿宋_GB2312"/>
                      <w:sz w:val="24"/>
                    </w:rPr>
                    <w:t>±10</w:t>
                  </w:r>
                  <w:r>
                    <w:rPr>
                      <w:rFonts w:ascii="仿宋_GB2312" w:hAnsi="仿宋_GB2312" w:cs="仿宋_GB2312" w:eastAsia="仿宋_GB2312"/>
                      <w:sz w:val="24"/>
                    </w:rPr>
                    <w:t>mm。</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8.配置</w:t>
                  </w:r>
                  <w:r>
                    <w:rPr>
                      <w:rFonts w:ascii="仿宋_GB2312" w:hAnsi="仿宋_GB2312" w:cs="仿宋_GB2312" w:eastAsia="仿宋_GB2312"/>
                      <w:sz w:val="24"/>
                      <w:b/>
                    </w:rPr>
                    <w:t>要求</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1554"/>
                    <w:gridCol w:w="398"/>
                    <w:gridCol w:w="385"/>
                  </w:tblGrid>
                  <w:tr>
                    <w:tc>
                      <w:tcPr>
                        <w:tcW w:type="dxa" w:w="1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3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全身集成定位架（含</w:t>
                        </w:r>
                        <w:r>
                          <w:rPr>
                            <w:rFonts w:ascii="仿宋_GB2312" w:hAnsi="仿宋_GB2312" w:cs="仿宋_GB2312" w:eastAsia="仿宋_GB2312"/>
                            <w:sz w:val="24"/>
                          </w:rPr>
                          <w:t>SBRT定位功能）</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SRS定位架</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人体定位垫</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人体定位垫</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头肩膜</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颈胸膜</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r>
                    <w:tc>
                      <w:tcPr>
                        <w:tcW w:type="dxa" w:w="1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两边条体膜</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c>
                      <w:tcPr>
                        <w:tcW w:type="dxa" w:w="3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r>
                </w:tbl>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自合同签订之日起45个日历日内交货。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进度款，设备安装完成验收合格一个月后，付款前乙方须向甲方提交设备运行报告及甲方使用科室出具的书面确认意见，达到付款条件起15个工作日内，支付合同总金额的35.0%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完成投产质量验收合格且临床稳定运行满6个月，无未解决的重大质量问题后，付款前乙方须向甲方提交设备运行报告及甲方使用科室出具的书面确认意见，达到付款条件起15个工作日内，支付合同总金额的35.0%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完成投产质量验收合格且临床稳定运行满12个月，确认设备性能指标持续达标后，付款前乙方须向甲方提交设备运行报告及甲方使用科室出具的书面确认意见，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按照国家行业现行验收规范执行。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详见签订后采购合同。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具有独立承担民事责任能力的法人或非法人组织或自然人，提供合法有效的统一社会信用代码的营业执照等证明文件；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提供法定代表人授权委托书及被授权人身份证（投标人为法定代表人时，须提交法定代表人证明书）；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投标人为经销商的应出具医疗器械经营许可证或二类医疗器械备案凭证（投标产品须在其生产范围内）、投标产品属于医疗器械管理的提供医疗器械注册证；投标人为制造厂家的应出具医疗器械生产许可证（投标产品须在其生产范围内）、投标产品属于医疗器械管理的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截止响应文件递交截止时间之前，供应商不得在“信用中国” 网站（ww w.creditchina.gov.cn）中被列入失信被执行人、重大税收违法失信主体名单、“ 中国政府采购网(www.ccgp.gov.cn)” 未被列入政府采购严重违法失信行为记录名单。</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评审委员会认为供应商的报价明显低于其他通过符合性审查供应商的报价，有可能影响产品质量或者不能诚信履约的，评审委员会应当要求其在合理的时间内在项目电子化交易系统中上传说明材料，必要时提交相关证明材料。2.异常低价审查 2.1评审中出现下列情形之一的，评审委员会应当启动异常低价投标审查程序：（1）投标报价低于全部通过符合性审查供应商投标报价平均值50%的，即投标报价&lt;全部通过符合性审查供应商投标报价平均值×50%；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3.投标人提交的相关说明和证明材料，应当加盖投标人（法定名称）电子印章，在评标委员会要求的时间内通过项目电子化交易系统进行提交，否则提交的相关证明材料无效。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投标人应提交的相关资格证明材料 投标人参加采购活动承诺书.docx 节能产品、环境标志产品证明材料.docx 投标分项报价表.docx 投标函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（1）投标报价符合唯一性要求；（2）报价表填写符合要求；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按照采购项目全部商务要求及其他要求逐条响应，且不可负偏离，否则视为无效投标。</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投标人应提交的相关资格证明材料 投标人参加采购活动承诺书.docx 节能产品、环境标志产品证明材料.docx 投标分项报价表.docx 投标函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本国产品说明 中小企业声明函 中国境内生产的组件成本核算基本规则 资格证明文件.docx 投标人应提交的相关资格证明材料 投标人参加采购活动承诺书.docx 节能产品、环境标志产品证明材料.docx 投标分项报价表.docx 投标函 残疾人福利性单位声明函 标的清单 关于符合本国产品标准的声明函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投标产品技术指标及功能评审内容</w:t>
            </w:r>
          </w:p>
        </w:tc>
        <w:tc>
          <w:tcPr>
            <w:tcW w:type="dxa" w:w="2492"/>
          </w:tcPr>
          <w:p>
            <w:pPr>
              <w:pStyle w:val="null3"/>
            </w:pPr>
            <w:r>
              <w:rPr>
                <w:rFonts w:ascii="仿宋_GB2312" w:hAnsi="仿宋_GB2312" w:cs="仿宋_GB2312" w:eastAsia="仿宋_GB2312"/>
              </w:rPr>
              <w:t>依据各投标人响应的投标产品参数要求等情况进行评审：满足全部参数要求的计36分；标注“▲”项为关键参数，每一项负偏离扣3分，其他每一项负偏离扣2分，扣完为止。 备注：提供佐证材料（包括但不限于产品技术说明书、国家认可的第三方检测报告、产品官方网站截图等相关证明材料）予以证明参数的技术响应性，并标明在投标文件中的具体页码，若不提供材料或提供虚假参数及模糊不清无法辨认，未标注页码的，按负偏离处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提供产品来源渠道证明文件，包括但不限于销售协议、代理协议、原厂授权等，每提供一个产品证明材料，材料齐全且内容完全说明其渠道来源的得1分，共计3分，未提供不得分。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针对本项目所投设备选型合理、功能齐全，设备技术先进，①配置齐全完全满足采购需求（详细的配置清单）；②提供产品备品备件价目表，并承诺质保期后的维修仍然按照备品备件表内价格收取费用。 每项满分2分，缺项不得分，每有一处内容存在缺陷，扣1分，扣完为止。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提供完整可⾏有针对性的实施⽅案，包含：①供货⽅案及保证措施；②技术⽀持⽅案；③安装调试⽅案；④验收⽅案。 方案各项内容全面详细、阐述条理清晰详尽、符合本项目采购需求，能有效保障本项目实施。 每项满分2分，缺项不得分，每有一处内容存在缺陷，扣1分，扣完为止。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售后及培训方案</w:t>
            </w:r>
          </w:p>
        </w:tc>
        <w:tc>
          <w:tcPr>
            <w:tcW w:type="dxa" w:w="2492"/>
          </w:tcPr>
          <w:p>
            <w:pPr>
              <w:pStyle w:val="null3"/>
            </w:pPr>
            <w:r>
              <w:rPr>
                <w:rFonts w:ascii="仿宋_GB2312" w:hAnsi="仿宋_GB2312" w:cs="仿宋_GB2312" w:eastAsia="仿宋_GB2312"/>
              </w:rPr>
              <w:t>内容包括：①售后服务范围及保障措施；②应急保障方案；③项目交付采购人后出现故障的响应时间、处理方式、补救措施；④培训方案； 售后服务方案各项内容全面详细、阐述条理清晰、针对性、可实施性强，能够向采购人提供专业的售后服务。 每项满分2分，缺项不得分，每有一处内容存在缺陷，扣1分，扣完为止。 （缺陷是指内容缺项、不完整或缺少关键点、只有简单描述⽆实质性内容；⾮专⻔针对本项⽬或不适⽤本项⽬特性、套⽤其他项⽬内容；对同⼀问题前后表述⽭盾；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提供所投核心产品2023年6月1日至今项目业绩，投标文件中附有其业绩证明材料，业绩以完整合同复印件为依据，每提供一个计1分，满分10分。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详见附件：投标人参加采购活动承诺书.docx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详见附件：节能产品、环境标志产品证明材料.docx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