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12332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陕西华电宜川100MW林光互补及150MW农光互补光伏发电项目光伏方阵用地光伏板投影面积测绘核实服务采购项目</w:t>
      </w:r>
    </w:p>
    <w:p w14:paraId="1EA3E36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采购</w:t>
      </w:r>
      <w:r>
        <w:rPr>
          <w:rFonts w:hint="eastAsia" w:ascii="宋体" w:hAnsi="宋体" w:eastAsia="宋体" w:cs="宋体"/>
          <w:b/>
          <w:color w:val="auto"/>
          <w:kern w:val="2"/>
          <w:sz w:val="24"/>
          <w:szCs w:val="24"/>
          <w:highlight w:val="none"/>
          <w:lang w:val="en-US" w:eastAsia="zh-CN" w:bidi="ar-SA"/>
        </w:rPr>
        <w:t>需求</w:t>
      </w:r>
    </w:p>
    <w:p w14:paraId="4E6B8FB0">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宋体" w:hAnsi="宋体" w:eastAsia="宋体" w:cs="宋体"/>
          <w:b/>
          <w:bCs/>
          <w:i w:val="0"/>
          <w:iCs w:val="0"/>
          <w:caps w:val="0"/>
          <w:color w:val="auto"/>
          <w:spacing w:val="0"/>
          <w:kern w:val="2"/>
          <w:sz w:val="24"/>
          <w:szCs w:val="24"/>
          <w:highlight w:val="none"/>
          <w:shd w:val="clear" w:color="auto" w:fill="FFFFFF"/>
          <w:lang w:val="en-US" w:eastAsia="zh-CN" w:bidi="ar-SA"/>
        </w:rPr>
      </w:pPr>
      <w:r>
        <w:rPr>
          <w:rFonts w:hint="eastAsia" w:ascii="宋体" w:hAnsi="宋体" w:eastAsia="宋体" w:cs="宋体"/>
          <w:b/>
          <w:bCs/>
          <w:i w:val="0"/>
          <w:iCs w:val="0"/>
          <w:caps w:val="0"/>
          <w:color w:val="auto"/>
          <w:spacing w:val="0"/>
          <w:kern w:val="2"/>
          <w:sz w:val="24"/>
          <w:szCs w:val="24"/>
          <w:highlight w:val="none"/>
          <w:shd w:val="clear" w:color="auto" w:fill="FFFFFF"/>
          <w:lang w:val="en-US" w:eastAsia="zh-CN" w:bidi="ar-SA"/>
        </w:rPr>
        <w:t>一、采购内容</w:t>
      </w:r>
    </w:p>
    <w:p w14:paraId="02D0ACF6">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left"/>
        <w:textAlignment w:val="auto"/>
        <w:rPr>
          <w:rFonts w:hint="eastAsia" w:ascii="Times New Roman" w:hAnsi="Times New Roman" w:eastAsia="宋体" w:cs="Times New Roman"/>
          <w:bCs/>
          <w:color w:val="auto"/>
          <w:kern w:val="2"/>
          <w:sz w:val="24"/>
          <w:szCs w:val="20"/>
          <w:highlight w:val="none"/>
          <w:lang w:val="en-US" w:eastAsia="zh-CN" w:bidi="ar-SA"/>
        </w:rPr>
      </w:pPr>
      <w:r>
        <w:rPr>
          <w:rFonts w:hint="eastAsia" w:ascii="Times New Roman" w:hAnsi="Times New Roman" w:eastAsia="宋体" w:cs="Times New Roman"/>
          <w:bCs/>
          <w:color w:val="auto"/>
          <w:kern w:val="2"/>
          <w:sz w:val="24"/>
          <w:szCs w:val="20"/>
          <w:highlight w:val="none"/>
          <w:lang w:val="en-US" w:eastAsia="zh-CN" w:bidi="ar-SA"/>
        </w:rPr>
        <w:t>按照陕西华电宜100MW林光互补及150MW农光互补光伏发电项目光伏方阵用地光伏板投影面积核实测绘工作的实际情况，并按照要求编制《陕西华电宜100MW林光互补及150MW农光互补光伏发电项目光伏方阵用地光伏板投影面积核实测绘报告》(包括方案文本、图件、表格、矢量数据)，所有的成果经过县自然资源部门审查。</w:t>
      </w:r>
    </w:p>
    <w:p w14:paraId="3DAFD00F">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宋体" w:hAnsi="宋体" w:eastAsia="宋体" w:cs="宋体"/>
          <w:b/>
          <w:bCs/>
          <w:i w:val="0"/>
          <w:iCs w:val="0"/>
          <w:caps w:val="0"/>
          <w:color w:val="auto"/>
          <w:spacing w:val="0"/>
          <w:kern w:val="2"/>
          <w:sz w:val="24"/>
          <w:szCs w:val="24"/>
          <w:highlight w:val="none"/>
          <w:shd w:val="clear" w:color="auto" w:fill="FFFFFF"/>
          <w:lang w:val="en-US" w:eastAsia="zh-CN" w:bidi="ar-SA"/>
        </w:rPr>
      </w:pPr>
      <w:r>
        <w:rPr>
          <w:rFonts w:hint="eastAsia" w:ascii="宋体" w:hAnsi="宋体" w:eastAsia="宋体" w:cs="宋体"/>
          <w:b/>
          <w:bCs/>
          <w:i w:val="0"/>
          <w:iCs w:val="0"/>
          <w:caps w:val="0"/>
          <w:color w:val="auto"/>
          <w:spacing w:val="0"/>
          <w:kern w:val="2"/>
          <w:sz w:val="24"/>
          <w:szCs w:val="24"/>
          <w:highlight w:val="none"/>
          <w:shd w:val="clear" w:color="auto" w:fill="FFFFFF"/>
          <w:lang w:val="en-US" w:eastAsia="zh-CN" w:bidi="ar-SA"/>
        </w:rPr>
        <w:t>二、服务要求</w:t>
      </w:r>
    </w:p>
    <w:p w14:paraId="62C14CA9">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left"/>
        <w:textAlignment w:val="auto"/>
        <w:rPr>
          <w:rFonts w:hint="eastAsia" w:ascii="Times New Roman" w:hAnsi="Times New Roman" w:eastAsia="宋体" w:cs="Times New Roman"/>
          <w:bCs/>
          <w:color w:val="auto"/>
          <w:kern w:val="2"/>
          <w:sz w:val="24"/>
          <w:szCs w:val="20"/>
          <w:highlight w:val="none"/>
          <w:lang w:val="en-US" w:eastAsia="zh-CN" w:bidi="ar-SA"/>
        </w:rPr>
      </w:pPr>
      <w:r>
        <w:rPr>
          <w:rFonts w:hint="eastAsia" w:ascii="Times New Roman" w:hAnsi="Times New Roman" w:eastAsia="宋体" w:cs="Times New Roman"/>
          <w:bCs/>
          <w:color w:val="auto"/>
          <w:kern w:val="2"/>
          <w:sz w:val="24"/>
          <w:szCs w:val="20"/>
          <w:highlight w:val="none"/>
          <w:lang w:val="en-US" w:eastAsia="zh-CN" w:bidi="ar-SA"/>
        </w:rPr>
        <w:t>1、符合政策支持；</w:t>
      </w:r>
    </w:p>
    <w:p w14:paraId="1CAF9E25">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left"/>
        <w:textAlignment w:val="auto"/>
        <w:rPr>
          <w:rFonts w:hint="eastAsia" w:ascii="Times New Roman" w:hAnsi="Times New Roman" w:eastAsia="宋体" w:cs="Times New Roman"/>
          <w:bCs/>
          <w:color w:val="auto"/>
          <w:kern w:val="2"/>
          <w:sz w:val="24"/>
          <w:szCs w:val="20"/>
          <w:highlight w:val="none"/>
          <w:lang w:val="en-US" w:eastAsia="zh-CN" w:bidi="ar-SA"/>
        </w:rPr>
      </w:pPr>
      <w:r>
        <w:rPr>
          <w:rFonts w:hint="eastAsia" w:ascii="Times New Roman" w:hAnsi="Times New Roman" w:eastAsia="宋体" w:cs="Times New Roman"/>
          <w:bCs/>
          <w:color w:val="auto"/>
          <w:kern w:val="2"/>
          <w:sz w:val="24"/>
          <w:szCs w:val="20"/>
          <w:highlight w:val="none"/>
          <w:lang w:val="en-US" w:eastAsia="zh-CN" w:bidi="ar-SA"/>
        </w:rPr>
        <w:t>2、符合宜川经济社会发展总体战略；</w:t>
      </w:r>
    </w:p>
    <w:p w14:paraId="53A8C545">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left"/>
        <w:textAlignment w:val="auto"/>
        <w:rPr>
          <w:rFonts w:hint="eastAsia" w:ascii="Times New Roman" w:hAnsi="Times New Roman" w:eastAsia="宋体" w:cs="Times New Roman"/>
          <w:bCs/>
          <w:color w:val="auto"/>
          <w:kern w:val="2"/>
          <w:sz w:val="24"/>
          <w:szCs w:val="20"/>
          <w:highlight w:val="none"/>
          <w:lang w:val="en-US" w:eastAsia="zh-CN" w:bidi="ar-SA"/>
        </w:rPr>
      </w:pPr>
      <w:r>
        <w:rPr>
          <w:rFonts w:hint="eastAsia" w:ascii="Times New Roman" w:hAnsi="Times New Roman" w:eastAsia="宋体" w:cs="Times New Roman"/>
          <w:bCs/>
          <w:color w:val="auto"/>
          <w:kern w:val="2"/>
          <w:sz w:val="24"/>
          <w:szCs w:val="20"/>
          <w:highlight w:val="none"/>
          <w:lang w:val="en-US" w:eastAsia="zh-CN" w:bidi="ar-SA"/>
        </w:rPr>
        <w:t>3、《延安市市级财政项目预算绩效评价实施办法》；</w:t>
      </w:r>
    </w:p>
    <w:p w14:paraId="5EA9A7B3">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宋体" w:hAnsi="宋体" w:eastAsia="宋体" w:cs="宋体"/>
          <w:b/>
          <w:bCs/>
          <w:i w:val="0"/>
          <w:iCs w:val="0"/>
          <w:caps w:val="0"/>
          <w:color w:val="auto"/>
          <w:spacing w:val="0"/>
          <w:kern w:val="2"/>
          <w:sz w:val="24"/>
          <w:szCs w:val="24"/>
          <w:highlight w:val="none"/>
          <w:shd w:val="clear" w:color="auto" w:fill="FFFFFF"/>
          <w:lang w:val="en-US" w:eastAsia="zh-CN" w:bidi="ar-SA"/>
        </w:rPr>
      </w:pPr>
      <w:r>
        <w:rPr>
          <w:rFonts w:hint="eastAsia" w:ascii="宋体" w:hAnsi="宋体" w:eastAsia="宋体" w:cs="宋体"/>
          <w:b/>
          <w:bCs/>
          <w:i w:val="0"/>
          <w:iCs w:val="0"/>
          <w:caps w:val="0"/>
          <w:color w:val="auto"/>
          <w:spacing w:val="0"/>
          <w:kern w:val="2"/>
          <w:sz w:val="24"/>
          <w:szCs w:val="24"/>
          <w:highlight w:val="none"/>
          <w:shd w:val="clear" w:color="auto" w:fill="FFFFFF"/>
          <w:lang w:val="en-US" w:eastAsia="zh-CN" w:bidi="ar-SA"/>
        </w:rPr>
        <w:t>三、验收步骤</w:t>
      </w:r>
    </w:p>
    <w:p w14:paraId="38E3AFC3">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left"/>
        <w:textAlignment w:val="auto"/>
        <w:rPr>
          <w:rFonts w:hint="eastAsia" w:ascii="Times New Roman" w:hAnsi="Times New Roman" w:eastAsia="宋体" w:cs="Times New Roman"/>
          <w:bCs/>
          <w:color w:val="auto"/>
          <w:kern w:val="2"/>
          <w:sz w:val="24"/>
          <w:szCs w:val="20"/>
          <w:highlight w:val="none"/>
          <w:lang w:val="en-US" w:eastAsia="zh-CN" w:bidi="ar-SA"/>
        </w:rPr>
      </w:pPr>
      <w:r>
        <w:rPr>
          <w:rFonts w:hint="eastAsia" w:ascii="Times New Roman" w:hAnsi="Times New Roman" w:eastAsia="宋体" w:cs="Times New Roman"/>
          <w:bCs/>
          <w:color w:val="auto"/>
          <w:kern w:val="2"/>
          <w:sz w:val="24"/>
          <w:szCs w:val="20"/>
          <w:highlight w:val="none"/>
          <w:lang w:val="en-US" w:eastAsia="zh-CN" w:bidi="ar-SA"/>
        </w:rPr>
        <w:t>技术单位完成数据提交等工作后，将数据等资料提交自然资源局，由自然资源局组织人员按照相关文件要求进行验收。</w:t>
      </w:r>
      <w:bookmarkStart w:id="0" w:name="_GoBack"/>
      <w:bookmarkEnd w:id="0"/>
    </w:p>
    <w:p w14:paraId="4CC83803">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Times New Roman" w:hAnsi="Times New Roman" w:eastAsia="宋体" w:cs="Times New Roman"/>
          <w:bCs/>
          <w:color w:val="auto"/>
          <w:kern w:val="2"/>
          <w:sz w:val="24"/>
          <w:szCs w:val="20"/>
          <w:highlight w:val="none"/>
          <w:lang w:val="en-US" w:eastAsia="zh-CN" w:bidi="ar-SA"/>
        </w:rPr>
      </w:pPr>
      <w:r>
        <w:rPr>
          <w:rFonts w:hint="eastAsia"/>
          <w:b/>
          <w:bCs/>
          <w:color w:val="auto"/>
          <w:sz w:val="24"/>
          <w:highlight w:val="none"/>
          <w:lang w:eastAsia="zh-CN"/>
        </w:rPr>
        <w:t>四</w:t>
      </w:r>
      <w:r>
        <w:rPr>
          <w:rFonts w:hint="eastAsia"/>
          <w:b/>
          <w:bCs/>
          <w:color w:val="auto"/>
          <w:sz w:val="24"/>
          <w:highlight w:val="none"/>
        </w:rPr>
        <w:t>、服务期限：</w:t>
      </w:r>
      <w:r>
        <w:rPr>
          <w:rFonts w:hint="eastAsia" w:ascii="Times New Roman" w:hAnsi="Times New Roman" w:eastAsia="宋体" w:cs="Times New Roman"/>
          <w:bCs/>
          <w:color w:val="auto"/>
          <w:kern w:val="2"/>
          <w:sz w:val="24"/>
          <w:szCs w:val="20"/>
          <w:highlight w:val="none"/>
          <w:lang w:val="en-US" w:eastAsia="zh-CN" w:bidi="ar-SA"/>
        </w:rPr>
        <w:t>自合同签订之日起60日历天。</w:t>
      </w:r>
    </w:p>
    <w:p w14:paraId="7E7449B5">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Times New Roman" w:hAnsi="Times New Roman" w:eastAsia="宋体" w:cs="Times New Roman"/>
          <w:bCs/>
          <w:color w:val="auto"/>
          <w:kern w:val="2"/>
          <w:sz w:val="24"/>
          <w:szCs w:val="20"/>
          <w:highlight w:val="none"/>
          <w:lang w:val="en-US" w:eastAsia="zh-CN" w:bidi="ar-SA"/>
        </w:rPr>
      </w:pPr>
      <w:r>
        <w:rPr>
          <w:rFonts w:hint="eastAsia" w:ascii="Times New Roman" w:hAnsi="Times New Roman" w:eastAsia="宋体" w:cs="Times New Roman"/>
          <w:b/>
          <w:bCs w:val="0"/>
          <w:color w:val="auto"/>
          <w:kern w:val="2"/>
          <w:sz w:val="24"/>
          <w:szCs w:val="20"/>
          <w:highlight w:val="none"/>
          <w:lang w:val="en-US" w:eastAsia="zh-CN" w:bidi="ar-SA"/>
        </w:rPr>
        <w:t>五、质量标准：</w:t>
      </w:r>
      <w:r>
        <w:rPr>
          <w:rFonts w:hint="eastAsia" w:ascii="Times New Roman" w:hAnsi="Times New Roman" w:eastAsia="宋体" w:cs="Times New Roman"/>
          <w:bCs/>
          <w:color w:val="auto"/>
          <w:kern w:val="2"/>
          <w:sz w:val="24"/>
          <w:szCs w:val="20"/>
          <w:highlight w:val="none"/>
          <w:lang w:val="en-US" w:eastAsia="zh-CN" w:bidi="ar-SA"/>
        </w:rPr>
        <w:t>符合国家及行业相关标准。</w:t>
      </w:r>
    </w:p>
    <w:p w14:paraId="37282CD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310AFC"/>
    <w:rsid w:val="03310A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4">
    <w:name w:val="heading 6"/>
    <w:basedOn w:val="1"/>
    <w:next w:val="1"/>
    <w:qFormat/>
    <w:uiPriority w:val="0"/>
    <w:pPr>
      <w:pBdr>
        <w:top w:val="none" w:color="auto" w:sz="0" w:space="0"/>
        <w:left w:val="none" w:color="auto" w:sz="0" w:space="0"/>
        <w:bottom w:val="none" w:color="auto" w:sz="0" w:space="0"/>
        <w:right w:val="none" w:color="auto" w:sz="0" w:space="0"/>
      </w:pBdr>
      <w:spacing w:before="0" w:beforeAutospacing="0" w:after="0" w:afterAutospacing="0" w:line="17" w:lineRule="atLeast"/>
      <w:ind w:left="0" w:right="0"/>
      <w:jc w:val="left"/>
      <w:outlineLvl w:val="5"/>
    </w:pPr>
    <w:rPr>
      <w:rFonts w:hint="eastAsia" w:ascii="宋体" w:hAnsi="宋体" w:eastAsia="宋体" w:cs="宋体"/>
      <w:b/>
      <w:kern w:val="0"/>
      <w:sz w:val="24"/>
      <w:szCs w:val="24"/>
      <w:lang w:val="en-US" w:eastAsia="zh-CN" w:bidi="ar"/>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customStyle="1" w:styleId="2">
    <w:name w:val="正文缩进1"/>
    <w:basedOn w:val="1"/>
    <w:next w:val="1"/>
    <w:qFormat/>
    <w:uiPriority w:val="0"/>
    <w:pPr>
      <w:ind w:firstLine="420" w:firstLineChars="200"/>
    </w:pPr>
    <w:rPr>
      <w:rFonts w:ascii="Times New Roman" w:hAnsi="Times New Roman" w:eastAsia="宋体" w:cs="Times New Roman"/>
    </w:rPr>
  </w:style>
  <w:style w:type="paragraph" w:styleId="5">
    <w:name w:val="Normal (Web)"/>
    <w:basedOn w:val="1"/>
    <w:qFormat/>
    <w:uiPriority w:val="99"/>
    <w:pPr>
      <w:spacing w:before="100" w:beforeAutospacing="1" w:after="100" w:afterAutospacing="1"/>
      <w:ind w:left="0" w:right="0"/>
      <w:jc w:val="left"/>
    </w:pPr>
    <w:rPr>
      <w:kern w:val="0"/>
      <w:sz w:val="24"/>
      <w:lang w:val="en-US" w:eastAsia="zh-CN" w:bidi="ar"/>
    </w:rPr>
  </w:style>
  <w:style w:type="character" w:styleId="8">
    <w:name w:val="Strong"/>
    <w:basedOn w:val="7"/>
    <w:qFormat/>
    <w:uiPriority w:val="0"/>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2026-06-25T13:53:00Z</dcterms:created>
  <dc:creator>陕西七一项目管理有限公司</dc:creator>
  <cp:lastModifiedBy>陕西七一项目管理有限公司</cp:lastModifiedBy>
  <dcterms:modified xsi:type="dcterms:W3CDTF">2026-06-25T14:03:01Z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947BC258FDD24FB7A7578CBC632C3F11_11</vt:lpwstr>
  </property>
  <property fmtid="{D5CDD505-2E9C-101B-9397-08002B2CF9AE}" pid="4" name="KSOTemplateDocerSaveRecord">
    <vt:lpwstr>eyJoZGlkIjoiNWMzMmMwMDJiZDAxNDIzYjZhOGMxNDI1Yzk3ZWZiYTMiLCJ1c2VySWQiOiIyNDgzOTAxODgifQ==</vt:lpwstr>
  </property>
</Properties>
</file>