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A08D2">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rPr>
      </w:pPr>
      <w:r>
        <w:rPr>
          <w:rFonts w:ascii="宋体" w:hAnsi="宋体" w:eastAsia="宋体" w:cs="宋体"/>
          <w:b/>
          <w:bCs/>
          <w:sz w:val="24"/>
        </w:rPr>
        <w:t>一、项目概况</w:t>
      </w:r>
    </w:p>
    <w:p w14:paraId="61CD3AF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2026年学生用品等日常消费品质量监督抽检。</w:t>
      </w:r>
    </w:p>
    <w:p w14:paraId="252110F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ascii="宋体" w:hAnsi="宋体" w:eastAsia="宋体" w:cs="宋体"/>
          <w:b/>
          <w:bCs/>
          <w:sz w:val="24"/>
        </w:rPr>
        <w:t>二、</w:t>
      </w:r>
      <w:r>
        <w:rPr>
          <w:rFonts w:hint="eastAsia" w:ascii="宋体" w:hAnsi="宋体" w:eastAsia="宋体" w:cs="宋体"/>
          <w:b/>
          <w:bCs/>
          <w:sz w:val="24"/>
          <w:lang w:eastAsia="zh-CN"/>
        </w:rPr>
        <w:t>功能目标</w:t>
      </w:r>
    </w:p>
    <w:p w14:paraId="798A1DD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rPr>
        <w:t>对相关产品的实物质量按照《中华人民共和国产品质量法》、《产品质量监督抽查管理暂行办法》等法律法规的要求，依据产品对应的国家标准、行业标准等检验标准及我局有关文件要求完成此次监督抽查工作。</w:t>
      </w:r>
    </w:p>
    <w:p w14:paraId="517C04D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hint="eastAsia" w:ascii="宋体" w:hAnsi="宋体" w:eastAsia="宋体" w:cs="宋体"/>
          <w:b/>
          <w:bCs/>
          <w:sz w:val="24"/>
        </w:rPr>
        <w:t>三</w:t>
      </w:r>
      <w:r>
        <w:rPr>
          <w:rFonts w:ascii="宋体" w:hAnsi="宋体" w:eastAsia="宋体" w:cs="宋体"/>
          <w:b/>
          <w:bCs/>
          <w:sz w:val="24"/>
        </w:rPr>
        <w:t>、</w:t>
      </w:r>
      <w:r>
        <w:rPr>
          <w:rFonts w:hint="eastAsia" w:ascii="宋体" w:hAnsi="宋体" w:eastAsia="宋体" w:cs="宋体"/>
          <w:b/>
          <w:bCs/>
          <w:sz w:val="24"/>
          <w:lang w:eastAsia="zh-CN"/>
        </w:rPr>
        <w:t>项目内容</w:t>
      </w:r>
    </w:p>
    <w:p w14:paraId="02308BFE">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eastAsia="宋体" w:cs="宋体"/>
          <w:b w:val="0"/>
          <w:bCs w:val="0"/>
          <w:sz w:val="24"/>
          <w:lang w:eastAsia="zh-CN"/>
        </w:rPr>
        <w:t>包</w:t>
      </w:r>
      <w:r>
        <w:rPr>
          <w:rFonts w:hint="eastAsia" w:ascii="宋体" w:hAnsi="宋体" w:eastAsia="宋体" w:cs="宋体"/>
          <w:b w:val="0"/>
          <w:bCs w:val="0"/>
          <w:sz w:val="24"/>
          <w:lang w:val="en-US" w:eastAsia="zh-CN"/>
        </w:rPr>
        <w:t>2：2026年学生用品等日常消费品质量监督抽查</w:t>
      </w:r>
    </w:p>
    <w:tbl>
      <w:tblPr>
        <w:tblStyle w:val="2"/>
        <w:tblW w:w="8880" w:type="dxa"/>
        <w:tblInd w:w="96" w:type="dxa"/>
        <w:tblLayout w:type="fixed"/>
        <w:tblCellMar>
          <w:top w:w="0" w:type="dxa"/>
          <w:left w:w="108" w:type="dxa"/>
          <w:bottom w:w="0" w:type="dxa"/>
          <w:right w:w="108" w:type="dxa"/>
        </w:tblCellMar>
      </w:tblPr>
      <w:tblGrid>
        <w:gridCol w:w="5861"/>
        <w:gridCol w:w="3019"/>
      </w:tblGrid>
      <w:tr w14:paraId="6CBE3388">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1BE581">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840E2B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13C3C768">
        <w:tblPrEx>
          <w:tblCellMar>
            <w:top w:w="0" w:type="dxa"/>
            <w:left w:w="108" w:type="dxa"/>
            <w:bottom w:w="0" w:type="dxa"/>
            <w:right w:w="108" w:type="dxa"/>
          </w:tblCellMar>
        </w:tblPrEx>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12F9C10A">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食品类相关产品、学生用品等日常消费品</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18466A3">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00C1DC0C">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637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临时性抽检</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CE75D3C">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21990A73">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FDD4506">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70000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柒万</w:t>
            </w:r>
            <w:r>
              <w:rPr>
                <w:rFonts w:hint="eastAsia" w:ascii="宋体" w:hAnsi="宋体" w:eastAsia="宋体" w:cs="宋体"/>
                <w:sz w:val="24"/>
                <w:szCs w:val="24"/>
                <w:lang w:eastAsia="zh-CN"/>
              </w:rPr>
              <w:t>元整</w:t>
            </w:r>
          </w:p>
        </w:tc>
      </w:tr>
    </w:tbl>
    <w:p w14:paraId="5B4B1E60">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rPr>
      </w:pPr>
      <w:r>
        <w:rPr>
          <w:rFonts w:hint="eastAsia" w:ascii="宋体" w:hAnsi="宋体" w:eastAsia="宋体" w:cs="宋体"/>
          <w:b/>
          <w:bCs/>
          <w:sz w:val="24"/>
        </w:rPr>
        <w:t>四</w:t>
      </w:r>
      <w:r>
        <w:rPr>
          <w:rFonts w:ascii="宋体" w:hAnsi="宋体" w:eastAsia="宋体" w:cs="宋体"/>
          <w:b/>
          <w:bCs/>
          <w:sz w:val="24"/>
        </w:rPr>
        <w:t>、</w:t>
      </w:r>
      <w:r>
        <w:rPr>
          <w:rFonts w:hint="eastAsia" w:ascii="宋体" w:hAnsi="宋体" w:eastAsia="宋体" w:cs="宋体"/>
          <w:b/>
          <w:bCs/>
          <w:sz w:val="24"/>
        </w:rPr>
        <w:t>技术要求</w:t>
      </w:r>
    </w:p>
    <w:p w14:paraId="44D7EB6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rPr>
        <w:t>1、不抽查三无、标志不清、不全和无营业执照产品。按照相关法律规定和甲方要求进行检验、判定，及时出具产品质量检验报告。</w:t>
      </w:r>
    </w:p>
    <w:p w14:paraId="78CDBC7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rPr>
        <w:t>2.保证适用标准正确（适用时可使用旧标准对依据旧标准生产的产品实施检验检测并进行判定），检验数据真实、准确。</w:t>
      </w:r>
    </w:p>
    <w:p w14:paraId="6BD93E5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rPr>
        <w:t>3.完成样品的检测工作，并在后10个工作日内提交报告、抽检信息汇总表等材料。</w:t>
      </w:r>
    </w:p>
    <w:p w14:paraId="7F71408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五、商务要求：</w:t>
      </w:r>
    </w:p>
    <w:p w14:paraId="35BA851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1.服务期限：</w:t>
      </w:r>
      <w:r>
        <w:rPr>
          <w:rFonts w:hint="eastAsia" w:ascii="宋体" w:hAnsi="宋体" w:eastAsia="宋体" w:cs="宋体"/>
          <w:sz w:val="24"/>
          <w:lang w:eastAsia="zh-CN"/>
        </w:rPr>
        <w:t>质量监督抽查</w:t>
      </w:r>
      <w:r>
        <w:rPr>
          <w:rFonts w:hint="eastAsia" w:ascii="宋体" w:hAnsi="宋体" w:eastAsia="宋体" w:cs="宋体"/>
          <w:sz w:val="24"/>
        </w:rPr>
        <w:t>应在采购合同签订完成的</w:t>
      </w:r>
      <w:r>
        <w:rPr>
          <w:rFonts w:hint="eastAsia" w:ascii="宋体" w:hAnsi="宋体" w:eastAsia="宋体" w:cs="宋体"/>
          <w:sz w:val="24"/>
          <w:lang w:val="en-US" w:eastAsia="zh-CN"/>
        </w:rPr>
        <w:t>10</w:t>
      </w:r>
      <w:r>
        <w:rPr>
          <w:rFonts w:hint="eastAsia" w:ascii="宋体" w:hAnsi="宋体" w:eastAsia="宋体" w:cs="宋体"/>
          <w:sz w:val="24"/>
        </w:rPr>
        <w:t>个工作日内开始，于202</w:t>
      </w:r>
      <w:r>
        <w:rPr>
          <w:rFonts w:hint="eastAsia" w:ascii="宋体" w:hAnsi="宋体" w:eastAsia="宋体" w:cs="宋体"/>
          <w:sz w:val="24"/>
          <w:lang w:val="en-US" w:eastAsia="zh-CN"/>
        </w:rPr>
        <w:t>6</w:t>
      </w:r>
      <w:r>
        <w:rPr>
          <w:rFonts w:hint="eastAsia" w:ascii="宋体" w:hAnsi="宋体" w:eastAsia="宋体" w:cs="宋体"/>
          <w:sz w:val="24"/>
        </w:rPr>
        <w:t>年12月</w:t>
      </w:r>
      <w:r>
        <w:rPr>
          <w:rFonts w:hint="eastAsia" w:ascii="宋体" w:hAnsi="宋体" w:eastAsia="宋体" w:cs="宋体"/>
          <w:sz w:val="24"/>
          <w:lang w:val="en-US" w:eastAsia="zh-CN"/>
        </w:rPr>
        <w:t>10</w:t>
      </w:r>
      <w:r>
        <w:rPr>
          <w:rFonts w:hint="eastAsia" w:ascii="宋体" w:hAnsi="宋体" w:eastAsia="宋体" w:cs="宋体"/>
          <w:sz w:val="24"/>
        </w:rPr>
        <w:t>日前完成所有</w:t>
      </w:r>
      <w:r>
        <w:rPr>
          <w:rFonts w:hint="eastAsia" w:ascii="宋体" w:hAnsi="宋体" w:eastAsia="宋体" w:cs="宋体"/>
          <w:sz w:val="24"/>
          <w:lang w:eastAsia="zh-CN"/>
        </w:rPr>
        <w:t>抽样和检验</w:t>
      </w:r>
      <w:r>
        <w:rPr>
          <w:rFonts w:hint="eastAsia" w:ascii="宋体" w:hAnsi="宋体" w:eastAsia="宋体" w:cs="宋体"/>
          <w:sz w:val="24"/>
        </w:rPr>
        <w:t>，并按照合同约定向</w:t>
      </w:r>
      <w:r>
        <w:rPr>
          <w:rFonts w:hint="eastAsia" w:ascii="宋体" w:hAnsi="宋体" w:eastAsia="宋体" w:cs="宋体"/>
          <w:sz w:val="24"/>
          <w:lang w:val="en-US" w:eastAsia="zh-CN"/>
        </w:rPr>
        <w:t>雁塔区</w:t>
      </w:r>
      <w:r>
        <w:rPr>
          <w:rFonts w:hint="eastAsia" w:ascii="宋体" w:hAnsi="宋体" w:eastAsia="宋体" w:cs="宋体"/>
          <w:sz w:val="24"/>
        </w:rPr>
        <w:t>市场监督管理局报送</w:t>
      </w:r>
      <w:r>
        <w:rPr>
          <w:rFonts w:hint="eastAsia" w:ascii="宋体" w:hAnsi="宋体" w:eastAsia="宋体" w:cs="宋体"/>
          <w:sz w:val="24"/>
          <w:lang w:eastAsia="zh-CN"/>
        </w:rPr>
        <w:t>质检报告及相关</w:t>
      </w:r>
      <w:r>
        <w:rPr>
          <w:rFonts w:hint="eastAsia" w:ascii="宋体" w:hAnsi="宋体" w:eastAsia="宋体" w:cs="宋体"/>
          <w:sz w:val="24"/>
        </w:rPr>
        <w:t>材料。</w:t>
      </w:r>
    </w:p>
    <w:p w14:paraId="06B2899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2.款项结算：抽检经费由乙方先行垫付，检测工作结束后，</w:t>
      </w:r>
      <w:r>
        <w:rPr>
          <w:rFonts w:hint="eastAsia" w:ascii="宋体" w:hAnsi="宋体" w:eastAsia="宋体" w:cs="宋体"/>
          <w:sz w:val="24"/>
          <w:lang w:val="zh-TW" w:eastAsia="zh-TW"/>
        </w:rPr>
        <w:t>成果交付验收</w:t>
      </w:r>
      <w:r>
        <w:rPr>
          <w:rFonts w:hint="eastAsia" w:ascii="宋体" w:hAnsi="宋体" w:eastAsia="宋体" w:cs="宋体"/>
          <w:sz w:val="24"/>
          <w:lang w:val="zh-TW" w:eastAsia="zh-CN"/>
        </w:rPr>
        <w:t>、</w:t>
      </w:r>
      <w:r>
        <w:rPr>
          <w:rFonts w:hint="eastAsia" w:ascii="宋体" w:hAnsi="宋体" w:eastAsia="宋体" w:cs="宋体"/>
          <w:sz w:val="24"/>
          <w:lang w:val="en-US" w:eastAsia="zh-CN"/>
        </w:rPr>
        <w:t>绩效考核</w:t>
      </w:r>
      <w:r>
        <w:rPr>
          <w:rFonts w:hint="eastAsia" w:ascii="宋体" w:hAnsi="宋体" w:eastAsia="宋体" w:cs="宋体"/>
          <w:sz w:val="24"/>
          <w:lang w:val="zh-TW" w:eastAsia="zh-TW"/>
        </w:rPr>
        <w:t>合格后，</w:t>
      </w:r>
      <w:r>
        <w:rPr>
          <w:rFonts w:hint="eastAsia" w:ascii="宋体" w:hAnsi="宋体" w:eastAsia="宋体" w:cs="宋体"/>
          <w:sz w:val="24"/>
          <w:lang w:val="en-US" w:eastAsia="zh-CN"/>
        </w:rPr>
        <w:t>在财政资金到位后十日内支付。</w:t>
      </w:r>
    </w:p>
    <w:p w14:paraId="083A486F">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六、抽检清单：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683"/>
        <w:gridCol w:w="2150"/>
        <w:gridCol w:w="3806"/>
        <w:gridCol w:w="1169"/>
      </w:tblGrid>
      <w:tr w14:paraId="68A4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27" w:type="dxa"/>
            <w:vAlign w:val="center"/>
          </w:tcPr>
          <w:p w14:paraId="3CEDAA3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694" w:type="dxa"/>
            <w:vAlign w:val="center"/>
          </w:tcPr>
          <w:p w14:paraId="73CD23E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24" w:type="dxa"/>
            <w:vAlign w:val="center"/>
          </w:tcPr>
          <w:p w14:paraId="0747557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具体采购项目名称</w:t>
            </w:r>
          </w:p>
        </w:tc>
        <w:tc>
          <w:tcPr>
            <w:tcW w:w="3963" w:type="dxa"/>
            <w:vAlign w:val="center"/>
          </w:tcPr>
          <w:p w14:paraId="30F3803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抽检批次</w:t>
            </w:r>
          </w:p>
        </w:tc>
        <w:tc>
          <w:tcPr>
            <w:tcW w:w="1193" w:type="dxa"/>
            <w:vAlign w:val="center"/>
          </w:tcPr>
          <w:p w14:paraId="48B527F9">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预算金额（万元）</w:t>
            </w:r>
          </w:p>
        </w:tc>
      </w:tr>
      <w:tr w14:paraId="6774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Merge w:val="restart"/>
            <w:vAlign w:val="center"/>
          </w:tcPr>
          <w:p w14:paraId="6C86DD5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694" w:type="dxa"/>
            <w:vAlign w:val="center"/>
          </w:tcPr>
          <w:p w14:paraId="54B2D20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2224" w:type="dxa"/>
            <w:vAlign w:val="center"/>
          </w:tcPr>
          <w:p w14:paraId="114E94B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w:t>
            </w:r>
          </w:p>
        </w:tc>
        <w:tc>
          <w:tcPr>
            <w:tcW w:w="3963" w:type="dxa"/>
            <w:vAlign w:val="center"/>
          </w:tcPr>
          <w:p w14:paraId="722B799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不少于20个批次</w:t>
            </w:r>
          </w:p>
          <w:p w14:paraId="1C29CA8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（其中食品类相关产品5类不少于10个批次，学生用品5类不少于10个批次）</w:t>
            </w:r>
          </w:p>
        </w:tc>
        <w:tc>
          <w:tcPr>
            <w:tcW w:w="1193" w:type="dxa"/>
            <w:vAlign w:val="center"/>
          </w:tcPr>
          <w:p w14:paraId="14C6D80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19F4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continue"/>
            <w:vAlign w:val="center"/>
          </w:tcPr>
          <w:p w14:paraId="06E0E0E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43ABEBD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24" w:type="dxa"/>
            <w:vAlign w:val="center"/>
          </w:tcPr>
          <w:p w14:paraId="2C7BE95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临时性抽检</w:t>
            </w:r>
          </w:p>
        </w:tc>
        <w:tc>
          <w:tcPr>
            <w:tcW w:w="3963" w:type="dxa"/>
            <w:vAlign w:val="center"/>
          </w:tcPr>
          <w:p w14:paraId="6A5C4D3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不少于50个批次</w:t>
            </w:r>
          </w:p>
          <w:p w14:paraId="5DACE836">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（其中网抽5类不少于10个批次，其余10类不少于40个批次）</w:t>
            </w:r>
          </w:p>
        </w:tc>
        <w:tc>
          <w:tcPr>
            <w:tcW w:w="1193" w:type="dxa"/>
            <w:vAlign w:val="center"/>
          </w:tcPr>
          <w:p w14:paraId="0909A0D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4F53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Align w:val="center"/>
          </w:tcPr>
          <w:p w14:paraId="32051D4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总计</w:t>
            </w:r>
          </w:p>
        </w:tc>
        <w:tc>
          <w:tcPr>
            <w:tcW w:w="694" w:type="dxa"/>
            <w:vAlign w:val="center"/>
          </w:tcPr>
          <w:p w14:paraId="5E8F3BA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2224" w:type="dxa"/>
            <w:vAlign w:val="center"/>
          </w:tcPr>
          <w:p w14:paraId="086D615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p>
        </w:tc>
        <w:tc>
          <w:tcPr>
            <w:tcW w:w="3963" w:type="dxa"/>
            <w:vAlign w:val="center"/>
          </w:tcPr>
          <w:p w14:paraId="03F01AA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eastAsia="宋体" w:cs="宋体"/>
                <w:b/>
                <w:bCs/>
                <w:i w:val="0"/>
                <w:iCs w:val="0"/>
                <w:sz w:val="24"/>
                <w:szCs w:val="24"/>
                <w:vertAlign w:val="baseline"/>
                <w:lang w:val="en-US" w:eastAsia="zh-CN"/>
              </w:rPr>
              <w:t>70个批次</w:t>
            </w:r>
          </w:p>
        </w:tc>
        <w:tc>
          <w:tcPr>
            <w:tcW w:w="1193" w:type="dxa"/>
            <w:vAlign w:val="center"/>
          </w:tcPr>
          <w:p w14:paraId="0E480F5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eastAsia="宋体" w:cs="宋体"/>
                <w:b/>
                <w:bCs/>
                <w:i w:val="0"/>
                <w:iCs w:val="0"/>
                <w:sz w:val="24"/>
                <w:szCs w:val="24"/>
                <w:vertAlign w:val="baseline"/>
                <w:lang w:val="en-US" w:eastAsia="zh-CN"/>
              </w:rPr>
              <w:t>7</w:t>
            </w:r>
          </w:p>
        </w:tc>
      </w:tr>
    </w:tbl>
    <w:p w14:paraId="7F49D89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七、抽检内容：</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56"/>
        <w:gridCol w:w="699"/>
        <w:gridCol w:w="946"/>
        <w:gridCol w:w="5965"/>
      </w:tblGrid>
      <w:tr w14:paraId="2C52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Align w:val="center"/>
          </w:tcPr>
          <w:p w14:paraId="5B5EC45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456" w:type="dxa"/>
            <w:vAlign w:val="center"/>
          </w:tcPr>
          <w:p w14:paraId="6177F9C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700" w:type="dxa"/>
            <w:vAlign w:val="center"/>
          </w:tcPr>
          <w:p w14:paraId="1B3D18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工业产品大类</w:t>
            </w:r>
          </w:p>
        </w:tc>
        <w:tc>
          <w:tcPr>
            <w:tcW w:w="1015" w:type="dxa"/>
            <w:vAlign w:val="center"/>
          </w:tcPr>
          <w:p w14:paraId="5550565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具体分类</w:t>
            </w:r>
          </w:p>
        </w:tc>
        <w:tc>
          <w:tcPr>
            <w:tcW w:w="6659" w:type="dxa"/>
            <w:vAlign w:val="center"/>
          </w:tcPr>
          <w:p w14:paraId="4BE9CA7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检验项目</w:t>
            </w:r>
          </w:p>
        </w:tc>
      </w:tr>
      <w:tr w14:paraId="24FE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restart"/>
            <w:vAlign w:val="center"/>
          </w:tcPr>
          <w:p w14:paraId="79FB98E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456" w:type="dxa"/>
            <w:vMerge w:val="restart"/>
            <w:vAlign w:val="center"/>
          </w:tcPr>
          <w:p w14:paraId="260A65D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700" w:type="dxa"/>
            <w:vMerge w:val="restart"/>
            <w:vAlign w:val="center"/>
          </w:tcPr>
          <w:p w14:paraId="4AFA60E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食品类相关产品、学生用品等日常消费品、临时性抽检</w:t>
            </w:r>
          </w:p>
        </w:tc>
        <w:tc>
          <w:tcPr>
            <w:tcW w:w="1015" w:type="dxa"/>
            <w:vAlign w:val="center"/>
          </w:tcPr>
          <w:p w14:paraId="620C61F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纸杯</w:t>
            </w:r>
          </w:p>
        </w:tc>
        <w:tc>
          <w:tcPr>
            <w:tcW w:w="6659" w:type="dxa"/>
            <w:vAlign w:val="center"/>
          </w:tcPr>
          <w:p w14:paraId="60E8341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感官要求、总迁移量、重金属（以Pb计）、铅（Pb）、砷（As）、荧光性物质、甲醛、1,3-二氯-2-丙醇、3-氯-1,2-丙二醇、感官指标、渗漏性能、杯身挺度</w:t>
            </w:r>
          </w:p>
        </w:tc>
      </w:tr>
      <w:tr w14:paraId="46D8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498F4C3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5D5B562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19EBAE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3E777AC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塑料一次性餐具</w:t>
            </w:r>
          </w:p>
        </w:tc>
        <w:tc>
          <w:tcPr>
            <w:tcW w:w="6659" w:type="dxa"/>
            <w:vAlign w:val="center"/>
          </w:tcPr>
          <w:p w14:paraId="22493E3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外观、耐干热性、耐低温性、耐湿热性、耐污染性、翘曲(底部)、跌落、标志</w:t>
            </w:r>
          </w:p>
        </w:tc>
      </w:tr>
      <w:tr w14:paraId="137B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64E23DC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7444A92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6F3B925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40A199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考试用铅笔</w:t>
            </w:r>
          </w:p>
        </w:tc>
        <w:tc>
          <w:tcPr>
            <w:tcW w:w="6659" w:type="dxa"/>
            <w:vAlign w:val="center"/>
          </w:tcPr>
          <w:p w14:paraId="4F28964F">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可迁移元素的最大限量-锑Sb、可迁移元素的最大限量-砷As 、可迁移元素的最大限量-钡Ba、可迁移元素的最大限量-镉Cd、可迁移元素的最大限量-铬Cr、可迁移元素的最大限量-铅Pb、可迁移元素的最大限量-汞Hg、可迁移元素的最大限量-硒Se</w:t>
            </w:r>
          </w:p>
        </w:tc>
      </w:tr>
      <w:tr w14:paraId="40D3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E5F763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18D74F9">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45B38D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3C09FA4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电线电缆</w:t>
            </w:r>
          </w:p>
        </w:tc>
        <w:tc>
          <w:tcPr>
            <w:tcW w:w="6659" w:type="dxa"/>
            <w:vAlign w:val="center"/>
          </w:tcPr>
          <w:p w14:paraId="17A793C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标志、导体电阻、绝缘厚度、护套厚度、老化前绝缘抗张强度、老化前绝缘断裂伸长率、老化前护套抗张强度、老化前护套断裂伸长率、外径（外形尺寸）、热延伸试验、不延燃试验</w:t>
            </w:r>
          </w:p>
        </w:tc>
      </w:tr>
      <w:tr w14:paraId="28B1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04075B8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AD0281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3C41051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133DDD2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移动电源</w:t>
            </w:r>
          </w:p>
        </w:tc>
        <w:tc>
          <w:tcPr>
            <w:tcW w:w="6659" w:type="dxa"/>
            <w:vAlign w:val="center"/>
          </w:tcPr>
          <w:p w14:paraId="200BCC9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接触温度限值、模拟的异常工作条件、样品容量测试、高温外部短路</w:t>
            </w:r>
          </w:p>
        </w:tc>
      </w:tr>
      <w:tr w14:paraId="63A1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93518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6AB1B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3C81C41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505AE5A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手提式干粉灭火剂</w:t>
            </w:r>
          </w:p>
        </w:tc>
        <w:tc>
          <w:tcPr>
            <w:tcW w:w="6659" w:type="dxa"/>
            <w:vAlign w:val="center"/>
          </w:tcPr>
          <w:p w14:paraId="5D30845A">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充装量,充装误差,水压试验,充装量、充装误差、水筒体爆破口情况）</w:t>
            </w:r>
          </w:p>
        </w:tc>
      </w:tr>
      <w:tr w14:paraId="162A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369956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079DD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1EA38A7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0ED4499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多功能室内加热器</w:t>
            </w:r>
          </w:p>
        </w:tc>
        <w:tc>
          <w:tcPr>
            <w:tcW w:w="6659" w:type="dxa"/>
            <w:vAlign w:val="center"/>
          </w:tcPr>
          <w:p w14:paraId="09A1148C">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机械强度,结构,外部导线用接线端子,接地措施,螺钉和连接,爬电距离和电气间隙</w:t>
            </w:r>
          </w:p>
        </w:tc>
      </w:tr>
      <w:tr w14:paraId="3215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741DF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29B84E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71FC6F8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2AF90E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电热暖手宝</w:t>
            </w:r>
          </w:p>
        </w:tc>
        <w:tc>
          <w:tcPr>
            <w:tcW w:w="6659" w:type="dxa"/>
            <w:vAlign w:val="center"/>
          </w:tcPr>
          <w:p w14:paraId="0D8668A0">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结构,外部导线用接线端子,螺钉和连接,爬电距离和电气间隙,耐热和耐燃</w:t>
            </w:r>
          </w:p>
        </w:tc>
      </w:tr>
      <w:tr w14:paraId="06E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1470B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37DE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23BA77D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62D7276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服装</w:t>
            </w:r>
          </w:p>
        </w:tc>
        <w:tc>
          <w:tcPr>
            <w:tcW w:w="6659" w:type="dxa"/>
            <w:vAlign w:val="center"/>
          </w:tcPr>
          <w:p w14:paraId="25D91387">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耐皂洗色牢度,耐汗渍色牢度,耐摩擦色牢度,使用说明,纤维含量,甲醛含量,pH值,异味,耐水色牢度</w:t>
            </w:r>
          </w:p>
        </w:tc>
      </w:tr>
      <w:tr w14:paraId="06FF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AC9A91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AA616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56B77CC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65F9B2D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塑料玩具</w:t>
            </w:r>
          </w:p>
        </w:tc>
        <w:tc>
          <w:tcPr>
            <w:tcW w:w="6659" w:type="dxa"/>
            <w:vAlign w:val="center"/>
          </w:tcPr>
          <w:p w14:paraId="093D237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用于包装或玩具中的塑料袋或塑料薄膜、可预见的合理滥用、材料、小零件、边缘、尖端、突出部件、孔、间隙、机械装置的可触及性、玩具标识</w:t>
            </w:r>
          </w:p>
        </w:tc>
      </w:tr>
      <w:tr w14:paraId="61C4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3B33BE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8D191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717105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50B40F3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电玩具</w:t>
            </w:r>
          </w:p>
        </w:tc>
        <w:tc>
          <w:tcPr>
            <w:tcW w:w="6659" w:type="dxa"/>
            <w:vAlign w:val="center"/>
          </w:tcPr>
          <w:p w14:paraId="359010B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标识和说明、输入功率、发热和非正常工作、工作温度下的电气强度、耐潮湿、机械强度、结构、软线和电线保护</w:t>
            </w:r>
          </w:p>
        </w:tc>
      </w:tr>
      <w:tr w14:paraId="066C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7116A0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10B898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598ACB2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68AF754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毛巾</w:t>
            </w:r>
          </w:p>
        </w:tc>
        <w:tc>
          <w:tcPr>
            <w:tcW w:w="6659" w:type="dxa"/>
            <w:vAlign w:val="center"/>
          </w:tcPr>
          <w:p w14:paraId="7BEBB8F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甲醛含量、耐水色牢度、耐唾液色牢度、耐酸汗渍色牢度、耐碱汗渍色牢度、耐干摩擦色牢度、pH值、异味</w:t>
            </w:r>
          </w:p>
        </w:tc>
      </w:tr>
    </w:tbl>
    <w:p w14:paraId="2020006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A64761"/>
    <w:rsid w:val="03A64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2026-06-26T07:43:00Z</dcterms:created>
  <dc:creator>默.</dc:creator>
  <cp:lastModifiedBy>默.</cp:lastModifiedBy>
  <dcterms:modified xsi:type="dcterms:W3CDTF">2026-06-26T07:43:21Z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4CB39E6C86A14D07919CB449F725AA46_11</vt:lpwstr>
  </property>
  <property fmtid="{D5CDD505-2E9C-101B-9397-08002B2CF9AE}" pid="4" name="KSOTemplateDocerSaveRecord">
    <vt:lpwstr>eyJoZGlkIjoiMDFhNGRjM2IyY2I1ZTdjZDQ1YjM3MWYxMGIwMWY2NjIiLCJ1c2VySWQiOiI0MjU4NjcyNzgifQ==</vt:lpwstr>
  </property>
</Properties>
</file>