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2DE60">
      <w:pPr>
        <w:pStyle w:val="2"/>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5667F2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注：本合同为示范文本，具体条款内容由甲方和乙方协商确定，但不得改变采购文件、响应文件、成交通知书里的实质性内容。）</w:t>
      </w:r>
    </w:p>
    <w:p w14:paraId="5CC97450">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4FD5CB5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14:paraId="40F11BA4">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14:paraId="7CD05C93">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3EE1A68C">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成交</w:t>
      </w:r>
      <w:r>
        <w:rPr>
          <w:rFonts w:hint="eastAsia" w:ascii="仿宋" w:hAnsi="仿宋" w:eastAsia="仿宋" w:cs="仿宋"/>
          <w:color w:val="auto"/>
          <w:highlight w:val="none"/>
        </w:rPr>
        <w:t>人）</w:t>
      </w:r>
    </w:p>
    <w:p w14:paraId="636926A9">
      <w:pPr>
        <w:pStyle w:val="14"/>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 xml:space="preserve">     项目名称     </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w:t>
      </w:r>
      <w:r>
        <w:rPr>
          <w:rFonts w:hint="eastAsia" w:ascii="仿宋" w:hAnsi="仿宋" w:eastAsia="仿宋" w:cs="仿宋"/>
          <w:color w:val="auto"/>
          <w:highlight w:val="none"/>
          <w:lang w:eastAsia="zh-CN"/>
        </w:rPr>
        <w:t>采购文件</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响应文件</w:t>
      </w:r>
      <w:r>
        <w:rPr>
          <w:rFonts w:hint="eastAsia" w:ascii="仿宋" w:hAnsi="仿宋" w:eastAsia="仿宋" w:cs="仿宋"/>
          <w:color w:val="auto"/>
          <w:highlight w:val="none"/>
        </w:rPr>
        <w:t>等有关规定，为确保甲方采购项目的顺利实施，甲、乙双方在平等自愿原则下签订本合同，并共同遵守如下条款：</w:t>
      </w:r>
    </w:p>
    <w:p w14:paraId="351C431C">
      <w:pPr>
        <w:pStyle w:val="14"/>
        <w:spacing w:line="360" w:lineRule="auto"/>
        <w:ind w:left="0" w:leftChars="0" w:firstLine="0" w:firstLineChars="0"/>
        <w:outlineLvl w:val="1"/>
        <w:rPr>
          <w:rFonts w:hint="eastAsia" w:ascii="仿宋" w:hAnsi="仿宋" w:eastAsia="仿宋" w:cs="仿宋"/>
          <w:b/>
          <w:color w:val="auto"/>
          <w:highlight w:val="none"/>
        </w:rPr>
      </w:pPr>
      <w:bookmarkStart w:id="0" w:name="_Toc3373"/>
      <w:bookmarkStart w:id="1" w:name="_Toc18934"/>
      <w:bookmarkStart w:id="2" w:name="_Toc8686"/>
      <w:r>
        <w:rPr>
          <w:rFonts w:hint="eastAsia" w:ascii="仿宋" w:hAnsi="仿宋" w:eastAsia="仿宋" w:cs="仿宋"/>
          <w:b/>
          <w:color w:val="auto"/>
          <w:highlight w:val="none"/>
        </w:rPr>
        <w:t>第一条 合同标的及数量</w:t>
      </w:r>
      <w:bookmarkEnd w:id="0"/>
      <w:bookmarkEnd w:id="1"/>
      <w:bookmarkEnd w:id="2"/>
    </w:p>
    <w:p w14:paraId="3F7708DD">
      <w:pPr>
        <w:pStyle w:val="14"/>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p>
    <w:p w14:paraId="55DC5C83">
      <w:pPr>
        <w:pStyle w:val="4"/>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2"/>
        <w:tblpPr w:leftFromText="180" w:rightFromText="180" w:vertAnchor="text" w:horzAnchor="margin" w:tblpY="309"/>
        <w:tblW w:w="88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377"/>
        <w:gridCol w:w="1386"/>
      </w:tblGrid>
      <w:tr w14:paraId="5B02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801" w:type="dxa"/>
            <w:vAlign w:val="center"/>
          </w:tcPr>
          <w:p w14:paraId="1EBB9869">
            <w:pPr>
              <w:outlineLvl w:val="9"/>
              <w:rPr>
                <w:rFonts w:hint="eastAsia" w:ascii="仿宋" w:hAnsi="仿宋" w:eastAsia="仿宋" w:cs="仿宋"/>
                <w:color w:val="auto"/>
                <w:sz w:val="24"/>
                <w:szCs w:val="24"/>
                <w:highlight w:val="none"/>
              </w:rPr>
            </w:pPr>
            <w:bookmarkStart w:id="3" w:name="_Toc21343"/>
            <w:bookmarkStart w:id="4" w:name="_Toc26294"/>
            <w:bookmarkStart w:id="5" w:name="_Toc7471"/>
            <w:bookmarkStart w:id="6" w:name="_Toc1631"/>
            <w:bookmarkStart w:id="7" w:name="_Toc31400"/>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14:paraId="2E87C7AF">
            <w:pPr>
              <w:jc w:val="center"/>
              <w:outlineLvl w:val="9"/>
              <w:rPr>
                <w:rFonts w:hint="eastAsia" w:ascii="仿宋" w:hAnsi="仿宋" w:eastAsia="仿宋" w:cs="仿宋"/>
                <w:color w:val="auto"/>
                <w:sz w:val="24"/>
                <w:szCs w:val="24"/>
                <w:highlight w:val="none"/>
              </w:rPr>
            </w:pPr>
            <w:bookmarkStart w:id="8" w:name="_Toc678"/>
            <w:bookmarkStart w:id="9" w:name="_Toc23183"/>
            <w:bookmarkStart w:id="10" w:name="_Toc22389"/>
            <w:bookmarkStart w:id="11" w:name="_Toc3968"/>
            <w:bookmarkStart w:id="12" w:name="_Toc6445"/>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14:paraId="0C77C6E5">
            <w:pPr>
              <w:outlineLvl w:val="9"/>
              <w:rPr>
                <w:rFonts w:hint="eastAsia" w:ascii="仿宋" w:hAnsi="仿宋" w:eastAsia="仿宋" w:cs="仿宋"/>
                <w:color w:val="auto"/>
                <w:sz w:val="24"/>
                <w:szCs w:val="24"/>
                <w:highlight w:val="none"/>
              </w:rPr>
            </w:pPr>
            <w:bookmarkStart w:id="13" w:name="_Toc31540"/>
            <w:bookmarkStart w:id="14" w:name="_Toc5820"/>
            <w:bookmarkStart w:id="15" w:name="_Toc13493"/>
            <w:bookmarkStart w:id="16" w:name="_Toc6213"/>
            <w:bookmarkStart w:id="17" w:name="_Toc16370"/>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14:paraId="2F3B4642">
            <w:pPr>
              <w:outlineLvl w:val="9"/>
              <w:rPr>
                <w:rFonts w:hint="eastAsia" w:ascii="仿宋" w:hAnsi="仿宋" w:eastAsia="仿宋" w:cs="仿宋"/>
                <w:color w:val="auto"/>
                <w:sz w:val="24"/>
                <w:szCs w:val="24"/>
                <w:highlight w:val="none"/>
              </w:rPr>
            </w:pPr>
            <w:bookmarkStart w:id="18" w:name="_Toc5177"/>
            <w:bookmarkStart w:id="19" w:name="_Toc21205"/>
            <w:bookmarkStart w:id="20" w:name="_Toc3362"/>
            <w:bookmarkStart w:id="21" w:name="_Toc3931"/>
            <w:bookmarkStart w:id="22" w:name="_Toc15931"/>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14:paraId="4887C799">
            <w:pPr>
              <w:outlineLvl w:val="9"/>
              <w:rPr>
                <w:rFonts w:hint="eastAsia" w:ascii="仿宋" w:hAnsi="仿宋" w:eastAsia="仿宋" w:cs="仿宋"/>
                <w:color w:val="auto"/>
                <w:sz w:val="24"/>
                <w:szCs w:val="24"/>
                <w:highlight w:val="none"/>
              </w:rPr>
            </w:pPr>
            <w:bookmarkStart w:id="23" w:name="_Toc13801"/>
            <w:bookmarkStart w:id="24" w:name="_Toc16004"/>
            <w:bookmarkStart w:id="25" w:name="_Toc8364"/>
            <w:bookmarkStart w:id="26" w:name="_Toc18669"/>
            <w:bookmarkStart w:id="27" w:name="_Toc30791"/>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14:paraId="2939E969">
            <w:pPr>
              <w:outlineLvl w:val="9"/>
              <w:rPr>
                <w:rFonts w:hint="eastAsia" w:ascii="仿宋" w:hAnsi="仿宋" w:eastAsia="仿宋" w:cs="仿宋"/>
                <w:color w:val="auto"/>
                <w:sz w:val="24"/>
                <w:szCs w:val="24"/>
                <w:highlight w:val="none"/>
              </w:rPr>
            </w:pPr>
            <w:bookmarkStart w:id="28" w:name="_Toc29871"/>
            <w:bookmarkStart w:id="29" w:name="_Toc609"/>
            <w:bookmarkStart w:id="30" w:name="_Toc19134"/>
            <w:bookmarkStart w:id="31" w:name="_Toc9231"/>
            <w:bookmarkStart w:id="32" w:name="_Toc24569"/>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377" w:type="dxa"/>
            <w:vAlign w:val="center"/>
          </w:tcPr>
          <w:p w14:paraId="7B4430C7">
            <w:pPr>
              <w:outlineLvl w:val="9"/>
              <w:rPr>
                <w:rFonts w:hint="eastAsia" w:ascii="仿宋" w:hAnsi="仿宋" w:eastAsia="仿宋" w:cs="仿宋"/>
                <w:color w:val="auto"/>
                <w:sz w:val="24"/>
                <w:szCs w:val="24"/>
                <w:highlight w:val="none"/>
              </w:rPr>
            </w:pPr>
            <w:bookmarkStart w:id="33" w:name="_Toc23932"/>
            <w:bookmarkStart w:id="34" w:name="_Toc22269"/>
            <w:bookmarkStart w:id="35" w:name="_Toc5020"/>
            <w:bookmarkStart w:id="36" w:name="_Toc1373"/>
            <w:bookmarkStart w:id="37" w:name="_Toc29589"/>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价（元）</w:t>
            </w:r>
            <w:bookmarkEnd w:id="33"/>
            <w:bookmarkEnd w:id="34"/>
            <w:bookmarkEnd w:id="35"/>
            <w:bookmarkEnd w:id="36"/>
            <w:bookmarkEnd w:id="37"/>
          </w:p>
        </w:tc>
        <w:tc>
          <w:tcPr>
            <w:tcW w:w="1386" w:type="dxa"/>
            <w:vAlign w:val="center"/>
          </w:tcPr>
          <w:p w14:paraId="476F54AA">
            <w:pPr>
              <w:ind w:left="236" w:hanging="235" w:hangingChars="98"/>
              <w:outlineLvl w:val="9"/>
              <w:rPr>
                <w:rFonts w:hint="eastAsia" w:ascii="仿宋" w:hAnsi="仿宋" w:eastAsia="仿宋" w:cs="仿宋"/>
                <w:color w:val="auto"/>
                <w:sz w:val="24"/>
                <w:szCs w:val="24"/>
                <w:highlight w:val="none"/>
              </w:rPr>
            </w:pPr>
            <w:bookmarkStart w:id="38" w:name="_Toc32579"/>
            <w:bookmarkStart w:id="39" w:name="_Toc26062"/>
            <w:bookmarkStart w:id="40" w:name="_Toc14510"/>
            <w:bookmarkStart w:id="41" w:name="_Toc23619"/>
            <w:bookmarkStart w:id="42" w:name="_Toc17545"/>
            <w:r>
              <w:rPr>
                <w:rFonts w:hint="eastAsia" w:ascii="仿宋" w:hAnsi="仿宋" w:eastAsia="仿宋" w:cs="仿宋"/>
                <w:color w:val="auto"/>
                <w:sz w:val="24"/>
                <w:szCs w:val="24"/>
                <w:highlight w:val="none"/>
              </w:rPr>
              <w:t>金额 (元)</w:t>
            </w:r>
            <w:bookmarkEnd w:id="38"/>
            <w:bookmarkEnd w:id="39"/>
            <w:bookmarkEnd w:id="40"/>
            <w:bookmarkEnd w:id="41"/>
            <w:bookmarkEnd w:id="42"/>
          </w:p>
        </w:tc>
      </w:tr>
      <w:tr w14:paraId="3ACD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50482D90">
            <w:pPr>
              <w:outlineLvl w:val="9"/>
              <w:rPr>
                <w:rFonts w:hint="eastAsia" w:ascii="仿宋" w:hAnsi="仿宋" w:eastAsia="仿宋" w:cs="仿宋"/>
                <w:color w:val="auto"/>
                <w:sz w:val="24"/>
                <w:szCs w:val="24"/>
                <w:highlight w:val="none"/>
              </w:rPr>
            </w:pPr>
          </w:p>
        </w:tc>
        <w:tc>
          <w:tcPr>
            <w:tcW w:w="1461" w:type="dxa"/>
          </w:tcPr>
          <w:p w14:paraId="6167CAF5">
            <w:pPr>
              <w:outlineLvl w:val="9"/>
              <w:rPr>
                <w:rFonts w:hint="eastAsia" w:ascii="仿宋" w:hAnsi="仿宋" w:eastAsia="仿宋" w:cs="仿宋"/>
                <w:color w:val="auto"/>
                <w:sz w:val="24"/>
                <w:szCs w:val="24"/>
                <w:highlight w:val="none"/>
              </w:rPr>
            </w:pPr>
          </w:p>
        </w:tc>
        <w:tc>
          <w:tcPr>
            <w:tcW w:w="1623" w:type="dxa"/>
          </w:tcPr>
          <w:p w14:paraId="3059FE42">
            <w:pPr>
              <w:outlineLvl w:val="9"/>
              <w:rPr>
                <w:rFonts w:hint="eastAsia" w:ascii="仿宋" w:hAnsi="仿宋" w:eastAsia="仿宋" w:cs="仿宋"/>
                <w:color w:val="auto"/>
                <w:sz w:val="24"/>
                <w:szCs w:val="24"/>
                <w:highlight w:val="none"/>
              </w:rPr>
            </w:pPr>
          </w:p>
        </w:tc>
        <w:tc>
          <w:tcPr>
            <w:tcW w:w="832" w:type="dxa"/>
          </w:tcPr>
          <w:p w14:paraId="30850A95">
            <w:pPr>
              <w:outlineLvl w:val="9"/>
              <w:rPr>
                <w:rFonts w:hint="eastAsia" w:ascii="仿宋" w:hAnsi="仿宋" w:eastAsia="仿宋" w:cs="仿宋"/>
                <w:color w:val="auto"/>
                <w:sz w:val="24"/>
                <w:szCs w:val="24"/>
                <w:highlight w:val="none"/>
              </w:rPr>
            </w:pPr>
          </w:p>
        </w:tc>
        <w:tc>
          <w:tcPr>
            <w:tcW w:w="822" w:type="dxa"/>
          </w:tcPr>
          <w:p w14:paraId="48CF1B2F">
            <w:pPr>
              <w:outlineLvl w:val="9"/>
              <w:rPr>
                <w:rFonts w:hint="eastAsia" w:ascii="仿宋" w:hAnsi="仿宋" w:eastAsia="仿宋" w:cs="仿宋"/>
                <w:color w:val="auto"/>
                <w:sz w:val="24"/>
                <w:szCs w:val="24"/>
                <w:highlight w:val="none"/>
              </w:rPr>
            </w:pPr>
          </w:p>
        </w:tc>
        <w:tc>
          <w:tcPr>
            <w:tcW w:w="514" w:type="dxa"/>
          </w:tcPr>
          <w:p w14:paraId="023D1071">
            <w:pPr>
              <w:outlineLvl w:val="9"/>
              <w:rPr>
                <w:rFonts w:hint="eastAsia" w:ascii="仿宋" w:hAnsi="仿宋" w:eastAsia="仿宋" w:cs="仿宋"/>
                <w:color w:val="auto"/>
                <w:sz w:val="24"/>
                <w:szCs w:val="24"/>
                <w:highlight w:val="none"/>
              </w:rPr>
            </w:pPr>
          </w:p>
        </w:tc>
        <w:tc>
          <w:tcPr>
            <w:tcW w:w="1377" w:type="dxa"/>
          </w:tcPr>
          <w:p w14:paraId="13E9BCE3">
            <w:pPr>
              <w:outlineLvl w:val="9"/>
              <w:rPr>
                <w:rFonts w:hint="eastAsia" w:ascii="仿宋" w:hAnsi="仿宋" w:eastAsia="仿宋" w:cs="仿宋"/>
                <w:color w:val="auto"/>
                <w:sz w:val="24"/>
                <w:szCs w:val="24"/>
                <w:highlight w:val="none"/>
              </w:rPr>
            </w:pPr>
          </w:p>
        </w:tc>
        <w:tc>
          <w:tcPr>
            <w:tcW w:w="1386" w:type="dxa"/>
          </w:tcPr>
          <w:p w14:paraId="33062DB7">
            <w:pPr>
              <w:outlineLvl w:val="9"/>
              <w:rPr>
                <w:rFonts w:hint="eastAsia" w:ascii="仿宋" w:hAnsi="仿宋" w:eastAsia="仿宋" w:cs="仿宋"/>
                <w:color w:val="auto"/>
                <w:sz w:val="24"/>
                <w:szCs w:val="24"/>
                <w:highlight w:val="none"/>
              </w:rPr>
            </w:pPr>
          </w:p>
        </w:tc>
      </w:tr>
      <w:tr w14:paraId="09F5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7E0DAE41">
            <w:pPr>
              <w:outlineLvl w:val="9"/>
              <w:rPr>
                <w:rFonts w:hint="eastAsia" w:ascii="仿宋" w:hAnsi="仿宋" w:eastAsia="仿宋" w:cs="仿宋"/>
                <w:color w:val="auto"/>
                <w:sz w:val="24"/>
                <w:szCs w:val="24"/>
                <w:highlight w:val="none"/>
              </w:rPr>
            </w:pPr>
          </w:p>
        </w:tc>
        <w:tc>
          <w:tcPr>
            <w:tcW w:w="1461" w:type="dxa"/>
          </w:tcPr>
          <w:p w14:paraId="42E5A5CE">
            <w:pPr>
              <w:outlineLvl w:val="9"/>
              <w:rPr>
                <w:rFonts w:hint="eastAsia" w:ascii="仿宋" w:hAnsi="仿宋" w:eastAsia="仿宋" w:cs="仿宋"/>
                <w:color w:val="auto"/>
                <w:sz w:val="24"/>
                <w:szCs w:val="24"/>
                <w:highlight w:val="none"/>
              </w:rPr>
            </w:pPr>
          </w:p>
        </w:tc>
        <w:tc>
          <w:tcPr>
            <w:tcW w:w="1623" w:type="dxa"/>
          </w:tcPr>
          <w:p w14:paraId="3BCCE6DE">
            <w:pPr>
              <w:outlineLvl w:val="9"/>
              <w:rPr>
                <w:rFonts w:hint="eastAsia" w:ascii="仿宋" w:hAnsi="仿宋" w:eastAsia="仿宋" w:cs="仿宋"/>
                <w:color w:val="auto"/>
                <w:sz w:val="24"/>
                <w:szCs w:val="24"/>
                <w:highlight w:val="none"/>
              </w:rPr>
            </w:pPr>
          </w:p>
        </w:tc>
        <w:tc>
          <w:tcPr>
            <w:tcW w:w="832" w:type="dxa"/>
          </w:tcPr>
          <w:p w14:paraId="1FF9D919">
            <w:pPr>
              <w:outlineLvl w:val="9"/>
              <w:rPr>
                <w:rFonts w:hint="eastAsia" w:ascii="仿宋" w:hAnsi="仿宋" w:eastAsia="仿宋" w:cs="仿宋"/>
                <w:color w:val="auto"/>
                <w:sz w:val="24"/>
                <w:szCs w:val="24"/>
                <w:highlight w:val="none"/>
              </w:rPr>
            </w:pPr>
          </w:p>
        </w:tc>
        <w:tc>
          <w:tcPr>
            <w:tcW w:w="822" w:type="dxa"/>
          </w:tcPr>
          <w:p w14:paraId="68A6F2F5">
            <w:pPr>
              <w:outlineLvl w:val="9"/>
              <w:rPr>
                <w:rFonts w:hint="eastAsia" w:ascii="仿宋" w:hAnsi="仿宋" w:eastAsia="仿宋" w:cs="仿宋"/>
                <w:color w:val="auto"/>
                <w:sz w:val="24"/>
                <w:szCs w:val="24"/>
                <w:highlight w:val="none"/>
              </w:rPr>
            </w:pPr>
          </w:p>
        </w:tc>
        <w:tc>
          <w:tcPr>
            <w:tcW w:w="514" w:type="dxa"/>
          </w:tcPr>
          <w:p w14:paraId="355F42DB">
            <w:pPr>
              <w:outlineLvl w:val="9"/>
              <w:rPr>
                <w:rFonts w:hint="eastAsia" w:ascii="仿宋" w:hAnsi="仿宋" w:eastAsia="仿宋" w:cs="仿宋"/>
                <w:color w:val="auto"/>
                <w:sz w:val="24"/>
                <w:szCs w:val="24"/>
                <w:highlight w:val="none"/>
              </w:rPr>
            </w:pPr>
          </w:p>
        </w:tc>
        <w:tc>
          <w:tcPr>
            <w:tcW w:w="1377" w:type="dxa"/>
          </w:tcPr>
          <w:p w14:paraId="5F308CA7">
            <w:pPr>
              <w:outlineLvl w:val="9"/>
              <w:rPr>
                <w:rFonts w:hint="eastAsia" w:ascii="仿宋" w:hAnsi="仿宋" w:eastAsia="仿宋" w:cs="仿宋"/>
                <w:color w:val="auto"/>
                <w:sz w:val="24"/>
                <w:szCs w:val="24"/>
                <w:highlight w:val="none"/>
              </w:rPr>
            </w:pPr>
          </w:p>
        </w:tc>
        <w:tc>
          <w:tcPr>
            <w:tcW w:w="1386" w:type="dxa"/>
          </w:tcPr>
          <w:p w14:paraId="33C45051">
            <w:pPr>
              <w:outlineLvl w:val="9"/>
              <w:rPr>
                <w:rFonts w:hint="eastAsia" w:ascii="仿宋" w:hAnsi="仿宋" w:eastAsia="仿宋" w:cs="仿宋"/>
                <w:color w:val="auto"/>
                <w:sz w:val="24"/>
                <w:szCs w:val="24"/>
                <w:highlight w:val="none"/>
              </w:rPr>
            </w:pPr>
          </w:p>
        </w:tc>
      </w:tr>
      <w:tr w14:paraId="3F10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01" w:type="dxa"/>
          </w:tcPr>
          <w:p w14:paraId="282C724C">
            <w:pPr>
              <w:outlineLvl w:val="9"/>
              <w:rPr>
                <w:rFonts w:hint="eastAsia" w:ascii="仿宋" w:hAnsi="仿宋" w:eastAsia="仿宋" w:cs="仿宋"/>
                <w:color w:val="auto"/>
                <w:sz w:val="24"/>
                <w:szCs w:val="24"/>
                <w:highlight w:val="none"/>
              </w:rPr>
            </w:pPr>
          </w:p>
        </w:tc>
        <w:tc>
          <w:tcPr>
            <w:tcW w:w="1461" w:type="dxa"/>
          </w:tcPr>
          <w:p w14:paraId="73A0DF4B">
            <w:pPr>
              <w:outlineLvl w:val="9"/>
              <w:rPr>
                <w:rFonts w:hint="eastAsia" w:ascii="仿宋" w:hAnsi="仿宋" w:eastAsia="仿宋" w:cs="仿宋"/>
                <w:color w:val="auto"/>
                <w:sz w:val="24"/>
                <w:szCs w:val="24"/>
                <w:highlight w:val="none"/>
              </w:rPr>
            </w:pPr>
          </w:p>
        </w:tc>
        <w:tc>
          <w:tcPr>
            <w:tcW w:w="1623" w:type="dxa"/>
          </w:tcPr>
          <w:p w14:paraId="41796DCA">
            <w:pPr>
              <w:outlineLvl w:val="9"/>
              <w:rPr>
                <w:rFonts w:hint="eastAsia" w:ascii="仿宋" w:hAnsi="仿宋" w:eastAsia="仿宋" w:cs="仿宋"/>
                <w:color w:val="auto"/>
                <w:sz w:val="24"/>
                <w:szCs w:val="24"/>
                <w:highlight w:val="none"/>
              </w:rPr>
            </w:pPr>
          </w:p>
        </w:tc>
        <w:tc>
          <w:tcPr>
            <w:tcW w:w="832" w:type="dxa"/>
          </w:tcPr>
          <w:p w14:paraId="0B8E5038">
            <w:pPr>
              <w:outlineLvl w:val="9"/>
              <w:rPr>
                <w:rFonts w:hint="eastAsia" w:ascii="仿宋" w:hAnsi="仿宋" w:eastAsia="仿宋" w:cs="仿宋"/>
                <w:color w:val="auto"/>
                <w:sz w:val="24"/>
                <w:szCs w:val="24"/>
                <w:highlight w:val="none"/>
              </w:rPr>
            </w:pPr>
          </w:p>
        </w:tc>
        <w:tc>
          <w:tcPr>
            <w:tcW w:w="822" w:type="dxa"/>
          </w:tcPr>
          <w:p w14:paraId="53A51C3E">
            <w:pPr>
              <w:outlineLvl w:val="9"/>
              <w:rPr>
                <w:rFonts w:hint="eastAsia" w:ascii="仿宋" w:hAnsi="仿宋" w:eastAsia="仿宋" w:cs="仿宋"/>
                <w:color w:val="auto"/>
                <w:sz w:val="24"/>
                <w:szCs w:val="24"/>
                <w:highlight w:val="none"/>
              </w:rPr>
            </w:pPr>
          </w:p>
        </w:tc>
        <w:tc>
          <w:tcPr>
            <w:tcW w:w="514" w:type="dxa"/>
          </w:tcPr>
          <w:p w14:paraId="0967DAF5">
            <w:pPr>
              <w:outlineLvl w:val="9"/>
              <w:rPr>
                <w:rFonts w:hint="eastAsia" w:ascii="仿宋" w:hAnsi="仿宋" w:eastAsia="仿宋" w:cs="仿宋"/>
                <w:color w:val="auto"/>
                <w:sz w:val="24"/>
                <w:szCs w:val="24"/>
                <w:highlight w:val="none"/>
              </w:rPr>
            </w:pPr>
          </w:p>
        </w:tc>
        <w:tc>
          <w:tcPr>
            <w:tcW w:w="1377" w:type="dxa"/>
          </w:tcPr>
          <w:p w14:paraId="18403233">
            <w:pPr>
              <w:outlineLvl w:val="9"/>
              <w:rPr>
                <w:rFonts w:hint="eastAsia" w:ascii="仿宋" w:hAnsi="仿宋" w:eastAsia="仿宋" w:cs="仿宋"/>
                <w:color w:val="auto"/>
                <w:sz w:val="24"/>
                <w:szCs w:val="24"/>
                <w:highlight w:val="none"/>
              </w:rPr>
            </w:pPr>
          </w:p>
        </w:tc>
        <w:tc>
          <w:tcPr>
            <w:tcW w:w="1386" w:type="dxa"/>
          </w:tcPr>
          <w:p w14:paraId="0528EC44">
            <w:pPr>
              <w:outlineLvl w:val="9"/>
              <w:rPr>
                <w:rFonts w:hint="eastAsia" w:ascii="仿宋" w:hAnsi="仿宋" w:eastAsia="仿宋" w:cs="仿宋"/>
                <w:color w:val="auto"/>
                <w:sz w:val="24"/>
                <w:szCs w:val="24"/>
                <w:highlight w:val="none"/>
              </w:rPr>
            </w:pPr>
          </w:p>
        </w:tc>
      </w:tr>
      <w:tr w14:paraId="03C7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885" w:type="dxa"/>
            <w:gridSpan w:val="3"/>
          </w:tcPr>
          <w:p w14:paraId="0FBFCB5C">
            <w:pPr>
              <w:outlineLvl w:val="9"/>
              <w:rPr>
                <w:rFonts w:hint="eastAsia" w:ascii="仿宋" w:hAnsi="仿宋" w:eastAsia="仿宋" w:cs="仿宋"/>
                <w:color w:val="auto"/>
                <w:sz w:val="24"/>
                <w:szCs w:val="24"/>
                <w:highlight w:val="none"/>
              </w:rPr>
            </w:pPr>
            <w:bookmarkStart w:id="43" w:name="_Toc10934"/>
            <w:bookmarkStart w:id="44" w:name="_Toc15703"/>
            <w:bookmarkStart w:id="45" w:name="_Toc18746"/>
            <w:bookmarkStart w:id="46" w:name="_Toc16401"/>
            <w:bookmarkStart w:id="47" w:name="_Toc25107"/>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14:paraId="4542B2C3">
            <w:pPr>
              <w:outlineLvl w:val="9"/>
              <w:rPr>
                <w:rFonts w:hint="eastAsia" w:ascii="仿宋" w:hAnsi="仿宋" w:eastAsia="仿宋" w:cs="仿宋"/>
                <w:color w:val="auto"/>
                <w:sz w:val="24"/>
                <w:szCs w:val="24"/>
                <w:highlight w:val="none"/>
              </w:rPr>
            </w:pPr>
            <w:bookmarkStart w:id="48" w:name="_Toc9771"/>
            <w:bookmarkStart w:id="49" w:name="_Toc18304"/>
            <w:bookmarkStart w:id="50" w:name="_Toc10002"/>
            <w:bookmarkStart w:id="51" w:name="_Toc3316"/>
            <w:bookmarkStart w:id="52" w:name="_Toc31431"/>
            <w:r>
              <w:rPr>
                <w:rFonts w:hint="eastAsia" w:ascii="仿宋" w:hAnsi="仿宋" w:eastAsia="仿宋" w:cs="仿宋"/>
                <w:color w:val="auto"/>
                <w:sz w:val="24"/>
                <w:szCs w:val="24"/>
                <w:highlight w:val="none"/>
              </w:rPr>
              <w:t>¥</w:t>
            </w:r>
            <w:bookmarkEnd w:id="48"/>
            <w:bookmarkEnd w:id="49"/>
            <w:bookmarkEnd w:id="50"/>
            <w:bookmarkEnd w:id="51"/>
            <w:bookmarkEnd w:id="52"/>
          </w:p>
        </w:tc>
      </w:tr>
    </w:tbl>
    <w:p w14:paraId="2929CF9D">
      <w:pPr>
        <w:pStyle w:val="3"/>
        <w:spacing w:line="360" w:lineRule="auto"/>
        <w:jc w:val="both"/>
        <w:rPr>
          <w:rFonts w:hint="eastAsia" w:ascii="仿宋" w:hAnsi="仿宋" w:eastAsia="仿宋" w:cs="仿宋"/>
          <w:color w:val="auto"/>
          <w:sz w:val="24"/>
          <w:szCs w:val="24"/>
          <w:highlight w:val="none"/>
        </w:rPr>
      </w:pPr>
      <w:bookmarkStart w:id="53" w:name="_Toc28512"/>
      <w:bookmarkStart w:id="54" w:name="_Toc6586"/>
      <w:bookmarkStart w:id="55" w:name="_Toc14881"/>
      <w:r>
        <w:rPr>
          <w:rFonts w:hint="eastAsia" w:ascii="仿宋" w:hAnsi="仿宋" w:eastAsia="仿宋" w:cs="仿宋"/>
          <w:color w:val="auto"/>
          <w:sz w:val="24"/>
          <w:szCs w:val="24"/>
          <w:highlight w:val="none"/>
        </w:rPr>
        <w:t>第二条 合同价款</w:t>
      </w:r>
      <w:bookmarkEnd w:id="53"/>
      <w:bookmarkEnd w:id="54"/>
      <w:bookmarkEnd w:id="55"/>
    </w:p>
    <w:p w14:paraId="44F8F86F">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14:paraId="00FE2563">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14:paraId="66FE1ABD">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14:paraId="50B6A5A4">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14:paraId="3052C521">
      <w:pPr>
        <w:pStyle w:val="3"/>
        <w:spacing w:line="360" w:lineRule="auto"/>
        <w:jc w:val="both"/>
        <w:rPr>
          <w:rFonts w:hint="default" w:ascii="仿宋" w:hAnsi="仿宋" w:eastAsia="仿宋" w:cs="仿宋"/>
          <w:color w:val="auto"/>
          <w:sz w:val="24"/>
          <w:szCs w:val="24"/>
          <w:highlight w:val="none"/>
          <w:lang w:val="en-US" w:eastAsia="zh-CN"/>
        </w:rPr>
      </w:pPr>
      <w:bookmarkStart w:id="57" w:name="_Toc2721"/>
      <w:bookmarkStart w:id="58" w:name="_Toc14426"/>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14:paraId="16676085">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59" w:name="_Toc7450"/>
      <w:bookmarkStart w:id="60" w:name="_Toc7176"/>
      <w:bookmarkStart w:id="61" w:name="_Toc24977"/>
      <w:r>
        <w:rPr>
          <w:rFonts w:hint="eastAsia" w:ascii="仿宋" w:hAnsi="仿宋" w:eastAsia="仿宋" w:cs="仿宋"/>
          <w:b w:val="0"/>
          <w:bCs w:val="0"/>
          <w:color w:val="auto"/>
          <w:kern w:val="1"/>
          <w:sz w:val="24"/>
          <w:szCs w:val="24"/>
          <w:highlight w:val="none"/>
          <w:lang w:val="en-US" w:eastAsia="zh-CN" w:bidi="ar-SA"/>
        </w:rPr>
        <w:t>采购包1： 付款条件说明：合同签订后，达到付款条件起10日内，支付合同总金额的 40.00%。</w:t>
      </w:r>
    </w:p>
    <w:p w14:paraId="449DF004">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采购包1： 付款条件说明：项目经采购人验收合格后，达到付款条件起10 日内，支付合同总金额的60.00%。</w:t>
      </w:r>
    </w:p>
    <w:p w14:paraId="09A8169F">
      <w:pPr>
        <w:pStyle w:val="3"/>
        <w:keepNext w:val="0"/>
        <w:keepLines w:val="0"/>
        <w:pageBreakBefore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第四条 </w:t>
      </w:r>
      <w:r>
        <w:rPr>
          <w:rFonts w:hint="eastAsia" w:ascii="仿宋" w:hAnsi="仿宋" w:eastAsia="仿宋" w:cs="仿宋"/>
          <w:color w:val="auto"/>
          <w:sz w:val="24"/>
          <w:szCs w:val="24"/>
          <w:highlight w:val="none"/>
        </w:rPr>
        <w:t>交</w:t>
      </w:r>
      <w:r>
        <w:rPr>
          <w:rFonts w:hint="eastAsia" w:ascii="仿宋" w:hAnsi="仿宋" w:eastAsia="仿宋" w:cs="仿宋"/>
          <w:color w:val="auto"/>
          <w:sz w:val="24"/>
          <w:szCs w:val="24"/>
          <w:highlight w:val="none"/>
          <w:lang w:val="en-US" w:eastAsia="zh-CN"/>
        </w:rPr>
        <w:t>货期限</w:t>
      </w:r>
      <w:bookmarkEnd w:id="59"/>
      <w:bookmarkEnd w:id="60"/>
      <w:bookmarkEnd w:id="61"/>
    </w:p>
    <w:p w14:paraId="7CF1C0B1">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62" w:name="_Toc8595"/>
      <w:r>
        <w:rPr>
          <w:rFonts w:hint="eastAsia" w:ascii="仿宋" w:hAnsi="仿宋" w:eastAsia="仿宋" w:cs="仿宋"/>
          <w:b w:val="0"/>
          <w:bCs w:val="0"/>
          <w:color w:val="auto"/>
          <w:kern w:val="1"/>
          <w:sz w:val="24"/>
          <w:szCs w:val="24"/>
          <w:highlight w:val="none"/>
          <w:lang w:val="en-US" w:eastAsia="zh-CN" w:bidi="ar-SA"/>
        </w:rPr>
        <w:t>合同签订后30 日历天内安装调试完成并保证可正常使用。</w:t>
      </w:r>
    </w:p>
    <w:p w14:paraId="4902878E">
      <w:pPr>
        <w:pStyle w:val="16"/>
        <w:keepNext w:val="0"/>
        <w:keepLines w:val="0"/>
        <w:pageBreakBefore w:val="0"/>
        <w:kinsoku/>
        <w:wordWrap/>
        <w:overflowPunct/>
        <w:topLinePunct w:val="0"/>
        <w:autoSpaceDE/>
        <w:autoSpaceDN/>
        <w:bidi w:val="0"/>
        <w:adjustRightInd w:val="0"/>
        <w:snapToGrid w:val="0"/>
        <w:spacing w:line="360" w:lineRule="auto"/>
        <w:textAlignment w:val="auto"/>
        <w:outlineLvl w:val="3"/>
        <w:rPr>
          <w:color w:val="auto"/>
        </w:rPr>
      </w:pPr>
      <w:r>
        <w:rPr>
          <w:rFonts w:hint="eastAsia" w:ascii="仿宋" w:hAnsi="仿宋" w:eastAsia="仿宋" w:cs="仿宋"/>
          <w:b/>
          <w:bCs/>
          <w:color w:val="auto"/>
          <w:kern w:val="0"/>
          <w:sz w:val="24"/>
          <w:szCs w:val="24"/>
          <w:highlight w:val="none"/>
          <w:lang w:val="en-US" w:eastAsia="zh-CN" w:bidi="ar-SA"/>
        </w:rPr>
        <w:t xml:space="preserve">第五条 </w:t>
      </w:r>
      <w:r>
        <w:rPr>
          <w:rFonts w:ascii="仿宋_GB2312" w:hAnsi="仿宋_GB2312" w:eastAsia="仿宋_GB2312" w:cs="仿宋_GB2312"/>
          <w:b/>
          <w:color w:val="auto"/>
          <w:sz w:val="24"/>
        </w:rPr>
        <w:t>质量保修范围和保修期</w:t>
      </w:r>
    </w:p>
    <w:p w14:paraId="3FC5AC76">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63" w:name="_Toc18347"/>
      <w:bookmarkStart w:id="64" w:name="_Toc2774"/>
      <w:r>
        <w:rPr>
          <w:rFonts w:hint="eastAsia" w:ascii="仿宋" w:hAnsi="仿宋" w:eastAsia="仿宋" w:cs="仿宋"/>
          <w:b w:val="0"/>
          <w:bCs w:val="0"/>
          <w:color w:val="auto"/>
          <w:kern w:val="1"/>
          <w:sz w:val="24"/>
          <w:szCs w:val="24"/>
          <w:highlight w:val="none"/>
          <w:lang w:val="en-US" w:eastAsia="zh-CN" w:bidi="ar-SA"/>
        </w:rPr>
        <w:t>1.提供硬件部分三年质保软件部分一年质保。质保期结束后，按相关收费标准提供相应服务：系统软件维保按照软件费用10%进行收费；硬件维修根据损坏情况确定维修价格，硬件更换按照当时厂家对应报价收取费用。</w:t>
      </w:r>
    </w:p>
    <w:p w14:paraId="717E83E9">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2.提供7*12小时客户服务电话，接到紧急故障报修信息起，响应时间不超过1个小时。</w:t>
      </w:r>
    </w:p>
    <w:p w14:paraId="6BA3FCE6">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3.按国家有关规定和合同条款约定的保修项目、内容、范围、期限进行保修，保修期从验收合格之日算起。</w:t>
      </w:r>
    </w:p>
    <w:p w14:paraId="09B7426E">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4.质保期内，除不可抗拒事件（雷击、电力事故、洪水、火灾、地震、战争等）或由学校自行搬运和操作不当、人为破坏引起的设备故障外，对所提供的全部设备在正常条件和环境下运行时由于设备自身缺陷引起的故障，负责免费维护。</w:t>
      </w:r>
      <w:bookmarkStart w:id="65" w:name="bookmark41"/>
      <w:bookmarkEnd w:id="65"/>
    </w:p>
    <w:p w14:paraId="092B294C">
      <w:pPr>
        <w:pStyle w:val="3"/>
        <w:keepNext w:val="0"/>
        <w:keepLines w:val="0"/>
        <w:pageBreakBefore w:val="0"/>
        <w:kinsoku/>
        <w:wordWrap/>
        <w:overflowPunct/>
        <w:topLinePunct w:val="0"/>
        <w:autoSpaceDE/>
        <w:autoSpaceDN/>
        <w:bidi w:val="0"/>
        <w:adjustRightInd w:val="0"/>
        <w:snapToGrid w:val="0"/>
        <w:spacing w:line="360" w:lineRule="auto"/>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第六条 </w:t>
      </w:r>
      <w:bookmarkEnd w:id="62"/>
      <w:bookmarkEnd w:id="63"/>
      <w:bookmarkEnd w:id="64"/>
      <w:r>
        <w:rPr>
          <w:rFonts w:ascii="仿宋_GB2312" w:hAnsi="仿宋_GB2312" w:eastAsia="仿宋_GB2312" w:cs="仿宋_GB2312"/>
          <w:b/>
          <w:sz w:val="24"/>
        </w:rPr>
        <w:t>考核（验收）标准和方法</w:t>
      </w:r>
    </w:p>
    <w:p w14:paraId="4158EB00">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bookmarkStart w:id="66" w:name="_Toc5147"/>
      <w:bookmarkStart w:id="67" w:name="_Toc26000"/>
      <w:bookmarkStart w:id="68" w:name="_Toc23635"/>
      <w:r>
        <w:rPr>
          <w:rFonts w:hint="eastAsia" w:ascii="仿宋" w:hAnsi="仿宋" w:eastAsia="仿宋" w:cs="仿宋"/>
          <w:b w:val="0"/>
          <w:bCs w:val="0"/>
          <w:color w:val="auto"/>
          <w:kern w:val="1"/>
          <w:sz w:val="24"/>
          <w:szCs w:val="24"/>
          <w:highlight w:val="none"/>
          <w:lang w:val="en-US" w:eastAsia="zh-CN" w:bidi="ar-SA"/>
        </w:rPr>
        <w:t>1.到货验收由采购方组织实施。</w:t>
      </w:r>
    </w:p>
    <w:p w14:paraId="7694ACD6">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2.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w:t>
      </w:r>
    </w:p>
    <w:p w14:paraId="111E5EF2">
      <w:pPr>
        <w:pStyle w:val="16"/>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val="0"/>
          <w:color w:val="auto"/>
          <w:kern w:val="1"/>
          <w:sz w:val="24"/>
          <w:szCs w:val="24"/>
          <w:highlight w:val="none"/>
          <w:lang w:val="en-US" w:eastAsia="zh-CN" w:bidi="ar-SA"/>
        </w:rPr>
      </w:pPr>
      <w:r>
        <w:rPr>
          <w:rFonts w:hint="eastAsia" w:ascii="仿宋" w:hAnsi="仿宋" w:eastAsia="仿宋" w:cs="仿宋"/>
          <w:b w:val="0"/>
          <w:bCs w:val="0"/>
          <w:color w:val="auto"/>
          <w:kern w:val="1"/>
          <w:sz w:val="24"/>
          <w:szCs w:val="24"/>
          <w:highlight w:val="none"/>
          <w:lang w:val="en-US" w:eastAsia="zh-CN" w:bidi="ar-SA"/>
        </w:rPr>
        <w:t>3.验收依据：①谈判文件、响应文件、澄清表（函）；②本合同及附件文本；③国家相应的标准、规范。</w:t>
      </w:r>
    </w:p>
    <w:p w14:paraId="05F88AFA">
      <w:pPr>
        <w:pStyle w:val="14"/>
        <w:spacing w:line="360" w:lineRule="auto"/>
        <w:ind w:left="0" w:leftChars="0" w:firstLine="0" w:firstLineChars="0"/>
        <w:outlineLvl w:val="1"/>
        <w:rPr>
          <w:rFonts w:hint="eastAsia" w:ascii="仿宋" w:hAnsi="仿宋" w:eastAsia="仿宋" w:cs="仿宋"/>
          <w:b/>
          <w:color w:val="auto"/>
          <w:highlight w:val="none"/>
        </w:rPr>
      </w:pPr>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权利保证</w:t>
      </w:r>
      <w:bookmarkEnd w:id="66"/>
      <w:bookmarkEnd w:id="67"/>
      <w:bookmarkEnd w:id="68"/>
    </w:p>
    <w:p w14:paraId="63F24973">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14:paraId="68EE90FD">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14:paraId="2229E764">
      <w:pPr>
        <w:pStyle w:val="14"/>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14:paraId="40A07859">
      <w:pPr>
        <w:pStyle w:val="14"/>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14:paraId="6C8C3E9A">
      <w:pPr>
        <w:pStyle w:val="14"/>
        <w:spacing w:line="360" w:lineRule="auto"/>
        <w:ind w:left="0" w:leftChars="0" w:firstLine="0" w:firstLineChars="0"/>
        <w:outlineLvl w:val="1"/>
        <w:rPr>
          <w:rFonts w:hint="default" w:ascii="仿宋" w:hAnsi="仿宋" w:eastAsia="仿宋" w:cs="仿宋"/>
          <w:b/>
          <w:color w:val="auto"/>
          <w:highlight w:val="none"/>
          <w:lang w:val="en-US" w:eastAsia="zh-CN"/>
        </w:rPr>
      </w:pPr>
      <w:bookmarkStart w:id="69" w:name="_Toc31476"/>
      <w:bookmarkStart w:id="70" w:name="_Toc31505"/>
      <w:bookmarkStart w:id="71" w:name="_Toc18410"/>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售后服务</w:t>
      </w:r>
      <w:bookmarkEnd w:id="69"/>
      <w:bookmarkEnd w:id="70"/>
      <w:bookmarkEnd w:id="71"/>
      <w:r>
        <w:rPr>
          <w:rFonts w:hint="eastAsia" w:ascii="仿宋" w:hAnsi="仿宋" w:eastAsia="仿宋" w:cs="仿宋"/>
          <w:b/>
          <w:color w:val="auto"/>
          <w:highlight w:val="none"/>
          <w:lang w:val="en-US" w:eastAsia="zh-CN"/>
        </w:rPr>
        <w:t>及培训</w:t>
      </w:r>
    </w:p>
    <w:p w14:paraId="45217E55">
      <w:pPr>
        <w:pStyle w:val="14"/>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w:t>
      </w:r>
      <w:r>
        <w:rPr>
          <w:rFonts w:hint="eastAsia" w:ascii="仿宋" w:hAnsi="仿宋" w:eastAsia="仿宋" w:cs="仿宋"/>
          <w:color w:val="auto"/>
          <w:kern w:val="0"/>
          <w:highlight w:val="none"/>
          <w:lang w:eastAsia="zh-CN"/>
        </w:rPr>
        <w:t>采购文件</w:t>
      </w:r>
      <w:r>
        <w:rPr>
          <w:rFonts w:hint="eastAsia" w:ascii="仿宋" w:hAnsi="仿宋" w:eastAsia="仿宋" w:cs="仿宋"/>
          <w:color w:val="auto"/>
          <w:kern w:val="0"/>
          <w:highlight w:val="none"/>
        </w:rPr>
        <w:t>要求和</w:t>
      </w:r>
      <w:r>
        <w:rPr>
          <w:rFonts w:hint="eastAsia" w:ascii="仿宋" w:hAnsi="仿宋" w:eastAsia="仿宋" w:cs="仿宋"/>
          <w:color w:val="auto"/>
          <w:kern w:val="0"/>
          <w:highlight w:val="none"/>
          <w:lang w:eastAsia="zh-CN"/>
        </w:rPr>
        <w:t>响应文件</w:t>
      </w:r>
      <w:r>
        <w:rPr>
          <w:rFonts w:hint="eastAsia" w:ascii="仿宋" w:hAnsi="仿宋" w:eastAsia="仿宋" w:cs="仿宋"/>
          <w:color w:val="auto"/>
          <w:kern w:val="0"/>
          <w:highlight w:val="none"/>
        </w:rPr>
        <w:t>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14:paraId="39246399">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乙方负责提供仪器设备相应的技术资料，包括产品合格证、产品保修单、安装使用及维护说明书以及运输装箱清单等,并对所有技术材料的真实性、准确性、先进性、完整性负责。</w:t>
      </w:r>
    </w:p>
    <w:p w14:paraId="3EAB740F">
      <w:pPr>
        <w:pStyle w:val="14"/>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仿宋" w:hAnsi="仿宋" w:eastAsia="仿宋" w:cs="仿宋"/>
          <w:b/>
          <w:color w:val="auto"/>
          <w:highlight w:val="none"/>
        </w:rPr>
      </w:pPr>
      <w:bookmarkStart w:id="72" w:name="_Toc28698"/>
      <w:bookmarkStart w:id="73" w:name="_Toc3711"/>
      <w:bookmarkStart w:id="74" w:name="_Toc3919"/>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九</w:t>
      </w:r>
      <w:r>
        <w:rPr>
          <w:rFonts w:hint="eastAsia" w:ascii="仿宋" w:hAnsi="仿宋" w:eastAsia="仿宋" w:cs="仿宋"/>
          <w:b/>
          <w:color w:val="auto"/>
          <w:highlight w:val="none"/>
        </w:rPr>
        <w:t xml:space="preserve">条 </w:t>
      </w:r>
      <w:bookmarkEnd w:id="72"/>
      <w:bookmarkEnd w:id="73"/>
      <w:bookmarkEnd w:id="74"/>
      <w:r>
        <w:rPr>
          <w:rFonts w:hint="eastAsia" w:ascii="仿宋" w:hAnsi="仿宋" w:eastAsia="仿宋" w:cs="仿宋"/>
          <w:b/>
          <w:color w:val="auto"/>
          <w:highlight w:val="none"/>
        </w:rPr>
        <w:t>违约责任与解决争议的方法</w:t>
      </w:r>
    </w:p>
    <w:p w14:paraId="60AB1885">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bookmarkStart w:id="75" w:name="_Toc13805"/>
      <w:bookmarkStart w:id="76" w:name="_Toc17126"/>
      <w:bookmarkStart w:id="77" w:name="_Toc27557"/>
      <w:r>
        <w:rPr>
          <w:rFonts w:hint="eastAsia" w:ascii="仿宋" w:hAnsi="仿宋" w:eastAsia="仿宋" w:cs="仿宋"/>
          <w:color w:val="auto"/>
          <w:kern w:val="0"/>
          <w:sz w:val="24"/>
          <w:szCs w:val="24"/>
          <w:highlight w:val="none"/>
          <w:lang w:val="en-US" w:eastAsia="zh-CN" w:bidi="ar-SA"/>
        </w:rPr>
        <w:t xml:space="preserve">1.按《中华人民共和国民法典》中的相关条款执行。 </w:t>
      </w:r>
    </w:p>
    <w:p w14:paraId="0BCAC348">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2.未按合同要求提供的服务，采购人有权终止合同和对供应商的违约行为进行追究。</w:t>
      </w:r>
    </w:p>
    <w:p w14:paraId="0015563C">
      <w:pPr>
        <w:widowControl/>
        <w:spacing w:line="360" w:lineRule="auto"/>
        <w:jc w:val="left"/>
        <w:outlineLvl w:val="1"/>
        <w:rPr>
          <w:rFonts w:hint="eastAsia" w:ascii="仿宋" w:hAnsi="仿宋" w:eastAsia="仿宋" w:cs="仿宋"/>
          <w:color w:val="auto"/>
          <w:kern w:val="0"/>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5"/>
      <w:bookmarkEnd w:id="76"/>
      <w:bookmarkEnd w:id="77"/>
    </w:p>
    <w:p w14:paraId="164ADDE7">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14:paraId="061C9981">
      <w:pPr>
        <w:snapToGrid w:val="0"/>
        <w:spacing w:line="360" w:lineRule="auto"/>
        <w:textAlignment w:val="baseline"/>
        <w:outlineLvl w:val="1"/>
        <w:rPr>
          <w:rFonts w:hint="eastAsia" w:ascii="仿宋" w:hAnsi="仿宋" w:eastAsia="仿宋" w:cs="仿宋"/>
          <w:b/>
          <w:color w:val="auto"/>
          <w:sz w:val="24"/>
          <w:szCs w:val="24"/>
          <w:highlight w:val="none"/>
        </w:rPr>
      </w:pPr>
      <w:bookmarkStart w:id="78" w:name="_Toc24039"/>
      <w:bookmarkStart w:id="79" w:name="_Toc6911"/>
      <w:bookmarkStart w:id="80" w:name="_Toc26051"/>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78"/>
      <w:bookmarkEnd w:id="79"/>
      <w:bookmarkEnd w:id="80"/>
    </w:p>
    <w:p w14:paraId="1D804447">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E697D53">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25C37988">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r>
        <w:rPr>
          <w:rFonts w:hint="eastAsia" w:ascii="仿宋" w:hAnsi="仿宋" w:eastAsia="仿宋" w:cs="仿宋"/>
          <w:color w:val="auto"/>
          <w:sz w:val="24"/>
          <w:szCs w:val="24"/>
          <w:highlight w:val="none"/>
        </w:rPr>
        <w:tab/>
      </w:r>
    </w:p>
    <w:p w14:paraId="5DF6D8F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14:paraId="32B2982B">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文件(含澄清或者修改文件)</w:t>
      </w:r>
    </w:p>
    <w:p w14:paraId="678BF126">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w:t>
      </w:r>
    </w:p>
    <w:p w14:paraId="14A7EFEC">
      <w:pPr>
        <w:snapToGrid w:val="0"/>
        <w:spacing w:line="360" w:lineRule="auto"/>
        <w:outlineLvl w:val="1"/>
        <w:rPr>
          <w:rFonts w:hint="eastAsia" w:ascii="仿宋" w:hAnsi="仿宋" w:eastAsia="仿宋" w:cs="仿宋"/>
          <w:b/>
          <w:color w:val="auto"/>
          <w:kern w:val="0"/>
          <w:sz w:val="24"/>
          <w:szCs w:val="24"/>
          <w:highlight w:val="none"/>
        </w:rPr>
      </w:pPr>
      <w:bookmarkStart w:id="81" w:name="_Toc32342"/>
      <w:bookmarkStart w:id="82" w:name="_Toc1382"/>
      <w:bookmarkStart w:id="83" w:name="_Toc1384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1"/>
      <w:bookmarkEnd w:id="82"/>
      <w:bookmarkEnd w:id="83"/>
    </w:p>
    <w:p w14:paraId="38A763C0">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14:paraId="4DCDC727">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14:paraId="2382555E">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份，具有同等法律效力，甲乙双方各执</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w:t>
      </w:r>
    </w:p>
    <w:p w14:paraId="48B42099">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4.合同附件：技术协议、采购文件、响应文件、成交</w:t>
      </w:r>
      <w:bookmarkStart w:id="84" w:name="_GoBack"/>
      <w:bookmarkEnd w:id="84"/>
      <w:r>
        <w:rPr>
          <w:rFonts w:hint="eastAsia" w:ascii="仿宋" w:hAnsi="仿宋" w:eastAsia="仿宋" w:cs="仿宋"/>
          <w:color w:val="auto"/>
          <w:sz w:val="24"/>
          <w:szCs w:val="24"/>
          <w:highlight w:val="none"/>
          <w:lang w:val="en-US" w:eastAsia="zh-CN"/>
        </w:rPr>
        <w:t>通知书</w:t>
      </w:r>
    </w:p>
    <w:p w14:paraId="4906A1D2">
      <w:pPr>
        <w:spacing w:line="360" w:lineRule="auto"/>
        <w:ind w:firstLine="480" w:firstLineChars="200"/>
        <w:rPr>
          <w:rFonts w:hint="eastAsia" w:ascii="仿宋" w:hAnsi="仿宋" w:eastAsia="仿宋" w:cs="仿宋"/>
          <w:color w:val="auto"/>
          <w:sz w:val="24"/>
          <w:szCs w:val="24"/>
          <w:highlight w:val="none"/>
        </w:rPr>
      </w:pPr>
    </w:p>
    <w:p w14:paraId="11F4DA8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14:paraId="5964218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42CA00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C3CC94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707114C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14:paraId="7C3978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6D76C60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43C510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14:paraId="2DE32A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A5ACE0C-6A37-4F96-9AC9-87E7B5EEA0F1}"/>
  </w:font>
  <w:font w:name="Cambria">
    <w:panose1 w:val="02040503050406030204"/>
    <w:charset w:val="00"/>
    <w:family w:val="roman"/>
    <w:pitch w:val="default"/>
    <w:sig w:usb0="E00006FF" w:usb1="420024FF" w:usb2="02000000" w:usb3="00000000" w:csb0="2000019F" w:csb1="00000000"/>
  </w:font>
  <w:font w:name="方正小标宋简体">
    <w:panose1 w:val="02010600010101010101"/>
    <w:charset w:val="86"/>
    <w:family w:val="auto"/>
    <w:pitch w:val="default"/>
    <w:sig w:usb0="00000001" w:usb1="080E0000" w:usb2="00000000" w:usb3="00000000" w:csb0="00040000" w:csb1="00000000"/>
    <w:embedRegular r:id="rId2" w:fontKey="{E98E44E0-2958-44E5-9114-9BFB4E8851BB}"/>
  </w:font>
  <w:font w:name="仿宋">
    <w:panose1 w:val="02010609060101010101"/>
    <w:charset w:val="86"/>
    <w:family w:val="modern"/>
    <w:pitch w:val="default"/>
    <w:sig w:usb0="800002BF" w:usb1="38CF7CFA" w:usb2="00000016" w:usb3="00000000" w:csb0="00040001" w:csb1="00000000"/>
    <w:embedRegular r:id="rId3" w:fontKey="{85BD3F7A-7DA7-4905-BE2A-1D507A56E516}"/>
  </w:font>
  <w:font w:name="仿宋_GB2312">
    <w:altName w:val="仿宋"/>
    <w:panose1 w:val="00000000000000000000"/>
    <w:charset w:val="00"/>
    <w:family w:val="auto"/>
    <w:pitch w:val="default"/>
    <w:sig w:usb0="00000000" w:usb1="00000000" w:usb2="00000000" w:usb3="00000000" w:csb0="00000000" w:csb1="00000000"/>
    <w:embedRegular r:id="rId4" w:fontKey="{08503D30-A21E-46CD-ADC0-0A44937F56F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38E42B80"/>
    <w:rsid w:val="020E02AA"/>
    <w:rsid w:val="03DF3BE5"/>
    <w:rsid w:val="06450013"/>
    <w:rsid w:val="06824DC3"/>
    <w:rsid w:val="07E51AAD"/>
    <w:rsid w:val="0B1A04DC"/>
    <w:rsid w:val="0C0544CC"/>
    <w:rsid w:val="0E2B3F92"/>
    <w:rsid w:val="0FBA381F"/>
    <w:rsid w:val="0FE47B20"/>
    <w:rsid w:val="123F625E"/>
    <w:rsid w:val="16EB2510"/>
    <w:rsid w:val="17E72CD8"/>
    <w:rsid w:val="180B4E43"/>
    <w:rsid w:val="1867206B"/>
    <w:rsid w:val="18FE2B4F"/>
    <w:rsid w:val="1D3C5874"/>
    <w:rsid w:val="1D3C6D55"/>
    <w:rsid w:val="1D796AC8"/>
    <w:rsid w:val="21B302F6"/>
    <w:rsid w:val="25546803"/>
    <w:rsid w:val="263C4B36"/>
    <w:rsid w:val="264913D7"/>
    <w:rsid w:val="28D127AC"/>
    <w:rsid w:val="2A7C59B7"/>
    <w:rsid w:val="2B7C0017"/>
    <w:rsid w:val="2F95544C"/>
    <w:rsid w:val="31570A76"/>
    <w:rsid w:val="321150C9"/>
    <w:rsid w:val="328422AA"/>
    <w:rsid w:val="32F16976"/>
    <w:rsid w:val="33613CE8"/>
    <w:rsid w:val="33E4755F"/>
    <w:rsid w:val="354F3848"/>
    <w:rsid w:val="38E42B80"/>
    <w:rsid w:val="390D7DB6"/>
    <w:rsid w:val="39186D3D"/>
    <w:rsid w:val="397078B6"/>
    <w:rsid w:val="3D0A09CF"/>
    <w:rsid w:val="3EB2121E"/>
    <w:rsid w:val="40C434E9"/>
    <w:rsid w:val="45A04342"/>
    <w:rsid w:val="46040D75"/>
    <w:rsid w:val="4A7E6C1C"/>
    <w:rsid w:val="4BB548C0"/>
    <w:rsid w:val="4E4361B3"/>
    <w:rsid w:val="4EDE7C89"/>
    <w:rsid w:val="4FB97F09"/>
    <w:rsid w:val="54280325"/>
    <w:rsid w:val="549F610D"/>
    <w:rsid w:val="56881917"/>
    <w:rsid w:val="56B31FEC"/>
    <w:rsid w:val="59F42A57"/>
    <w:rsid w:val="5CE31541"/>
    <w:rsid w:val="61984CBF"/>
    <w:rsid w:val="643B2AF7"/>
    <w:rsid w:val="672D34DB"/>
    <w:rsid w:val="6BEE7E41"/>
    <w:rsid w:val="6BF95CAB"/>
    <w:rsid w:val="6D8433DC"/>
    <w:rsid w:val="6E184C75"/>
    <w:rsid w:val="6ED547AD"/>
    <w:rsid w:val="70180DF5"/>
    <w:rsid w:val="70427DDE"/>
    <w:rsid w:val="70695446"/>
    <w:rsid w:val="73920EBF"/>
    <w:rsid w:val="73D828EE"/>
    <w:rsid w:val="751122B7"/>
    <w:rsid w:val="759A04FF"/>
    <w:rsid w:val="75A373CD"/>
    <w:rsid w:val="7A2D5DFC"/>
    <w:rsid w:val="7A6723E9"/>
    <w:rsid w:val="7A6C1FF8"/>
    <w:rsid w:val="7C9932BE"/>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autoRedefine/>
    <w:qFormat/>
    <w:uiPriority w:val="0"/>
    <w:pPr>
      <w:jc w:val="center"/>
      <w:outlineLvl w:val="0"/>
    </w:pPr>
    <w:rPr>
      <w:rFonts w:ascii="宋体" w:hAnsi="宋体"/>
      <w:b/>
      <w:sz w:val="36"/>
    </w:rPr>
  </w:style>
  <w:style w:type="paragraph" w:styleId="3">
    <w:name w:val="heading 2"/>
    <w:basedOn w:val="1"/>
    <w:next w:val="1"/>
    <w:autoRedefine/>
    <w:qFormat/>
    <w:uiPriority w:val="0"/>
    <w:pPr>
      <w:spacing w:line="360" w:lineRule="auto"/>
      <w:jc w:val="center"/>
      <w:outlineLvl w:val="1"/>
    </w:pPr>
    <w:rPr>
      <w:rFonts w:ascii="Arial" w:hAnsi="Arial" w:eastAsia="黑体"/>
      <w:b/>
      <w:bCs/>
      <w:kern w:val="0"/>
      <w:sz w:val="32"/>
      <w:szCs w:val="32"/>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autoRedefine/>
    <w:qFormat/>
    <w:uiPriority w:val="0"/>
    <w:pPr>
      <w:adjustRightInd w:val="0"/>
      <w:spacing w:line="312" w:lineRule="atLeast"/>
      <w:ind w:firstLine="420"/>
      <w:textAlignment w:val="baseline"/>
    </w:pPr>
    <w:rPr>
      <w:rFonts w:ascii="宋体"/>
      <w:kern w:val="0"/>
    </w:rPr>
  </w:style>
  <w:style w:type="paragraph" w:styleId="5">
    <w:name w:val="annotation text"/>
    <w:basedOn w:val="1"/>
    <w:qFormat/>
    <w:uiPriority w:val="0"/>
    <w:pPr>
      <w:jc w:val="left"/>
    </w:pPr>
  </w:style>
  <w:style w:type="paragraph" w:styleId="6">
    <w:name w:val="Body Text"/>
    <w:basedOn w:val="1"/>
    <w:next w:val="1"/>
    <w:autoRedefine/>
    <w:qFormat/>
    <w:uiPriority w:val="0"/>
    <w:pPr>
      <w:spacing w:after="120"/>
    </w:pPr>
    <w:rPr>
      <w:rFonts w:ascii="Times New Roman" w:hAnsi="Times New Roman"/>
    </w:rPr>
  </w:style>
  <w:style w:type="paragraph" w:styleId="7">
    <w:name w:val="Body Text Indent"/>
    <w:basedOn w:val="1"/>
    <w:next w:val="8"/>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footer"/>
    <w:basedOn w:val="1"/>
    <w:autoRedefine/>
    <w:qFormat/>
    <w:uiPriority w:val="0"/>
    <w:pPr>
      <w:tabs>
        <w:tab w:val="center" w:pos="4140"/>
        <w:tab w:val="right" w:pos="8300"/>
      </w:tabs>
      <w:snapToGrid w:val="0"/>
      <w:jc w:val="left"/>
    </w:pPr>
    <w:rPr>
      <w:rFonts w:ascii="Times New Roman" w:hAnsi="Times New Roman" w:cs="Times New Roman"/>
      <w:sz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Body Text First Indent 2"/>
    <w:basedOn w:val="7"/>
    <w:next w:val="1"/>
    <w:autoRedefine/>
    <w:qFormat/>
    <w:uiPriority w:val="0"/>
    <w:pPr>
      <w:ind w:firstLine="420" w:firstLineChars="200"/>
    </w:pPr>
    <w:rPr>
      <w:sz w:val="21"/>
    </w:rPr>
  </w:style>
  <w:style w:type="paragraph" w:customStyle="1" w:styleId="14">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5">
    <w:name w:val="标题 41"/>
    <w:basedOn w:val="1"/>
    <w:autoRedefine/>
    <w:qFormat/>
    <w:uiPriority w:val="1"/>
    <w:pPr>
      <w:ind w:left="1745"/>
      <w:jc w:val="left"/>
      <w:outlineLvl w:val="4"/>
    </w:pPr>
    <w:rPr>
      <w:rFonts w:ascii="宋体" w:hAnsi="宋体"/>
      <w:kern w:val="0"/>
      <w:sz w:val="26"/>
      <w:szCs w:val="26"/>
      <w:lang w:eastAsia="en-US"/>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2357</Words>
  <Characters>2412</Characters>
  <Lines>0</Lines>
  <Paragraphs>0</Paragraphs>
  <TotalTime>0</TotalTime>
  <ScaleCrop>false</ScaleCrop>
  <LinksUpToDate>false</LinksUpToDate>
  <CharactersWithSpaces>2780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XXIA</cp:lastModifiedBy>
  <dcterms:modified xsi:type="dcterms:W3CDTF">2026-05-21T07:09:52Z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1CCEC583AA234E7190960739386B8EF1_11</vt:lpwstr>
  </property>
  <property fmtid="{D5CDD505-2E9C-101B-9397-08002B2CF9AE}" pid="4" name="KSOTemplateDocerSaveRecord">
    <vt:lpwstr>eyJoZGlkIjoiNzRkODU0NWM1NTRlNTZjMDFhNjAyNDM3ZDE1ZjE0YTMiLCJ1c2VySWQiOiIzMTQzODkxMTYifQ==</vt:lpwstr>
  </property>
</Properties>
</file>