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版本号：XBMH2026-21120260731001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避难间专项改造工程（含消防、报警、疏散照明、排烟等设备及系统）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XBMH2026-211</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陕西西北民航工程咨询有限公司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陕西西北民航工程咨询有限公司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避难间专项改造工程（含消防、报警、疏散照明、排烟等设备及系统）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XBMH2026-211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避难间专项改造工程（含消防、报警、疏散照明、排烟等设备及系统）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本工程为避难间专项改造工程。主要内容含消防、报警、疏散照明、排烟等设备及系统等。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采购包1（避难间专项改造工程（含消防、报警、疏散照明、排烟等设备及系统)）：属于专门面向中小企业采购。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财务状况报告：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2026年1月1日至今期间银行出具的资信证明（附基本存款账户信息），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3、税收缴纳证明：提供磋商截止时间前6个月内的至少一个月的纳税证明（时间以税款所属日期为准)，依法免税的单位应提供相关证明材料。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至少一个月的社会保障资金缴存单据或社保机构开具的社会保险参保缴费情况证明，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7、控股关系：单位负责人为同一人或者存在直接控股、管理关系的不同投标人，不得同时参加本项目磋商，提供企业关联关系的声明函。</w:t>
      </w:r>
    </w:p>
    <w:p>
      <w:pPr>
        <w:pStyle w:val="null3"/>
      </w:pPr>
      <w:r>
        <w:rPr>
          <w:rFonts w:ascii="仿宋_GB2312" w:hAnsi="仿宋_GB2312" w:cs="仿宋_GB2312" w:eastAsia="仿宋_GB2312"/>
        </w:rPr>
        <w:t>8、信用记录查询：未被列入“信用中国”网站(http://www.creditchina.gov.cn) “失信被执行人（页面跳转至“中国执行信息公开网”http://zxgk.court.gov.cn/shixin/）、重大税收违法失信主体、政府采购严重违法失信行为记录名单”的供应商。</w:t>
      </w:r>
    </w:p>
    <w:p>
      <w:pPr>
        <w:pStyle w:val="null3"/>
      </w:pPr>
      <w:r>
        <w:rPr>
          <w:rFonts w:ascii="仿宋_GB2312" w:hAnsi="仿宋_GB2312" w:cs="仿宋_GB2312" w:eastAsia="仿宋_GB2312"/>
        </w:rPr>
        <w:t>9、法定代表人授权委托书或法定代表人资格证明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10、不接受联合体磋商：不接受联合体磋商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王婧懿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陕西西北民航工程咨询有限公司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陕西省西安市高新区唐延路3号唐延国际中心AB座8层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佘冰霞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029-88347987-8046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暂行办法》（计价格[2002]1980号）、《国家发展改革委办公厅关于招标服务收费有关问题的通知》（发改办价格[2003]857号）等文件标准计取，取费基数为单标段中标（成交）金额，不足5000.00元者，按5000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陕西西北民航工程咨询有限公司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陕西西北民航工程咨询有限公司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陕西西北民航工程咨询有限公司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陕西西北民航工程咨询有限公司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联系人：佘冰霞</w:t>
      </w:r>
    </w:p>
    <w:p>
      <w:pPr>
        <w:pStyle w:val="null3"/>
      </w:pPr>
      <w:r>
        <w:rPr>
          <w:rFonts w:ascii="仿宋_GB2312" w:hAnsi="仿宋_GB2312" w:cs="仿宋_GB2312" w:eastAsia="仿宋_GB2312"/>
        </w:rPr>
        <w:t>联系电话：029-88347987-8046</w:t>
      </w:r>
    </w:p>
    <w:p>
      <w:pPr>
        <w:pStyle w:val="null3"/>
      </w:pPr>
      <w:r>
        <w:rPr>
          <w:rFonts w:ascii="仿宋_GB2312" w:hAnsi="仿宋_GB2312" w:cs="仿宋_GB2312" w:eastAsia="仿宋_GB2312"/>
        </w:rPr>
        <w:t>地址：陕西省西安市高新区唐延路3号唐延国际中心AB区8楼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w:t>
      </w:r>
    </w:p>
    <w:p>
      <w:pPr>
        <w:pStyle w:val="null3"/>
      </w:pPr>
      <w:r>
        <w:rPr>
          <w:rFonts w:ascii="仿宋_GB2312" w:hAnsi="仿宋_GB2312" w:cs="仿宋_GB2312" w:eastAsia="仿宋_GB2312"/>
        </w:rPr>
        <w:t>采购包最高限价（元）: 435,000.00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避难间专项改造工程（含消防、报警、疏散照明、排烟等设备及系统）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标的名称：避难间专项改造工程（含消防、报警、疏散照明、排烟等设备及系统）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0"/>
              </w:rPr>
              <w:t>自进场之日起</w:t>
            </w:r>
            <w:r>
              <w:rPr>
                <w:rFonts w:ascii="仿宋_GB2312" w:hAnsi="仿宋_GB2312" w:cs="仿宋_GB2312" w:eastAsia="仿宋_GB2312"/>
                <w:sz w:val="20"/>
              </w:rPr>
              <w:t>55</w:t>
            </w:r>
            <w:r>
              <w:rPr>
                <w:rFonts w:ascii="仿宋_GB2312" w:hAnsi="仿宋_GB2312" w:cs="仿宋_GB2312" w:eastAsia="仿宋_GB2312"/>
                <w:sz w:val="20"/>
              </w:rPr>
              <w:t>个日历日内竣工</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付款方式：</w:t>
            </w:r>
            <w:r>
              <w:rPr>
                <w:rFonts w:ascii="仿宋_GB2312" w:hAnsi="仿宋_GB2312" w:cs="仿宋_GB2312" w:eastAsia="仿宋_GB2312"/>
                <w:sz w:val="21"/>
              </w:rPr>
              <w:t>乙方施工完成，乙方提出工程结算并将有关资料送交甲方。甲方自接到上述资料七天内审查完毕。经甲方及有资质的第三方公司验收合格</w:t>
            </w:r>
            <w:r>
              <w:rPr>
                <w:rFonts w:ascii="仿宋_GB2312" w:hAnsi="仿宋_GB2312" w:cs="仿宋_GB2312" w:eastAsia="仿宋_GB2312"/>
                <w:sz w:val="21"/>
              </w:rPr>
              <w:t>并出具书面验收合格文件后</w:t>
            </w:r>
            <w:r>
              <w:rPr>
                <w:rFonts w:ascii="仿宋_GB2312" w:hAnsi="仿宋_GB2312" w:cs="仿宋_GB2312" w:eastAsia="仿宋_GB2312"/>
                <w:sz w:val="21"/>
              </w:rPr>
              <w:t>，以甲方的审计金额作为最终付款金额。甲方首次支付最终付款总金额的</w:t>
            </w:r>
            <w:r>
              <w:rPr>
                <w:rFonts w:ascii="仿宋_GB2312" w:hAnsi="仿宋_GB2312" w:cs="仿宋_GB2312" w:eastAsia="仿宋_GB2312"/>
                <w:sz w:val="21"/>
              </w:rPr>
              <w:t>97%，预留最终付款总金额的3%作为质保金，该项目质保期满后15日内支付。</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w:t>
            </w:r>
            <w:r>
              <w:rPr>
                <w:rFonts w:ascii="仿宋_GB2312" w:hAnsi="仿宋_GB2312" w:cs="仿宋_GB2312" w:eastAsia="仿宋_GB2312"/>
                <w:sz w:val="24"/>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247"/>
              <w:gridCol w:w="1324"/>
              <w:gridCol w:w="448"/>
              <w:gridCol w:w="524"/>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5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消防软管自救卷盘（含箱）</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镀锌管</w:t>
                  </w:r>
                  <w:r>
                    <w:rPr>
                      <w:rFonts w:ascii="仿宋_GB2312" w:hAnsi="仿宋_GB2312" w:cs="仿宋_GB2312" w:eastAsia="仿宋_GB2312"/>
                      <w:sz w:val="21"/>
                    </w:rPr>
                    <w:t>DN25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灭火器</w:t>
                  </w:r>
                  <w:r>
                    <w:rPr>
                      <w:rFonts w:ascii="仿宋_GB2312" w:hAnsi="仿宋_GB2312" w:cs="仿宋_GB2312" w:eastAsia="仿宋_GB2312"/>
                      <w:sz w:val="21"/>
                    </w:rPr>
                    <w:t>4公斤（含箱）</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具</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46</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消防专线电话</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消防广播</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输入输出模块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消防应急灯</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灯光指示标识</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明配管</w:t>
                  </w:r>
                  <w:r>
                    <w:rPr>
                      <w:rFonts w:ascii="仿宋_GB2312" w:hAnsi="仿宋_GB2312" w:cs="仿宋_GB2312" w:eastAsia="仿宋_GB2312"/>
                      <w:sz w:val="21"/>
                    </w:rPr>
                    <w:t>JDG20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WDZN-RVS-2*1.5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WDZN-BYJ-2*1.5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WDZN-RVSP-2*1.5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NH-KVV-4*1.5</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米</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甲级防火门</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乙级防火窗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氧气管道包裹</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套</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风机</w:t>
                  </w:r>
                  <w:r>
                    <w:rPr>
                      <w:rFonts w:ascii="仿宋_GB2312" w:hAnsi="仿宋_GB2312" w:cs="仿宋_GB2312" w:eastAsia="仿宋_GB2312"/>
                      <w:sz w:val="21"/>
                    </w:rPr>
                    <w:t>风量</w:t>
                  </w:r>
                  <w:r>
                    <w:rPr>
                      <w:rFonts w:ascii="仿宋_GB2312" w:hAnsi="仿宋_GB2312" w:cs="仿宋_GB2312" w:eastAsia="仿宋_GB2312"/>
                      <w:sz w:val="21"/>
                    </w:rPr>
                    <w:t>2000m</w:t>
                  </w:r>
                  <w:r>
                    <w:rPr>
                      <w:rFonts w:ascii="仿宋_GB2312" w:hAnsi="仿宋_GB2312" w:cs="仿宋_GB2312" w:eastAsia="仿宋_GB2312"/>
                      <w:sz w:val="21"/>
                    </w:rPr>
                    <w:t>³</w:t>
                  </w:r>
                  <w:r>
                    <w:rPr>
                      <w:rFonts w:ascii="仿宋_GB2312" w:hAnsi="仿宋_GB2312" w:cs="仿宋_GB2312" w:eastAsia="仿宋_GB2312"/>
                      <w:sz w:val="21"/>
                    </w:rPr>
                    <w:t>/h</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镀锌铁皮</w:t>
                  </w:r>
                  <w:r>
                    <w:rPr>
                      <w:rFonts w:ascii="仿宋_GB2312" w:hAnsi="仿宋_GB2312" w:cs="仿宋_GB2312" w:eastAsia="仿宋_GB2312"/>
                      <w:sz w:val="21"/>
                    </w:rPr>
                    <w:t>0.75mm</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防火包裹（离心玻璃棉</w:t>
                  </w:r>
                  <w:r>
                    <w:rPr>
                      <w:rFonts w:ascii="仿宋_GB2312" w:hAnsi="仿宋_GB2312" w:cs="仿宋_GB2312" w:eastAsia="仿宋_GB2312"/>
                      <w:sz w:val="21"/>
                    </w:rPr>
                    <w:t>50mm）</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单层百叶风口</w:t>
                  </w:r>
                  <w:r>
                    <w:rPr>
                      <w:rFonts w:ascii="仿宋_GB2312" w:hAnsi="仿宋_GB2312" w:cs="仿宋_GB2312" w:eastAsia="仿宋_GB2312"/>
                      <w:sz w:val="21"/>
                    </w:rPr>
                    <w:t xml:space="preserve"> 630*200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280</w:t>
                  </w:r>
                  <w:r>
                    <w:rPr>
                      <w:rFonts w:ascii="仿宋_GB2312" w:hAnsi="仿宋_GB2312" w:cs="仿宋_GB2312" w:eastAsia="仿宋_GB2312"/>
                      <w:sz w:val="21"/>
                    </w:rPr>
                    <w:t>°</w:t>
                  </w:r>
                  <w:r>
                    <w:rPr>
                      <w:rFonts w:ascii="仿宋_GB2312" w:hAnsi="仿宋_GB2312" w:cs="仿宋_GB2312" w:eastAsia="仿宋_GB2312"/>
                      <w:sz w:val="21"/>
                    </w:rPr>
                    <w:t>防火阀630*200</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手动执行器</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垃圾外运</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项</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系统调试费</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项</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bl>
          <w:p>
            <w:pPr>
              <w:pStyle w:val="null3"/>
              <w:spacing w:before="105" w:after="105"/>
              <w:jc w:val="left"/>
            </w:pPr>
            <w:r>
              <w:rPr>
                <w:rFonts w:ascii="仿宋_GB2312" w:hAnsi="仿宋_GB2312" w:cs="仿宋_GB2312" w:eastAsia="仿宋_GB2312"/>
                <w:sz w:val="24"/>
              </w:rPr>
              <w:t>二、报价要求</w:t>
            </w:r>
          </w:p>
          <w:p>
            <w:pPr>
              <w:pStyle w:val="null3"/>
              <w:jc w:val="both"/>
            </w:pPr>
            <w:r>
              <w:rPr>
                <w:rFonts w:ascii="仿宋_GB2312" w:hAnsi="仿宋_GB2312" w:cs="仿宋_GB2312" w:eastAsia="仿宋_GB2312"/>
                <w:sz w:val="21"/>
              </w:rPr>
              <w:t>1、供应商在首次提交的响应文件中的报价（即首次报价）应按采购文件及工程量清单编制要求，逐一列出报价的构成及明细，并提供已标价工程量清单。供应商提交的已标价工程量清单应符合本项目工程量清单以及清单说明的要求。</w:t>
            </w:r>
          </w:p>
          <w:p>
            <w:pPr>
              <w:pStyle w:val="null3"/>
              <w:jc w:val="both"/>
            </w:pPr>
            <w:r>
              <w:rPr>
                <w:rFonts w:ascii="仿宋_GB2312" w:hAnsi="仿宋_GB2312" w:cs="仿宋_GB2312" w:eastAsia="仿宋_GB2312"/>
                <w:sz w:val="21"/>
              </w:rPr>
              <w:t>2、单价、合价或总价，不论其大写金额或小写金额均只能有一个，否则，作无效处理。</w:t>
            </w:r>
          </w:p>
          <w:p>
            <w:pPr>
              <w:pStyle w:val="null3"/>
              <w:jc w:val="both"/>
            </w:pPr>
            <w:r>
              <w:rPr>
                <w:rFonts w:ascii="仿宋_GB2312" w:hAnsi="仿宋_GB2312" w:cs="仿宋_GB2312" w:eastAsia="仿宋_GB2312"/>
                <w:sz w:val="21"/>
              </w:rPr>
              <w:t>3、若供应商的最后报价只有一个总价，则供应商应当提交相应调整部分的报价构成及明细，并结合首次报价提供的已标价工程量清单，重新计算总报价。</w:t>
            </w:r>
          </w:p>
          <w:p>
            <w:pPr>
              <w:pStyle w:val="null3"/>
              <w:jc w:val="both"/>
            </w:pPr>
            <w:r>
              <w:rPr>
                <w:rFonts w:ascii="仿宋_GB2312" w:hAnsi="仿宋_GB2312" w:cs="仿宋_GB2312" w:eastAsia="仿宋_GB2312"/>
                <w:sz w:val="21"/>
              </w:rPr>
              <w:t>4、供应商报价超过政府采购预算或最高限价（金额详见“供应商须知前附表”）的，其响应文件按无效处理。</w:t>
            </w:r>
          </w:p>
          <w:p>
            <w:pPr>
              <w:pStyle w:val="null3"/>
              <w:jc w:val="both"/>
            </w:pPr>
            <w:r>
              <w:rPr>
                <w:rFonts w:ascii="仿宋_GB2312" w:hAnsi="仿宋_GB2312" w:cs="仿宋_GB2312" w:eastAsia="仿宋_GB2312"/>
                <w:sz w:val="21"/>
              </w:rPr>
              <w:t>5、本项目已标价工程量清单非广联达软件报价，本磋商文件中响应报价第2.4.7条款中无效响应文件所指条款不适用本项目。投标人已标价工程量清单之和为上述清单中各项报价之和，应与投标总报价一致。工程量清单所指单价将被认为按照合同约定的范围所提供全部工作的全部费用，包括但不限于采购范围内的所有内容以及需完成的其他工作所需的全部有关事项和物品等所有费用，在整个合同执行期间，均不作任何调整。若供应商的最后报价只有一个总价，则供应商应当提交相应调整部分的报价构成及明细，并结合首次报价提供的已标价工程量清单，重新计算总报价后并加盖单位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一、其他要求 （一）工程概况： 本次改造将重点在住院部5楼以上、儿科住院部2-3楼、 感染楼2-3楼、1CU及手术室增设避难间(每个护理单元的避难区净面积不应小于25.0m2)，确保避难间功能全面达标。 （二）工程内容和施工地点、计划工期、缺陷责任期、质量保修期  2.1工程内容：每个避难间将严格按规范配置以下设施: （1）消防灭火设施:配备消防软管自救卷盘(含箱)及4 公斤灭火器(含箱)； （2)通讯与报警系统:安装消防专线电话、消防广播及输入输出模块，确保紧急通讯畅通； （3）疏散与照明系统:设置消防应急灯及灯光指示标识， 保障疏散指引清晰； （4）防火分隔与排烟:安装甲级防火门、乙级防火窗， 并配套单层百叶风口、防火阀及手动执行器，对氧气管道进行安全包裹，筑牢防火防烟屏障。 2.2计划工期：自进场之日起55个日历日内竣工。 2.3缺陷责任期、质量保修期：符合国家相关施工规范及验收规范。 （三）付款方式：施工完成，乙方提出工程结算并将有关资料送交甲方。甲方自接到上述资料七天内审查完毕。经甲方及有资质的第三方公司验收合格并出具书面验收合格文件后，以甲方的审计金额作为最终付款金额。甲方首次支付最终付款总金额的97%，预留最终付款总金额的3%作为质保金，该项目质保期满后15日内支付。 （四）具体改造范围：住院部A座6-9层，每层设置一间避难间，共计4间；住院部B座5-19层，每层设置一间避难间，共计15间；门诊楼4-5层，每层设置一间避难间，共计2间；感染科2-3层，每层设置一间避难间，共计2间；儿科2-3层，每层设置一间避难间，共计2间；共计25个避难间。每个避难间内设置消防设施内容：1个消防软管卷盘，2具灭火器，1个应急灯，1个消防广播，1个消防专线电话，1个避难间疏散指示灯，1套声光报警器，手动报警按钮，避难间改造门窗，机防排烟设施等。 注：具体改造范围详见工程量清单。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残疾人福利性单位声明函 资格审查资料.docx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2026年1月1日至今期间银行出具的资信证明（附基本存款账户信息），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至少一个月的社会保障资金缴存单据或社保机构开具的社会保险参保缴费情况证明，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单位负责人为同一人或者存在直接控股、管理关系的不同投标人，不得同时参加本项目磋商，提供企业关联关系的声明函。</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未被列入“信用中国”网站(http://www.creditchina.gov.cn) “失信被执行人（页面跳转至“中国执行信息公开网”http://zxgk.court.gov.cn/shixin/）、重大税收违法失信主体、政府采购严重违法失信行为记录名单”的供应商。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法定代表人授权委托书或法定代表人资格证明书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法定代表人（单位负责人）授权书.docx 法定代表人身份证明.docx 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供应商名称与营业执照、资质证书、印章一致</w:t>
            </w:r>
          </w:p>
        </w:tc>
        <w:tc>
          <w:tcPr>
            <w:tcW w:type="dxa" w:w="1661"/>
          </w:tcPr>
          <w:p>
            <w:pPr>
              <w:pStyle w:val="null3"/>
            </w:pPr>
            <w:r>
              <w:rPr>
                <w:rFonts w:ascii="仿宋_GB2312" w:hAnsi="仿宋_GB2312" w:cs="仿宋_GB2312" w:eastAsia="仿宋_GB2312"/>
              </w:rPr>
              <w:t>技术响应.docx 已标价工程量清单 法定代表人身份证明.docx 中小企业声明函 技术商务偏离表.docx 质疑函.docx 强制优先采购产品承诺函 投诉书.docx 响应文件封面 政府采购供应商拒绝政府采购领域商业贿赂承诺书.docx 法定代表人（单位负责人）授权书.docx 残疾人福利性单位声明函 报价函 标的清单 资格审查资料.docx 项目管理人员.docx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技术响应.docx 法定代表人身份证明.docx 中小企业声明函 技术商务偏离表.docx 质疑函.docx 强制优先采购产品承诺函 投诉书.docx 响应文件封面 政府采购供应商拒绝政府采购领域商业贿赂承诺书.docx 法定代表人（单位负责人）授权书.docx 残疾人福利性单位声明函 报价函 标的清单 资格审查资料.docx 项目管理人员.docx 响应函 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报价函 资格审查资料.docx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已标价工程量清单 报价函 标的清单 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技术商务偏离表.docx 报价函 报价表.docx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技术商务偏离表.docx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商务、技术要求及合同条款响应</w:t>
            </w:r>
          </w:p>
        </w:tc>
        <w:tc>
          <w:tcPr>
            <w:tcW w:type="dxa" w:w="3322"/>
          </w:tcPr>
          <w:p>
            <w:pPr>
              <w:pStyle w:val="null3"/>
            </w:pPr>
            <w:r>
              <w:rPr>
                <w:rFonts w:ascii="仿宋_GB2312" w:hAnsi="仿宋_GB2312" w:cs="仿宋_GB2312" w:eastAsia="仿宋_GB2312"/>
              </w:rPr>
              <w:t>响应磋商文件中商务、技术要求及合同条款内容，合同条款未含有采购人不能接受的附加条件</w:t>
            </w:r>
          </w:p>
        </w:tc>
        <w:tc>
          <w:tcPr>
            <w:tcW w:type="dxa" w:w="1661"/>
          </w:tcPr>
          <w:p>
            <w:pPr>
              <w:pStyle w:val="null3"/>
            </w:pPr>
            <w:r>
              <w:rPr>
                <w:rFonts w:ascii="仿宋_GB2312" w:hAnsi="仿宋_GB2312" w:cs="仿宋_GB2312" w:eastAsia="仿宋_GB2312"/>
              </w:rPr>
              <w:t>技术响应.docx 技术商务偏离表.docx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 二、二、评审标准 1、完整性：方案必须全面，对评审内容中的各项要求有详细描述； 2、可实施性：切合本项目实际情况，实施步骤清晰、合理； 3、针对性：方案能够紧扣项目实际情况，内容科学合理。 三、赋分标准（满分12分） ①施工目标：每完全满足一个评审标准得2分，满分6分； ②施工准备：每完全满足一个评审标准得2分，满分6分；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三、赋分标准（满分12分） ①施工总进度：每完全满足一个评审标准得2分，满分6分； ②施工进度保障措施：每完全满足一个评审标准得2分，满分6分。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三、赋分标准（满分9分）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供应商编制完善的安全技术措施，内容包含：①安全管理制度②安全标识：安全警戒标语、施工人员安全警示服和安全帽穿配要求③安全教育培训。 二、评审标准 1、完整性：方案须全面，对评审内容中的各项要求有详细描述； 2、可实施性：切合本项目实际情况，实施步骤清晰、合理； 3、针对性：方案能够紧扣项目实际情况，内容科学合理。 三、赋分标准（满分 9分） ①安全管理制度：每完全满足一个评审标准得 1 分，满分 3 分； ②安全标识：每完全满足一个评审标准得 1 分，满分3分； ③安全教育培训：每完全满足一个评审标准得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供应商针对本项目具有①新技术和新工艺②新产品和新材料的应用情况。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6分） ①新技术和新工艺：每完全满足一个评审标准得 1 分，满分 3分； ②新产品和新材料：每完全满足一个评审标准得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供应商编制完善的文明施工措施，内容包含：①文明施工管理制度②文明施工检查措施。 二、评审标准 1、完整性：方案须全面，对评审内容中的各项要求有详细描述； 2、可实施性：切合本项目实际情况，实施步骤清晰、合理； 3、针对性：方案能够紧扣项目实际情况，内容科学合理。 三、赋分标准（满分6分） ①文明施工管理制度：每完全满足一个评审标准得 1分，满分 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三、赋分标准（满分9分） ①污染物及废弃物处理措施：每完全满足一个评审标准得1分，满分3分； ②噪音控制措施：每完全满足一个评审标准1分，满分3分； ③防尘及扬尘的控制措施：每完全满足一个评审标准得1分，满分3分。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供应商针对本项目编制主要管理措施，内容包含：①成品保护措施②工程重难点及解决措施。 二、评审标准 1、完整性：方案须全面，对评审内容中的各项要求有详细描述； 2、可实施性：切合本项目实际情况，实施步骤清晰、合理； 3、针对性：方案能够紧扣项目实际情况，内容科学合理。 三、赋分标准（满分 6 分） ①成品保护措施：每完全满足一个评审标准得 1 分，满分 3 分； ②工程重难点及解决措施：每完全满足一个评审标准得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①拟投入的主要施工机械设备计划：每完全满足一个评审标准得1分，满分3分； ②劳动力投入计划：每完全满足一个评审标准得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针对本项目提供具体人员配置清单（清单内容至少包含：具体成员姓名、年龄、学历、职业资格证书、工作经历、岗位），提供以上清单中所有内容得4分，不提供或缺项不得分。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项目管理人员.docx</w:t>
            </w:r>
          </w:p>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供应商提供拟用材料属于环境标志产品政府采购清单中的产品（包括但不限于施工所需主材产品、水、暖、电、水泥等施工所需的所有基础材料），每提供 1 种材料的环境标志产品认证证书得0.5分，满分 1分，未提供不得分。 注：以加盖供应商公章的复印件为计分依据。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价格分采用低价优先法计算，即满足竞争性磋商文件要求且磋商报价最低的报价为评审基准价，其价格分为满分。其他供应商的价格分统一按照下列公式计算： 磋商报价 得分=（评审基准价/磋商报价）×20 注：计算分数时四舍五入取小数点后两位。各供应商的磋商最终报价参与价格分评审。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详见附件：项目管理人员.docx</w:t>
      </w:r>
    </w:p>
    <w:p>
      <w:pPr>
        <w:pStyle w:val="null3"/>
        <w:ind w:firstLine="960"/>
      </w:pPr>
      <w:r>
        <w:rPr>
          <w:rFonts w:ascii="仿宋_GB2312" w:hAnsi="仿宋_GB2312" w:cs="仿宋_GB2312" w:eastAsia="仿宋_GB2312"/>
        </w:rPr>
        <w:t>详见附件：法定代表人（单位负责人）授权书.docx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