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CF1A7">
      <w:pPr>
        <w:bidi w:val="0"/>
        <w:rPr>
          <w:rFonts w:hint="eastAsia"/>
          <w:b/>
          <w:bCs/>
          <w:sz w:val="30"/>
          <w:szCs w:val="30"/>
        </w:rPr>
      </w:pPr>
      <w:bookmarkStart w:id="0" w:name="_Toc7466"/>
      <w:r>
        <w:rPr>
          <w:rFonts w:hint="eastAsia"/>
          <w:b/>
          <w:bCs/>
          <w:sz w:val="30"/>
          <w:szCs w:val="30"/>
        </w:rPr>
        <w:t>一、项目概述</w:t>
      </w:r>
      <w:bookmarkEnd w:id="0"/>
    </w:p>
    <w:p w14:paraId="04AC5A9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档案是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组织</w:t>
      </w:r>
      <w:r>
        <w:rPr>
          <w:rFonts w:hint="eastAsia" w:ascii="宋体" w:hAnsi="宋体" w:eastAsia="宋体" w:cs="宋体"/>
          <w:sz w:val="24"/>
          <w:szCs w:val="24"/>
        </w:rPr>
        <w:t>管理活动的真实记录，是有形资产的凭证和无形资产的组成要素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sz w:val="24"/>
          <w:szCs w:val="24"/>
        </w:rPr>
        <w:t>习近平总书记指出“档案工作存史资政育人，是一项利国利民、惠及千秋万代的崇高事业”。自2020年1月1日国家出台新的《档案法》起，档案管理工作的政策法规环境迎来大变革，从国家到地方政府，对档案工作的重视程度前所未有，纷纷出台相关政策法规以符合新形势下的档案管理要求，如新《中华人民共和国档案法》、《全国档案事业发展“十四五”规划》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且对档案电子化也有了明确要求，</w:t>
      </w:r>
      <w:r>
        <w:rPr>
          <w:rFonts w:hint="eastAsia" w:ascii="宋体" w:hAnsi="宋体" w:eastAsia="宋体" w:cs="宋体"/>
          <w:sz w:val="24"/>
          <w:szCs w:val="24"/>
        </w:rPr>
        <w:t>《电子文件归档与电子档案管理规范》（GB/T 18894—2016）要求，电子文件形成或办理部门负责电子文件的收集、整理、著录和移交归档等工作。</w:t>
      </w:r>
    </w:p>
    <w:p w14:paraId="13AE8D6F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2009年，院内已建设一套办公系统（OA），将院内的公文流转、常规业务审批、会议、日程等管理业务实现了电子化管理。</w:t>
      </w:r>
      <w:r>
        <w:rPr>
          <w:rFonts w:hint="eastAsia" w:ascii="宋体" w:hAnsi="宋体" w:eastAsia="宋体" w:cs="宋体"/>
          <w:sz w:val="24"/>
          <w:szCs w:val="24"/>
        </w:rPr>
        <w:t>随着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档案电子化需求日益提升，对平台也提出了更高的要求，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2024年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cs="宋体"/>
          <w:sz w:val="24"/>
          <w:szCs w:val="24"/>
          <w:lang w:val="en-US" w:eastAsia="zh-CN"/>
        </w:rPr>
        <w:t>考试院在OA系统基础上搭建了档案管理平台，基本实现档案和OA系统的数据共享，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便于档案查询、调用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，大大提升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提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升档案利用效率。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目前，档案平台经测试反馈后仍需要进一步优化，一方面，需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与OA现有印控平台相结合，通过数字水印、权限控制、传输加密、分级授权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、增加遮盖打印功能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等安全措施防止数据丢失和信息扩散，提升档案安全性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；另一方面，要继续推进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档案数字化加工处理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进度</w:t>
      </w:r>
      <w:r>
        <w:rPr>
          <w:rFonts w:hint="eastAsia" w:ascii="宋体" w:hAnsi="宋体" w:cs="宋体"/>
          <w:sz w:val="24"/>
          <w:szCs w:val="24"/>
          <w:lang w:val="en-US" w:eastAsia="zh-CN"/>
        </w:rPr>
        <w:t>。</w:t>
      </w:r>
    </w:p>
    <w:p w14:paraId="0CAEC5F8">
      <w:pPr>
        <w:bidi w:val="0"/>
        <w:rPr>
          <w:rFonts w:hint="eastAsia" w:ascii="Times New Roman" w:hAnsi="Times New Roman" w:eastAsia="宋体" w:cs="Times New Roman"/>
          <w:b/>
          <w:bCs/>
          <w:sz w:val="30"/>
          <w:szCs w:val="30"/>
        </w:rPr>
      </w:pPr>
      <w:bookmarkStart w:id="1" w:name="_Toc21086"/>
      <w:r>
        <w:rPr>
          <w:rFonts w:hint="eastAsia" w:ascii="Times New Roman" w:hAnsi="Times New Roman" w:eastAsia="宋体" w:cs="Times New Roman"/>
          <w:b/>
          <w:bCs/>
          <w:sz w:val="30"/>
          <w:szCs w:val="30"/>
        </w:rPr>
        <w:t>二、技术需求</w:t>
      </w:r>
      <w:bookmarkEnd w:id="1"/>
    </w:p>
    <w:p w14:paraId="2954EA1B">
      <w:pPr>
        <w:pStyle w:val="4"/>
        <w:numPr>
          <w:ilvl w:val="0"/>
          <w:numId w:val="1"/>
        </w:numPr>
        <w:bidi w:val="0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服务需求一览表</w:t>
      </w:r>
    </w:p>
    <w:tbl>
      <w:tblPr>
        <w:tblStyle w:val="9"/>
        <w:tblW w:w="864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686"/>
        <w:gridCol w:w="2409"/>
        <w:gridCol w:w="851"/>
        <w:gridCol w:w="992"/>
      </w:tblGrid>
      <w:tr w14:paraId="4901F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4" w:type="dxa"/>
            <w:noWrap w:val="0"/>
            <w:vAlign w:val="center"/>
          </w:tcPr>
          <w:p w14:paraId="32EC9AD2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序号</w:t>
            </w:r>
          </w:p>
        </w:tc>
        <w:tc>
          <w:tcPr>
            <w:tcW w:w="3686" w:type="dxa"/>
            <w:noWrap w:val="0"/>
            <w:vAlign w:val="center"/>
          </w:tcPr>
          <w:p w14:paraId="00F865D3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服务名称</w:t>
            </w:r>
          </w:p>
        </w:tc>
        <w:tc>
          <w:tcPr>
            <w:tcW w:w="2409" w:type="dxa"/>
            <w:noWrap w:val="0"/>
            <w:vAlign w:val="center"/>
          </w:tcPr>
          <w:p w14:paraId="54E5234A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技术参数</w:t>
            </w:r>
          </w:p>
        </w:tc>
        <w:tc>
          <w:tcPr>
            <w:tcW w:w="851" w:type="dxa"/>
            <w:noWrap w:val="0"/>
            <w:vAlign w:val="center"/>
          </w:tcPr>
          <w:p w14:paraId="71404C4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数量</w:t>
            </w:r>
          </w:p>
        </w:tc>
        <w:tc>
          <w:tcPr>
            <w:tcW w:w="992" w:type="dxa"/>
            <w:noWrap w:val="0"/>
            <w:vAlign w:val="center"/>
          </w:tcPr>
          <w:p w14:paraId="1F059FA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单位</w:t>
            </w:r>
          </w:p>
        </w:tc>
      </w:tr>
      <w:tr w14:paraId="183760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704" w:type="dxa"/>
            <w:noWrap w:val="0"/>
            <w:vAlign w:val="center"/>
          </w:tcPr>
          <w:p w14:paraId="7F5CECDB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1</w:t>
            </w:r>
          </w:p>
        </w:tc>
        <w:tc>
          <w:tcPr>
            <w:tcW w:w="3686" w:type="dxa"/>
            <w:noWrap w:val="0"/>
            <w:vAlign w:val="center"/>
          </w:tcPr>
          <w:p w14:paraId="46454C4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  <w:lang w:val="en-US" w:eastAsia="zh-CN"/>
              </w:rPr>
              <w:t>软件实施</w:t>
            </w: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服务</w:t>
            </w:r>
          </w:p>
        </w:tc>
        <w:tc>
          <w:tcPr>
            <w:tcW w:w="2409" w:type="dxa"/>
            <w:noWrap w:val="0"/>
            <w:vAlign w:val="center"/>
          </w:tcPr>
          <w:p w14:paraId="67CF3B8F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见本章详细技术要求</w:t>
            </w:r>
          </w:p>
        </w:tc>
        <w:tc>
          <w:tcPr>
            <w:tcW w:w="851" w:type="dxa"/>
            <w:noWrap w:val="0"/>
            <w:vAlign w:val="center"/>
          </w:tcPr>
          <w:p w14:paraId="39054C6D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1</w:t>
            </w:r>
          </w:p>
        </w:tc>
        <w:tc>
          <w:tcPr>
            <w:tcW w:w="992" w:type="dxa"/>
            <w:noWrap w:val="0"/>
            <w:vAlign w:val="center"/>
          </w:tcPr>
          <w:p w14:paraId="0A33A1F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44"/>
                <w:sz w:val="24"/>
                <w:szCs w:val="24"/>
              </w:rPr>
              <w:t>项</w:t>
            </w:r>
          </w:p>
        </w:tc>
      </w:tr>
    </w:tbl>
    <w:p w14:paraId="60EC1DB3">
      <w:pPr>
        <w:pStyle w:val="4"/>
        <w:numPr>
          <w:ilvl w:val="0"/>
          <w:numId w:val="1"/>
        </w:numPr>
        <w:bidi w:val="0"/>
        <w:ind w:left="425" w:leftChars="0" w:hanging="425" w:firstLineChars="0"/>
        <w:jc w:val="lef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技术指标要求</w:t>
      </w:r>
    </w:p>
    <w:p w14:paraId="61DBBA4B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软件实施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服务</w:t>
      </w:r>
    </w:p>
    <w:tbl>
      <w:tblPr>
        <w:tblStyle w:val="9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9"/>
        <w:gridCol w:w="6070"/>
      </w:tblGrid>
      <w:tr w14:paraId="2BC12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pct"/>
            <w:noWrap w:val="0"/>
            <w:vAlign w:val="center"/>
          </w:tcPr>
          <w:p w14:paraId="20BE9EF6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44"/>
                <w:sz w:val="24"/>
                <w:szCs w:val="24"/>
              </w:rPr>
              <w:t>指标项</w:t>
            </w:r>
          </w:p>
        </w:tc>
        <w:tc>
          <w:tcPr>
            <w:tcW w:w="3562" w:type="pct"/>
            <w:noWrap w:val="0"/>
            <w:vAlign w:val="center"/>
          </w:tcPr>
          <w:p w14:paraId="5EBC119F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44"/>
                <w:sz w:val="24"/>
                <w:szCs w:val="24"/>
              </w:rPr>
              <w:t>技术/服务指标</w:t>
            </w:r>
          </w:p>
        </w:tc>
      </w:tr>
      <w:tr w14:paraId="69235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pct"/>
            <w:noWrap w:val="0"/>
            <w:vAlign w:val="center"/>
          </w:tcPr>
          <w:p w14:paraId="6B2DA749">
            <w:pPr>
              <w:spacing w:line="360" w:lineRule="auto"/>
              <w:jc w:val="center"/>
              <w:rPr>
                <w:rFonts w:hint="eastAsia" w:ascii="宋体" w:hAnsi="宋体" w:eastAsia="宋体" w:cs="宋体"/>
                <w:kern w:val="44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档案数字化加工处理</w:t>
            </w:r>
          </w:p>
        </w:tc>
        <w:tc>
          <w:tcPr>
            <w:tcW w:w="3562" w:type="pct"/>
            <w:noWrap w:val="0"/>
            <w:vAlign w:val="center"/>
          </w:tcPr>
          <w:p w14:paraId="17CBABD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480" w:firstLineChars="200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过往2年新生录取名册档案、80盒人事档案的数字化、著录整理工作。包含档案著录整理、拆装、编码、扫描、图像处理、质检、数据挂接等。需满足的要求：数字化工作准确、无误，质量好。技术标准上采用600dpi分辨率扫描，TIFF/PDF双格式存档，确保档案原件可溯源。安全控制上设立独立加工区，全程视频监控，扫描、质检同步进行，实施数据三重备份机制。</w:t>
            </w:r>
          </w:p>
        </w:tc>
      </w:tr>
      <w:tr w14:paraId="10E40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37" w:type="pct"/>
            <w:noWrap w:val="0"/>
            <w:vAlign w:val="center"/>
          </w:tcPr>
          <w:p w14:paraId="2F35DC1E">
            <w:pPr>
              <w:spacing w:line="360" w:lineRule="auto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档案前后期处理</w:t>
            </w:r>
          </w:p>
        </w:tc>
        <w:tc>
          <w:tcPr>
            <w:tcW w:w="3562" w:type="pct"/>
            <w:noWrap w:val="0"/>
            <w:vAlign w:val="center"/>
          </w:tcPr>
          <w:p w14:paraId="79C9A422">
            <w:pPr>
              <w:pStyle w:val="12"/>
              <w:framePr w:wrap="auto" w:vAnchor="margin" w:hAnchor="text" w:yAlign="inline"/>
              <w:shd w:val="clear" w:color="auto" w:fill="FFFFFF"/>
              <w:tabs>
                <w:tab w:val="left" w:pos="424"/>
                <w:tab w:val="left" w:pos="848"/>
                <w:tab w:val="left" w:pos="1272"/>
                <w:tab w:val="left" w:pos="1696"/>
                <w:tab w:val="left" w:pos="2120"/>
                <w:tab w:val="left" w:pos="2544"/>
                <w:tab w:val="left" w:pos="2968"/>
                <w:tab w:val="left" w:pos="3392"/>
                <w:tab w:val="left" w:pos="3816"/>
                <w:tab w:val="left" w:pos="4240"/>
                <w:tab w:val="left" w:pos="4664"/>
                <w:tab w:val="left" w:pos="5088"/>
                <w:tab w:val="left" w:pos="5512"/>
                <w:tab w:val="left" w:pos="5936"/>
                <w:tab w:val="left" w:pos="6360"/>
                <w:tab w:val="left" w:pos="6784"/>
                <w:tab w:val="left" w:pos="7208"/>
                <w:tab w:val="left" w:pos="7632"/>
                <w:tab w:val="left" w:pos="8056"/>
                <w:tab w:val="left" w:pos="8480"/>
              </w:tabs>
              <w:bidi w:val="0"/>
              <w:spacing w:before="0" w:line="510" w:lineRule="atLeast"/>
              <w:ind w:left="0" w:right="0" w:firstLine="480"/>
              <w:jc w:val="left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zh-TW" w:eastAsia="zh-TW"/>
              </w:rPr>
              <w:t>进行扫描前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en-US" w:eastAsia="zh-CN"/>
              </w:rPr>
              <w:t>中标方需整体检查档案情况，包含：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zh-TW" w:eastAsia="zh-TW"/>
              </w:rPr>
              <w:t>察看有无缺页、倒页、漏号、重号、错号等整理不规范现象，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en-US" w:eastAsia="zh-CN"/>
              </w:rPr>
              <w:t>对不规范情况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zh-TW" w:eastAsia="zh-TW"/>
              </w:rPr>
              <w:t>进行相应修改，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en-US" w:eastAsia="zh-CN"/>
              </w:rPr>
              <w:t>去除档案中的订书针、曲别针等金属物，为档案扫描做准备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zh-TW" w:eastAsia="zh-TW"/>
              </w:rPr>
              <w:t>，确保档案数字化加工质量</w:t>
            </w:r>
            <w:r>
              <w:rPr>
                <w:rFonts w:hint="eastAsia" w:ascii="宋体" w:hAnsi="宋体" w:eastAsia="宋体" w:cs="宋体"/>
                <w:rtl w:val="0"/>
                <w:lang w:val="zh-TW" w:eastAsia="zh-TW"/>
              </w:rPr>
              <w:t>。</w:t>
            </w:r>
            <w:r>
              <w:rPr>
                <w:rFonts w:hint="eastAsia" w:ascii="宋体" w:hAnsi="宋体" w:eastAsia="宋体" w:cs="宋体"/>
                <w:sz w:val="24"/>
                <w:szCs w:val="24"/>
                <w:rtl w:val="0"/>
                <w:lang w:val="zh-TW" w:eastAsia="zh-TW"/>
              </w:rPr>
              <w:t>在完成扫描后，拆除过装订物的档案应按档案保管的要求重新装订。恢复装订时，要保持档案的排列顺序不变，不得漏页、错页，不压字，装订牢固、不掉页，做到安全、准确、无遗漏</w:t>
            </w:r>
            <w:r>
              <w:rPr>
                <w:rFonts w:hint="eastAsia" w:ascii="宋体" w:hAnsi="宋体" w:eastAsia="宋体" w:cs="宋体"/>
                <w:rtl w:val="0"/>
                <w:lang w:val="zh-TW" w:eastAsia="zh-TW"/>
              </w:rPr>
              <w:t>。</w:t>
            </w:r>
          </w:p>
        </w:tc>
      </w:tr>
    </w:tbl>
    <w:p w14:paraId="08981BEC">
      <w:pPr>
        <w:bidi w:val="0"/>
        <w:rPr>
          <w:rFonts w:hint="eastAsia" w:ascii="Times New Roman" w:hAnsi="Times New Roman" w:eastAsia="宋体" w:cs="Times New Roman"/>
          <w:b/>
          <w:bCs/>
          <w:sz w:val="30"/>
          <w:szCs w:val="30"/>
          <w:lang w:val="en-US" w:eastAsia="zh-CN"/>
        </w:rPr>
      </w:pPr>
      <w:bookmarkStart w:id="2" w:name="_Toc18037"/>
      <w:r>
        <w:rPr>
          <w:rFonts w:hint="eastAsia" w:ascii="Times New Roman" w:hAnsi="Times New Roman" w:eastAsia="宋体" w:cs="Times New Roman"/>
          <w:b/>
          <w:bCs/>
          <w:sz w:val="30"/>
          <w:szCs w:val="30"/>
          <w:lang w:val="en-US" w:eastAsia="zh-CN"/>
        </w:rPr>
        <w:t>三、项目实施要求</w:t>
      </w:r>
      <w:bookmarkEnd w:id="2"/>
    </w:p>
    <w:p w14:paraId="21A652B4">
      <w:pPr>
        <w:spacing w:line="360" w:lineRule="auto"/>
        <w:ind w:firstLine="48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需提供本项目的实施详细过程管理方案，包含调研、设计、开发、培训的详细过程。</w:t>
      </w:r>
    </w:p>
    <w:p w14:paraId="4942C1FE">
      <w:pPr>
        <w:bidi w:val="0"/>
        <w:rPr>
          <w:rFonts w:hint="eastAsia" w:ascii="Times New Roman" w:hAnsi="Times New Roman" w:eastAsia="宋体" w:cs="Times New Roman"/>
          <w:b/>
          <w:bCs/>
          <w:sz w:val="30"/>
          <w:szCs w:val="30"/>
          <w:lang w:val="en-US" w:eastAsia="zh-CN"/>
        </w:rPr>
      </w:pPr>
      <w:bookmarkStart w:id="3" w:name="_Toc10441"/>
      <w:r>
        <w:rPr>
          <w:rFonts w:hint="eastAsia" w:ascii="Times New Roman" w:hAnsi="Times New Roman" w:eastAsia="宋体" w:cs="Times New Roman"/>
          <w:b/>
          <w:bCs/>
          <w:sz w:val="30"/>
          <w:szCs w:val="30"/>
          <w:lang w:val="en-US" w:eastAsia="zh-CN"/>
        </w:rPr>
        <w:t>四、售后运维服务要求</w:t>
      </w:r>
      <w:bookmarkEnd w:id="3"/>
    </w:p>
    <w:p w14:paraId="08FBE263">
      <w:pPr>
        <w:spacing w:line="360" w:lineRule="auto"/>
        <w:ind w:firstLine="48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1、实施阶段须对本项目提供5*8小时驻场服务。</w:t>
      </w:r>
    </w:p>
    <w:p w14:paraId="5AFE191F">
      <w:pPr>
        <w:spacing w:line="360" w:lineRule="auto"/>
        <w:ind w:firstLine="480"/>
        <w:jc w:val="left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2、运维阶段须对本项目提供7*24小时技术支持服务，提供专业技术支持电话和邮箱，如出现故障提供相应的应急预案。</w:t>
      </w:r>
    </w:p>
    <w:p w14:paraId="24C6FD97"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Helvetica Neue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B8D46C9"/>
    <w:multiLevelType w:val="singleLevel"/>
    <w:tmpl w:val="BB8D46C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760079"/>
    <w:rsid w:val="0CC513F5"/>
    <w:rsid w:val="193E7AC0"/>
    <w:rsid w:val="32684154"/>
    <w:rsid w:val="37760079"/>
    <w:rsid w:val="3C266791"/>
    <w:rsid w:val="4A215225"/>
    <w:rsid w:val="677C5037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4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6">
    <w:name w:val="heading 4"/>
    <w:basedOn w:val="7"/>
    <w:next w:val="1"/>
    <w:link w:val="11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rPr>
      <w:color w:val="993300"/>
      <w:sz w:val="24"/>
    </w:rPr>
  </w:style>
  <w:style w:type="paragraph" w:styleId="7">
    <w:name w:val="index heading"/>
    <w:basedOn w:val="1"/>
    <w:next w:val="8"/>
    <w:qFormat/>
    <w:uiPriority w:val="0"/>
    <w:rPr>
      <w:rFonts w:ascii="Arial" w:hAnsi="Arial"/>
      <w:b/>
    </w:rPr>
  </w:style>
  <w:style w:type="paragraph" w:styleId="8">
    <w:name w:val="index 1"/>
    <w:basedOn w:val="1"/>
    <w:next w:val="1"/>
    <w:uiPriority w:val="0"/>
  </w:style>
  <w:style w:type="character" w:customStyle="1" w:styleId="11">
    <w:name w:val="标题 4 Char"/>
    <w:link w:val="6"/>
    <w:uiPriority w:val="0"/>
    <w:rPr>
      <w:rFonts w:ascii="仿宋" w:hAnsi="仿宋" w:eastAsia="仿宋" w:cs="仿宋"/>
      <w:b/>
      <w:sz w:val="28"/>
      <w:szCs w:val="28"/>
      <w:lang w:eastAsia="zh-TW"/>
    </w:rPr>
  </w:style>
  <w:style w:type="paragraph" w:customStyle="1" w:styleId="12">
    <w:name w:val="默认"/>
    <w:qFormat/>
    <w:uiPriority w:val="0"/>
    <w:pPr>
      <w:keepNext w:val="0"/>
      <w:keepLines w:val="0"/>
      <w:pageBreakBefore w:val="0"/>
      <w:framePr w:wrap="auto" w:vAnchor="margin" w:hAnchor="text" w:yAlign="inline"/>
      <w:widowControl/>
      <w:numPr>
        <w:ilvl w:val="0"/>
        <w:numId w:val="0"/>
      </w:numPr>
      <w:suppressLineNumbers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uppressAutoHyphens w:val="0"/>
      <w:bidi w:val="0"/>
      <w:spacing w:before="160" w:beforeAutospacing="0" w:after="0" w:afterAutospacing="0" w:line="240" w:lineRule="auto"/>
      <w:ind w:left="0" w:right="0" w:firstLine="0"/>
      <w:jc w:val="left"/>
      <w:outlineLvl w:val="9"/>
    </w:pPr>
    <w:rPr>
      <w:rFonts w:hint="eastAsia" w:ascii="Arial Unicode MS" w:hAnsi="Arial Unicode MS" w:eastAsia="Helvetica Neue" w:cs="Arial Unicode MS"/>
      <w:color w:val="000000"/>
      <w:spacing w:val="0"/>
      <w:w w:val="100"/>
      <w:kern w:val="0"/>
      <w:position w:val="0"/>
      <w:sz w:val="24"/>
      <w:szCs w:val="24"/>
      <w:u w:val="none" w:color="auto"/>
      <w:shd w:val="clear" w:color="auto" w:fill="auto"/>
      <w:vertAlign w:val="baseline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2026-09-02T07:55:00Z</dcterms:created>
  <dc:creator>小马驾驾</dc:creator>
  <cp:lastModifiedBy>小马驾驾</cp:lastModifiedBy>
  <dcterms:modified xsi:type="dcterms:W3CDTF">2026-09-02T07:56:02Z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D23CA3AE989347ABB46EF799C394674A_11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