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版本号：HXTDJC2026123020260508001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“十五五”新型工业化和制造强省规划编制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HXTDJC20261230</w:t>
      </w:r>
      <w:r>
        <w:br/>
      </w:r>
      <w:r>
        <w:br/>
      </w:r>
      <w:r>
        <w:br/>
      </w:r>
    </w:p>
    <w:p>
      <w:pPr>
        <w:pStyle w:val="null3"/>
        <w:jc w:val="center"/>
        <w:outlineLvl w:val="2"/>
      </w:pPr>
      <w:r>
        <w:rPr>
          <w:rFonts w:ascii="仿宋_GB2312" w:hAnsi="仿宋_GB2312" w:cs="仿宋_GB2312" w:eastAsia="仿宋_GB2312"/>
          <w:sz w:val="28"/>
          <w:b/>
        </w:rPr>
        <w:t>陕西省工业和信息化厅机关</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“十五五”新型工业化和制造强省规划编制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HXTDJC20261230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“十五五”新型工业化和制造强省规划编制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十五五”时期是全球产业格局深度调整、我国加快推进新型工业化、建设制造强国的关键时期，也是陕西省推动高质量发展、构建现代化产业体系、实现产业能级跃升的战略机遇期。作为西部工业大省、重要能源与先进制造业基地，陕西省肩负着的重要使命。科学编制《“十五五”新型工业化和制造强省规划》，精准研判发展环境、明晰发展定位、优化发展路径、完善政策体系，对陕西省做强工业经济、提升产业链供应链韧性与安全水平、服务国家区域发展战略、支撑西部全面振兴具有重大现实意义与长远战略价值。陕西省工业和信息化厅特面向社会公开采购本规划编制服务，为全省“十五五”工业高质量发展提供系统性、前瞻性、可操作的顶层设计与决策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029-63915542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下浮18%收取，(若单项目服务费按承诺收费标准计算不足4000.00元按4000.00 元计取)。由成交供应商向代理机构支付。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十五五”时期是全球产业格局深度调整、我国加快推进新型工业化、建设制造强国的关键时期，也是陕西省推动高质量发展、构建现代化产业体系、实现产业能级跃升的战略机遇期。作为西部工业大省、重要能源与先进制造业基地，陕西省肩负着的重要使命。科学编制《“十五五”新型工业化和制造强省规划》，精准研判发展环境、明晰发展定位、优化发展路径、完善政策体系，对陕西省做强工业经济、提升产业链供应链韧性与安全水平、服务国家区域发展战略、支撑西部全面振兴具有重大现实意义与长远战略价值。陕西省工业和信息化厅特面向社会公开采购本规划编制服务，为全省“十五五”工业高质量发展提供系统性、前瞻性、可操作的顶层设计与决策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1,365,492.00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十五五新型工业化和制造强省规划编制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标的名称：十五五新型工业化和制造强省规划编制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技术要求：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现状分析</w:t>
            </w:r>
            <w:r>
              <w:rPr>
                <w:rFonts w:ascii="仿宋_GB2312" w:hAnsi="仿宋_GB2312" w:cs="仿宋_GB2312" w:eastAsia="仿宋_GB2312"/>
              </w:rPr>
              <w:t>：</w:t>
            </w:r>
            <w:r>
              <w:rPr>
                <w:rFonts w:ascii="仿宋_GB2312" w:hAnsi="仿宋_GB2312" w:cs="仿宋_GB2312" w:eastAsia="仿宋_GB2312"/>
              </w:rPr>
              <w:t>系统评估陕西省新型工业化发展现状，全面梳理工业经济规模、产业结构、创新体系、数字转型、绿色低碳、企业培育等核心内容，精准识别发展问题与存在短板。</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趋势</w:t>
            </w:r>
            <w:r>
              <w:rPr>
                <w:rFonts w:ascii="仿宋_GB2312" w:hAnsi="仿宋_GB2312" w:cs="仿宋_GB2312" w:eastAsia="仿宋_GB2312"/>
              </w:rPr>
              <w:t>研判：</w:t>
            </w:r>
            <w:r>
              <w:rPr>
                <w:rFonts w:ascii="仿宋_GB2312" w:hAnsi="仿宋_GB2312" w:cs="仿宋_GB2312" w:eastAsia="仿宋_GB2312"/>
              </w:rPr>
              <w:t>准确把握国家战略导向</w:t>
            </w:r>
            <w:r>
              <w:rPr>
                <w:rFonts w:ascii="仿宋_GB2312" w:hAnsi="仿宋_GB2312" w:cs="仿宋_GB2312" w:eastAsia="仿宋_GB2312"/>
              </w:rPr>
              <w:t>，</w:t>
            </w:r>
            <w:r>
              <w:rPr>
                <w:rFonts w:ascii="仿宋_GB2312" w:hAnsi="仿宋_GB2312" w:cs="仿宋_GB2312" w:eastAsia="仿宋_GB2312"/>
              </w:rPr>
              <w:t>深度研判</w:t>
            </w:r>
            <w:r>
              <w:rPr>
                <w:rFonts w:ascii="仿宋_GB2312" w:hAnsi="仿宋_GB2312" w:cs="仿宋_GB2312" w:eastAsia="仿宋_GB2312"/>
              </w:rPr>
              <w:t>“十五五”时期陕西省工业发展面临的国际国内环境、政策机遇与挑战等发展趋势</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3）战略定位与目标设计：结合陕西省情，科学提出“十五五”时期陕西省新型工业化和制造强省的战略定位、指导思想、基本原则、发展目标等。</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重点任务</w:t>
            </w:r>
            <w:r>
              <w:rPr>
                <w:rFonts w:ascii="仿宋_GB2312" w:hAnsi="仿宋_GB2312" w:cs="仿宋_GB2312" w:eastAsia="仿宋_GB2312"/>
              </w:rPr>
              <w:t>研究：</w:t>
            </w:r>
            <w:r>
              <w:rPr>
                <w:rFonts w:ascii="仿宋_GB2312" w:hAnsi="仿宋_GB2312" w:cs="仿宋_GB2312" w:eastAsia="仿宋_GB2312"/>
              </w:rPr>
              <w:t>紧扣陕西资源禀赋与产业比较优势，</w:t>
            </w:r>
            <w:r>
              <w:rPr>
                <w:rFonts w:ascii="仿宋_GB2312" w:hAnsi="仿宋_GB2312" w:cs="仿宋_GB2312" w:eastAsia="仿宋_GB2312"/>
              </w:rPr>
              <w:t>研究提出</w:t>
            </w:r>
            <w:r>
              <w:rPr>
                <w:rFonts w:ascii="仿宋_GB2312" w:hAnsi="仿宋_GB2312" w:cs="仿宋_GB2312" w:eastAsia="仿宋_GB2312"/>
              </w:rPr>
              <w:t>“十五五”时期陕西省新型工业化的发展空间布局优化方案、产业发展主攻方向、关键领域的主要任务、重大工程的项目谋划建议等。</w:t>
            </w:r>
          </w:p>
          <w:p>
            <w:pPr>
              <w:pStyle w:val="null3"/>
              <w:jc w:val="both"/>
            </w:pPr>
            <w:r>
              <w:rPr>
                <w:rFonts w:ascii="仿宋_GB2312" w:hAnsi="仿宋_GB2312" w:cs="仿宋_GB2312" w:eastAsia="仿宋_GB2312"/>
              </w:rPr>
              <w:t>（</w:t>
            </w:r>
            <w:r>
              <w:rPr>
                <w:rFonts w:ascii="仿宋_GB2312" w:hAnsi="仿宋_GB2312" w:cs="仿宋_GB2312" w:eastAsia="仿宋_GB2312"/>
              </w:rPr>
              <w:t>5）实施路径研究：围绕创新驱动、数实融合、绿色低碳、企业培育等关键维度，系统提出陕西省新型工业化高质量发展实施路径。</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）政策保障体系研究：研究提出推进规划实施所需的组织保障、政策保障、要素保障等措施建议。</w:t>
            </w:r>
          </w:p>
          <w:p>
            <w:pPr>
              <w:pStyle w:val="null3"/>
            </w:pPr>
            <w:r>
              <w:rPr>
                <w:rFonts w:ascii="仿宋_GB2312" w:hAnsi="仿宋_GB2312" w:cs="仿宋_GB2312" w:eastAsia="仿宋_GB2312"/>
                <w:sz w:val="21"/>
              </w:rPr>
              <w:t>（</w:t>
            </w:r>
            <w:r>
              <w:rPr>
                <w:rFonts w:ascii="仿宋_GB2312" w:hAnsi="仿宋_GB2312" w:cs="仿宋_GB2312" w:eastAsia="仿宋_GB2312"/>
                <w:sz w:val="21"/>
              </w:rPr>
              <w:t>7）环境影响评价：结合规划方案，从宏观层面分析预测规划实施可能对生态环境产生的影响，以及优化调整建议，为规划决策提供支撑。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合同签订之日起半年内完成编制并提交成果。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 采用专家评审会形式进行结题验收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第一期：合同签订生效后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项目全部工作完成，最终成果通过采购人组织的专家评审验收，且成交供应商提交符合要求的全部交付成果后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 因履行本合同引起的或与本合同有关的争议，甲乙双方应首先通过友好协商解决，如果协商不能解决，可向仲裁委员会申请仲裁或向人民法院提起诉讼。 诉讼期间，本合同继续履行。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贰份；若电子响应文件与纸质响应文件不一致的，以电子响应文件为准；响应文件装订成册密封（在书脊处标明项目编号、项目名称、供应商名称（机打或手写均可），逐页标注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有效的法人或者其他组织的营业执照等证明文件，自然人的身份证明；2.财务状况：提供2024年度经审计的财务报表或本年度基本开户银行出具的资信证明（附基本开户许可证或基本存款账户信息）或政府采购信用担保机构出具的《政府采购投标担保函》；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财务报表或本年度基本开户银行出具的资信证明（附基本开户许可证或基本存款账户信息）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其他资料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（一）评审中出现下列情形之一的，磋商小组应当启动异常低价投标（响应）审查程序：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其他资料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供应商提供近三年（2023年1月1日至今）类似项目业绩合同（以合同签订日期为准），每提供1个有效业绩得2分，满分20分。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项目负责人具有正高级及以上技术职称的，得5分。未提供职称证书得0分。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其他人员配置</w:t>
            </w:r>
          </w:p>
        </w:tc>
        <w:tc>
          <w:tcPr>
            <w:tcW w:type="dxa" w:w="2492"/>
          </w:tcPr>
          <w:p>
            <w:pPr>
              <w:pStyle w:val="null3"/>
            </w:pPr>
            <w:r>
              <w:rPr>
                <w:rFonts w:ascii="仿宋_GB2312" w:hAnsi="仿宋_GB2312" w:cs="仿宋_GB2312" w:eastAsia="仿宋_GB2312"/>
              </w:rPr>
              <w:t>投入项目组其他人员（不含项目负责人），若具有高级及以上技术职称，每有1人加2分，满分10分。未提供职称证书得0分。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项目需求理解与重难点分析</w:t>
            </w:r>
          </w:p>
        </w:tc>
        <w:tc>
          <w:tcPr>
            <w:tcW w:type="dxa" w:w="2492"/>
          </w:tcPr>
          <w:p>
            <w:pPr>
              <w:pStyle w:val="null3"/>
            </w:pPr>
            <w:r>
              <w:rPr>
                <w:rFonts w:ascii="仿宋_GB2312" w:hAnsi="仿宋_GB2312" w:cs="仿宋_GB2312" w:eastAsia="仿宋_GB2312"/>
              </w:rPr>
              <w:t>供应商对项目背景、目标、任务理解全面准确，对重难点把握清晰、分析深刻、应对思路可行，内容至少包含：①项目需求理解；②重点、难点分析。 评审标准：各部分内容全面完整、阐述条理清晰详尽、符合本项目采购需求计10分，每缺少一项内容扣5分，每有一项内容存在缺陷扣1分，扣完为止。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国家战略契合度</w:t>
            </w:r>
          </w:p>
        </w:tc>
        <w:tc>
          <w:tcPr>
            <w:tcW w:type="dxa" w:w="2492"/>
          </w:tcPr>
          <w:p>
            <w:pPr>
              <w:pStyle w:val="null3"/>
            </w:pPr>
            <w:r>
              <w:rPr>
                <w:rFonts w:ascii="仿宋_GB2312" w:hAnsi="仿宋_GB2312" w:cs="仿宋_GB2312" w:eastAsia="仿宋_GB2312"/>
              </w:rPr>
              <w:t>方案深度对接高质量发展、新型工业化、制造强国、数字中国等国家战略，定位准确、导向鲜明，内容至少包含：①国家战略对接契合度；②方案定位与导向阐述。 评审标准：各部分内容全面完整、阐述条理清晰详尽、符合本项目采购需求计10分，每缺少一项内容扣5分，每有一项内容存在缺陷扣1分，扣完为止。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研究框架完整性与逻辑性</w:t>
            </w:r>
          </w:p>
        </w:tc>
        <w:tc>
          <w:tcPr>
            <w:tcW w:type="dxa" w:w="2492"/>
          </w:tcPr>
          <w:p>
            <w:pPr>
              <w:pStyle w:val="null3"/>
            </w:pPr>
            <w:r>
              <w:rPr>
                <w:rFonts w:ascii="仿宋_GB2312" w:hAnsi="仿宋_GB2312" w:cs="仿宋_GB2312" w:eastAsia="仿宋_GB2312"/>
              </w:rPr>
              <w:t>研究框架完整、逻辑清晰、层次合理，全面覆盖采购需求，贴合陕西工业实际，内容至少包含：①研究框架完整性、逻辑性及层次性阐述；②采购需求覆盖情况及与陕西工业实际的贴合说明。 评审标准：各部分内容全面完整、阐述条理清晰详尽、符合本项目采购需求计10分，每缺少一项内容扣5分，每有一项内容存在缺陷扣1分，扣完为止。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陕西产业特色与针对性</w:t>
            </w:r>
          </w:p>
        </w:tc>
        <w:tc>
          <w:tcPr>
            <w:tcW w:type="dxa" w:w="2492"/>
          </w:tcPr>
          <w:p>
            <w:pPr>
              <w:pStyle w:val="null3"/>
            </w:pPr>
            <w:r>
              <w:rPr>
                <w:rFonts w:ascii="仿宋_GB2312" w:hAnsi="仿宋_GB2312" w:cs="仿宋_GB2312" w:eastAsia="仿宋_GB2312"/>
              </w:rPr>
              <w:t>方案紧密结合陕西区位、资源、产业基础，定位精准、重点突出、举措贴合省情，内容至少包含：①陕西区位、资源、产业基础结合情况阐述；②方案定位、重点及举措与省情的贴合说明。 评审标准：各部分内容全面完整、阐述条理清晰详尽、符合本项目采购需求计10分，每缺少一项内容扣5分，每有一项内容存在缺陷扣1分，扣完为止。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项目保密方案与管理措施</w:t>
            </w:r>
          </w:p>
        </w:tc>
        <w:tc>
          <w:tcPr>
            <w:tcW w:type="dxa" w:w="2492"/>
          </w:tcPr>
          <w:p>
            <w:pPr>
              <w:pStyle w:val="null3"/>
            </w:pPr>
            <w:r>
              <w:rPr>
                <w:rFonts w:ascii="仿宋_GB2312" w:hAnsi="仿宋_GB2312" w:cs="仿宋_GB2312" w:eastAsia="仿宋_GB2312"/>
              </w:rPr>
              <w:t>保密制度健全、人员管理规范、技术与流程措施完备，内容至少包含：①保密制度；②管理措施。 评审标准：各部分内容全面完整、阐述条理清晰详尽、符合本项目采购需求计5分，每缺少一项内容扣2.5分，每有一项内容存在缺陷扣0.5分，扣完为止。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进度安排与质量保障</w:t>
            </w:r>
          </w:p>
        </w:tc>
        <w:tc>
          <w:tcPr>
            <w:tcW w:type="dxa" w:w="2492"/>
          </w:tcPr>
          <w:p>
            <w:pPr>
              <w:pStyle w:val="null3"/>
            </w:pPr>
            <w:r>
              <w:rPr>
                <w:rFonts w:ascii="仿宋_GB2312" w:hAnsi="仿宋_GB2312" w:cs="仿宋_GB2312" w:eastAsia="仿宋_GB2312"/>
              </w:rPr>
              <w:t>进度计划科学合理、节点清晰，质量保障体系健全、措施可行，内容至少包含：①进度安排；②质量保障。 评审标准：各部分内容全面完整、阐述条理清晰详尽、符合本项目采购需求计5分，每缺少一项内容扣2.5分，每有一项内容存在缺陷扣0.5分，扣完为止。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组织架构与工作流程</w:t>
            </w:r>
          </w:p>
        </w:tc>
        <w:tc>
          <w:tcPr>
            <w:tcW w:type="dxa" w:w="2492"/>
          </w:tcPr>
          <w:p>
            <w:pPr>
              <w:pStyle w:val="null3"/>
            </w:pPr>
            <w:r>
              <w:rPr>
                <w:rFonts w:ascii="仿宋_GB2312" w:hAnsi="仿宋_GB2312" w:cs="仿宋_GB2312" w:eastAsia="仿宋_GB2312"/>
              </w:rPr>
              <w:t>组织架构健全、职责分工明确、工作流程顺畅高效、管控机制完善，内容至少包含：①组织架构；②工作流程。 评审标准：各部分内容全面完整、阐述条理清晰详尽、符合本项目采购需求计5分，每缺少一项内容扣2.5分，每有一项内容存在缺陷扣0.5分，扣完为止。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详见附件：服务团队</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