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D0AE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Toc31115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其他资料</w:t>
      </w:r>
      <w:bookmarkEnd w:id="0"/>
    </w:p>
    <w:p w14:paraId="379028A6">
      <w:pPr>
        <w:spacing w:after="120"/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</w:p>
    <w:p w14:paraId="79F50BF4">
      <w:pPr>
        <w:spacing w:after="120"/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1.依据竞争性磋商文件要求，供应商认为有必要说明的其他内容。</w:t>
      </w:r>
    </w:p>
    <w:p w14:paraId="03A88A12">
      <w:r>
        <w:rPr>
          <w:rFonts w:ascii="仿宋_GB2312" w:hAnsi="仿宋_GB2312" w:eastAsia="仿宋_GB2312" w:cs="仿宋_GB2312"/>
          <w:color w:val="auto"/>
          <w:highlight w:val="none"/>
          <w:lang w:eastAsia="zh-CN"/>
        </w:rPr>
        <w:t>2.其他可以证明供应商实力的文件。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B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2026-05-08T02:39:16Z</dcterms:created>
  <dc:creator>asus</dc:creator>
  <cp:lastModifiedBy>123</cp:lastModifiedBy>
  <dcterms:modified xsi:type="dcterms:W3CDTF">2026-05-08T02:39:19Z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FD9A6AE26A164BA9B5ED7329C3C05CBF_12</vt:lpwstr>
  </property>
</Properties>
</file>