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版本号：JXZB2026-01820260617001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西安市高陵区泾渭梁村塬小学户外配套设施提升改造项目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JXZB2026-018</w:t>
      </w:r>
      <w:r>
        <w:br/>
      </w:r>
      <w:r>
        <w:br/>
      </w:r>
      <w:r>
        <w:br/>
      </w:r>
    </w:p>
    <w:p>
      <w:pPr>
        <w:pStyle w:val="null3"/>
        <w:jc w:val="center"/>
        <w:outlineLvl w:val="2"/>
      </w:pPr>
      <w:r>
        <w:rPr>
          <w:rFonts w:ascii="仿宋_GB2312" w:hAnsi="仿宋_GB2312" w:cs="仿宋_GB2312" w:eastAsia="仿宋_GB2312"/>
          <w:sz w:val="28"/>
          <w:b/>
        </w:rPr>
        <w:t>西安市高陵区教育局</w:t>
      </w:r>
    </w:p>
    <w:p>
      <w:pPr>
        <w:pStyle w:val="null3"/>
        <w:jc w:val="center"/>
        <w:outlineLvl w:val="2"/>
      </w:pPr>
      <w:r>
        <w:rPr>
          <w:rFonts w:ascii="仿宋_GB2312" w:hAnsi="仿宋_GB2312" w:cs="仿宋_GB2312" w:eastAsia="仿宋_GB2312"/>
          <w:sz w:val="28"/>
          <w:b/>
        </w:rPr>
        <w:t>嘉翔项目管理有限公司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嘉翔项目管理有限公司</w:t>
      </w:r>
      <w:r>
        <w:rPr>
          <w:rFonts w:ascii="仿宋_GB2312" w:hAnsi="仿宋_GB2312" w:cs="仿宋_GB2312" w:eastAsia="仿宋_GB2312"/>
        </w:rPr>
        <w:t>（以下简称“代理机构”）受</w:t>
      </w:r>
      <w:r>
        <w:rPr>
          <w:rFonts w:ascii="仿宋_GB2312" w:hAnsi="仿宋_GB2312" w:cs="仿宋_GB2312" w:eastAsia="仿宋_GB2312"/>
        </w:rPr>
        <w:t>西安市高陵区教育局</w:t>
      </w:r>
      <w:r>
        <w:rPr>
          <w:rFonts w:ascii="仿宋_GB2312" w:hAnsi="仿宋_GB2312" w:cs="仿宋_GB2312" w:eastAsia="仿宋_GB2312"/>
        </w:rPr>
        <w:t>委托，拟对</w:t>
      </w:r>
      <w:r>
        <w:rPr>
          <w:rFonts w:ascii="仿宋_GB2312" w:hAnsi="仿宋_GB2312" w:cs="仿宋_GB2312" w:eastAsia="仿宋_GB2312"/>
        </w:rPr>
        <w:t>西安市高陵区泾渭梁村塬小学户外配套设施提升改造项目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JXZB2026-018</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西安市高陵区泾渭梁村塬小学户外配套设施提升改造项目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西安市高陵区泾渭梁村塬小学户外配套设施提升改造项目，包括室外铺装、给排水工程、电气工程、火灾报警工程等项目。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采购包1（西安市高陵区泾渭梁村塬小学户外配套设施提升改造）：属于专门面向中小企业采购。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供应商为具有独立承担民事责任能力的法人、其他组织或自然人。企业法人应提供合法有效的标识有统一社会信用代码的营业执照；事业法人应提供事业单位法人证书；其他组织应提供合法登记证明文件；自然人应提供身份证；</w:t>
      </w:r>
    </w:p>
    <w:p>
      <w:pPr>
        <w:pStyle w:val="null3"/>
      </w:pPr>
      <w:r>
        <w:rPr>
          <w:rFonts w:ascii="仿宋_GB2312" w:hAnsi="仿宋_GB2312" w:cs="仿宋_GB2312" w:eastAsia="仿宋_GB2312"/>
        </w:rPr>
        <w:t>2、身份授权：供应商应授权合法的人员参加磋商全过程，其中法定代表人直接参加磋商的，须出具法人身份证，并与营业执照上信息一致。法定代表人授权代表参加磋商的，须出具法定代表人授权书及授权代表身份证；</w:t>
      </w:r>
    </w:p>
    <w:p>
      <w:pPr>
        <w:pStyle w:val="null3"/>
      </w:pPr>
      <w:r>
        <w:rPr>
          <w:rFonts w:ascii="仿宋_GB2312" w:hAnsi="仿宋_GB2312" w:cs="仿宋_GB2312" w:eastAsia="仿宋_GB2312"/>
        </w:rPr>
        <w:t>3、企业资质：供应商须具备建设行政主管部门颁发的建筑工程施工总承包三级及以上资质，并具备合法有效的安全生产许可证；</w:t>
      </w:r>
    </w:p>
    <w:p>
      <w:pPr>
        <w:pStyle w:val="null3"/>
      </w:pPr>
      <w:r>
        <w:rPr>
          <w:rFonts w:ascii="仿宋_GB2312" w:hAnsi="仿宋_GB2312" w:cs="仿宋_GB2312" w:eastAsia="仿宋_GB2312"/>
        </w:rPr>
        <w:t>4、项目经理资质：拟派项目经理须具备建筑工程专业二级及以上注册建造师资格证书和有效的安全生产考核合格证书（B证），在本单位注册且无在建工程；</w:t>
      </w:r>
    </w:p>
    <w:p>
      <w:pPr>
        <w:pStyle w:val="null3"/>
      </w:pPr>
      <w:r>
        <w:rPr>
          <w:rFonts w:ascii="仿宋_GB2312" w:hAnsi="仿宋_GB2312" w:cs="仿宋_GB2312" w:eastAsia="仿宋_GB2312"/>
        </w:rPr>
        <w:t>5、财务状况：提供注册会计师行业统一监管平台(网址http://acc.mof.gov.cn)赋码可查询的2024年度或2025年度审计报告（成立时间至提交响应文件截止时间不足一年的可提供成立后任意时段的资产负债表)，或开标前6个月内其开户银行出具的资信证明，或信用担保机构出具的投标担保函（以上三种形式的资料提供任何一种即可)；</w:t>
      </w:r>
    </w:p>
    <w:p>
      <w:pPr>
        <w:pStyle w:val="null3"/>
      </w:pPr>
      <w:r>
        <w:rPr>
          <w:rFonts w:ascii="仿宋_GB2312" w:hAnsi="仿宋_GB2312" w:cs="仿宋_GB2312" w:eastAsia="仿宋_GB2312"/>
        </w:rPr>
        <w:t>6、税收缴纳证明：提供响应文件递交截止时间前一年内至少一个月依法缴纳税收的相关凭据（时间以税款所属日期为准，凭据应有税务机关或代收机关的公章或业务专用章）；其他组织和自然人提供缴纳税收的凭据；依法免税的供应商应提供相关文件证明；</w:t>
      </w:r>
    </w:p>
    <w:p>
      <w:pPr>
        <w:pStyle w:val="null3"/>
      </w:pPr>
      <w:r>
        <w:rPr>
          <w:rFonts w:ascii="仿宋_GB2312" w:hAnsi="仿宋_GB2312" w:cs="仿宋_GB2312" w:eastAsia="仿宋_GB2312"/>
        </w:rPr>
        <w:t>7、社保缴纳证明：提供响应文件递交截止时间前一年内至少一个月已缴纳的社会保障资金的凭据（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8、企业信用：参加本次政府采购活动前3年内在经营活动中没有重大违纪，以及未被列入失信被执行人、重大税收违法失信主体、政府采购严重违法失信行为记录名单的书面声明；</w:t>
      </w:r>
    </w:p>
    <w:p>
      <w:pPr>
        <w:pStyle w:val="null3"/>
      </w:pPr>
      <w:r>
        <w:rPr>
          <w:rFonts w:ascii="仿宋_GB2312" w:hAnsi="仿宋_GB2312" w:cs="仿宋_GB2312" w:eastAsia="仿宋_GB2312"/>
        </w:rPr>
        <w:t>9、履约能力：提供具有履行本合同所必需的设备和专业技术能力的声明；</w:t>
      </w:r>
    </w:p>
    <w:p>
      <w:pPr>
        <w:pStyle w:val="null3"/>
      </w:pPr>
      <w:r>
        <w:rPr>
          <w:rFonts w:ascii="仿宋_GB2312" w:hAnsi="仿宋_GB2312" w:cs="仿宋_GB2312" w:eastAsia="仿宋_GB2312"/>
        </w:rPr>
        <w:t>10、控股管理关系：供应商单位负责人不得为同一人或者存在控股、管理关系；</w:t>
      </w:r>
    </w:p>
    <w:p>
      <w:pPr>
        <w:pStyle w:val="null3"/>
      </w:pPr>
      <w:r>
        <w:rPr>
          <w:rFonts w:ascii="仿宋_GB2312" w:hAnsi="仿宋_GB2312" w:cs="仿宋_GB2312" w:eastAsia="仿宋_GB2312"/>
        </w:rPr>
        <w:t>11、中小企业声明函：本项目为专门面向中小企业项目，供应商须为中型企业或者小型、微型企业或监狱企业或残疾人福利性单位。</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西安市高陵区教育局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高陵区文卫路892号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029-86921342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嘉翔项目管理有限公司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西安曲江新区雁南五路曲江影视大厦19层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田凯</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15829751157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西安市高陵区采购管理科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药咪</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86919290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采购包1：2,635,512.60元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考“国家计委关于印发《采购代理服务收费管理暂行办法》的通知（计价格[2002]1980号）、国家发展改革委《关于降低部分建设项目收费标准规范收费行为等有关问题的通知》（发改价格[2011]534号）”及“陕西省物价局、陕西省住房和城乡建设厅文件（陕价行[2014]88号文）”规定收费标准收取。</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西安市高陵区教育局</w:t>
      </w:r>
      <w:r>
        <w:rPr>
          <w:rFonts w:ascii="仿宋_GB2312" w:hAnsi="仿宋_GB2312" w:cs="仿宋_GB2312" w:eastAsia="仿宋_GB2312"/>
        </w:rPr>
        <w:t>和</w:t>
      </w:r>
      <w:r>
        <w:rPr>
          <w:rFonts w:ascii="仿宋_GB2312" w:hAnsi="仿宋_GB2312" w:cs="仿宋_GB2312" w:eastAsia="仿宋_GB2312"/>
        </w:rPr>
        <w:t>嘉翔项目管理有限公司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西安市高陵区教育局</w:t>
      </w:r>
      <w:r>
        <w:rPr>
          <w:rFonts w:ascii="仿宋_GB2312" w:hAnsi="仿宋_GB2312" w:cs="仿宋_GB2312" w:eastAsia="仿宋_GB2312"/>
        </w:rPr>
        <w:t>负责解释。除上述磋商文件内容，其他内容由</w:t>
      </w:r>
      <w:r>
        <w:rPr>
          <w:rFonts w:ascii="仿宋_GB2312" w:hAnsi="仿宋_GB2312" w:cs="仿宋_GB2312" w:eastAsia="仿宋_GB2312"/>
        </w:rPr>
        <w:t>嘉翔项目管理有限公司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西安市高陵区教育局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嘉翔项目管理有限公司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达到国家及行业现行施工验收规范“合格”标准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嘉翔项目管理有限公司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嘉翔项目管理有限公司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嘉翔项目管理有限公司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联系人：田凯</w:t>
      </w:r>
    </w:p>
    <w:p>
      <w:pPr>
        <w:pStyle w:val="null3"/>
      </w:pPr>
      <w:r>
        <w:rPr>
          <w:rFonts w:ascii="仿宋_GB2312" w:hAnsi="仿宋_GB2312" w:cs="仿宋_GB2312" w:eastAsia="仿宋_GB2312"/>
        </w:rPr>
        <w:t>联系电话：15829751157</w:t>
      </w:r>
    </w:p>
    <w:p>
      <w:pPr>
        <w:pStyle w:val="null3"/>
      </w:pPr>
      <w:r>
        <w:rPr>
          <w:rFonts w:ascii="仿宋_GB2312" w:hAnsi="仿宋_GB2312" w:cs="仿宋_GB2312" w:eastAsia="仿宋_GB2312"/>
        </w:rPr>
        <w:t>地址：西安曲江新区雁南五路曲江影视大厦19层</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2,635,512.60</w:t>
      </w:r>
    </w:p>
    <w:p>
      <w:pPr>
        <w:pStyle w:val="null3"/>
      </w:pPr>
      <w:r>
        <w:rPr>
          <w:rFonts w:ascii="仿宋_GB2312" w:hAnsi="仿宋_GB2312" w:cs="仿宋_GB2312" w:eastAsia="仿宋_GB2312"/>
        </w:rPr>
        <w:t>采购包最高限价（元）: 2,635,512.60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西安市高陵区泾渭梁村塬小学户外配套设施提升改造项目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2,635,512.60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标的名称：西安市高陵区泾渭梁村塬小学户外配套设施提升改造项目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560"/>
              <w:jc w:val="both"/>
            </w:pPr>
            <w:r>
              <w:rPr>
                <w:rFonts w:ascii="仿宋_GB2312" w:hAnsi="仿宋_GB2312" w:cs="仿宋_GB2312" w:eastAsia="仿宋_GB2312"/>
                <w:sz w:val="28"/>
              </w:rPr>
              <w:t>1、</w:t>
            </w:r>
            <w:r>
              <w:rPr>
                <w:rFonts w:ascii="仿宋_GB2312" w:hAnsi="仿宋_GB2312" w:cs="仿宋_GB2312" w:eastAsia="仿宋_GB2312"/>
                <w:sz w:val="28"/>
              </w:rPr>
              <w:t>工程内容：</w:t>
            </w:r>
            <w:r>
              <w:rPr>
                <w:rFonts w:ascii="仿宋_GB2312" w:hAnsi="仿宋_GB2312" w:cs="仿宋_GB2312" w:eastAsia="仿宋_GB2312"/>
                <w:sz w:val="28"/>
              </w:rPr>
              <w:t>西安市高陵区泾渭梁村塬小学户外配套设施提升改造项目，包括室外铺装、给排水工程、电气工程、火灾报警工程等项目。</w:t>
            </w:r>
          </w:p>
          <w:p>
            <w:pPr>
              <w:pStyle w:val="null3"/>
              <w:ind w:firstLine="560"/>
              <w:jc w:val="both"/>
            </w:pPr>
            <w:r>
              <w:rPr>
                <w:rFonts w:ascii="仿宋_GB2312" w:hAnsi="仿宋_GB2312" w:cs="仿宋_GB2312" w:eastAsia="仿宋_GB2312"/>
                <w:sz w:val="28"/>
              </w:rPr>
              <w:t>2、计划</w:t>
            </w:r>
            <w:r>
              <w:rPr>
                <w:rFonts w:ascii="仿宋_GB2312" w:hAnsi="仿宋_GB2312" w:cs="仿宋_GB2312" w:eastAsia="仿宋_GB2312"/>
                <w:sz w:val="28"/>
              </w:rPr>
              <w:t>工期</w:t>
            </w:r>
            <w:r>
              <w:rPr>
                <w:rFonts w:ascii="仿宋_GB2312" w:hAnsi="仿宋_GB2312" w:cs="仿宋_GB2312" w:eastAsia="仿宋_GB2312"/>
                <w:sz w:val="28"/>
              </w:rPr>
              <w:t>：</w:t>
            </w:r>
            <w:r>
              <w:rPr>
                <w:rFonts w:ascii="仿宋_GB2312" w:hAnsi="仿宋_GB2312" w:cs="仿宋_GB2312" w:eastAsia="仿宋_GB2312"/>
                <w:sz w:val="28"/>
              </w:rPr>
              <w:t>自进场之日起</w:t>
            </w:r>
            <w:r>
              <w:rPr>
                <w:rFonts w:ascii="仿宋_GB2312" w:hAnsi="仿宋_GB2312" w:cs="仿宋_GB2312" w:eastAsia="仿宋_GB2312"/>
                <w:sz w:val="28"/>
              </w:rPr>
              <w:t>120个日历日内竣工。</w:t>
            </w:r>
          </w:p>
          <w:p>
            <w:pPr>
              <w:pStyle w:val="null3"/>
              <w:ind w:firstLine="560"/>
              <w:jc w:val="both"/>
            </w:pPr>
            <w:r>
              <w:rPr>
                <w:rFonts w:ascii="仿宋_GB2312" w:hAnsi="仿宋_GB2312" w:cs="仿宋_GB2312" w:eastAsia="仿宋_GB2312"/>
                <w:sz w:val="28"/>
              </w:rPr>
              <w:t>3、工程地点：</w:t>
            </w:r>
            <w:r>
              <w:rPr>
                <w:rFonts w:ascii="仿宋_GB2312" w:hAnsi="仿宋_GB2312" w:cs="仿宋_GB2312" w:eastAsia="仿宋_GB2312"/>
                <w:sz w:val="28"/>
              </w:rPr>
              <w:t>西安市高陵区梁村塬小学</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4、质量标准：达到国家及行业现行施工验收规范“合格”标准。</w:t>
            </w:r>
          </w:p>
          <w:p>
            <w:pPr>
              <w:pStyle w:val="null3"/>
              <w:ind w:firstLine="560"/>
              <w:jc w:val="both"/>
            </w:pPr>
            <w:r>
              <w:rPr>
                <w:rFonts w:ascii="仿宋_GB2312" w:hAnsi="仿宋_GB2312" w:cs="仿宋_GB2312" w:eastAsia="仿宋_GB2312"/>
                <w:sz w:val="28"/>
              </w:rPr>
              <w:t>5、缺陷责任期：24个月，自工程竣工验收合格之日起计算。</w:t>
            </w:r>
          </w:p>
          <w:p>
            <w:pPr>
              <w:pStyle w:val="null3"/>
              <w:ind w:firstLine="560"/>
              <w:jc w:val="both"/>
            </w:pPr>
            <w:r>
              <w:rPr>
                <w:rFonts w:ascii="仿宋_GB2312" w:hAnsi="仿宋_GB2312" w:cs="仿宋_GB2312" w:eastAsia="仿宋_GB2312"/>
                <w:sz w:val="28"/>
              </w:rPr>
              <w:t>6、质量保修期：本工程所有安装及附属土建工程保修期为2年；防水工程保修期为5年;</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达到国家及行业现行施工验收规范“合格”标准。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供应商须在磋商响应文件递交截止时间前，在线提交电子响应文件，并线下递交一正一副纸质版响应文件及电子版U盘1份（纸质文件双面打印胶装成册）。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供应商为具有独立承担民事责任能力的法人、其他组织或自然人。企业法人应提供合法有效的标识有统一社会信用代码的营业执照；事业法人应提供事业单位法人证书；其他组织应提供合法登记证明文件；自然人应提供身份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身份授权</w:t>
            </w:r>
          </w:p>
        </w:tc>
        <w:tc>
          <w:tcPr>
            <w:tcW w:type="dxa" w:w="3322"/>
          </w:tcPr>
          <w:p>
            <w:pPr>
              <w:pStyle w:val="null3"/>
            </w:pPr>
            <w:r>
              <w:rPr>
                <w:rFonts w:ascii="仿宋_GB2312" w:hAnsi="仿宋_GB2312" w:cs="仿宋_GB2312" w:eastAsia="仿宋_GB2312"/>
              </w:rPr>
              <w:t>供应商应授权合法的人员参加磋商全过程，其中法定代表人直接参加磋商的，须出具法人身份证，并与营业执照上信息一致。法定代表人授权代表参加磋商的，须出具法定代表人授权书及授权代表身份证；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供应商须具备建设行政主管部门颁发的建筑工程施工总承包三级及以上资质，并具备合法有效的安全生产许可证；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项目经理资质</w:t>
            </w:r>
          </w:p>
        </w:tc>
        <w:tc>
          <w:tcPr>
            <w:tcW w:type="dxa" w:w="3322"/>
          </w:tcPr>
          <w:p>
            <w:pPr>
              <w:pStyle w:val="null3"/>
            </w:pPr>
            <w:r>
              <w:rPr>
                <w:rFonts w:ascii="仿宋_GB2312" w:hAnsi="仿宋_GB2312" w:cs="仿宋_GB2312" w:eastAsia="仿宋_GB2312"/>
              </w:rPr>
              <w:t>拟派项目经理须具备建筑工程专业二级及以上注册建造师资格证书和有效的安全生产考核合格证书（B证），在本单位注册且无在建工程；</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提供注册会计师行业统一监管平台(网址http://acc.mof.gov.cn)赋码可查询的2024年度或2025年度审计报告（成立时间至提交响应文件截止时间不足一年的可提供成立后任意时段的资产负债表)，或开标前6个月内其开户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响应文件递交截止时间前一年内至少一个月依法缴纳税收的相关凭据（时间以税款所属日期为准，凭据应有税务机关或代收机关的公章或业务专用章）；其他组织和自然人提供缴纳税收的凭据；依法免税的供应商应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响应文件递交截止时间前一年内至少一个月已缴纳的社会保障资金的凭据（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企业信用</w:t>
            </w:r>
          </w:p>
        </w:tc>
        <w:tc>
          <w:tcPr>
            <w:tcW w:type="dxa" w:w="3322"/>
          </w:tcPr>
          <w:p>
            <w:pPr>
              <w:pStyle w:val="null3"/>
            </w:pPr>
            <w:r>
              <w:rPr>
                <w:rFonts w:ascii="仿宋_GB2312" w:hAnsi="仿宋_GB2312" w:cs="仿宋_GB2312" w:eastAsia="仿宋_GB2312"/>
              </w:rPr>
              <w:t>参加本次政府采购活动前3年内在经营活动中没有重大违纪，以及未被列入失信被执行人、重大税收违法失信主体、政府采购严重违法失信行为记录名单的书面声明；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履约能力</w:t>
            </w:r>
          </w:p>
        </w:tc>
        <w:tc>
          <w:tcPr>
            <w:tcW w:type="dxa" w:w="3322"/>
          </w:tcPr>
          <w:p>
            <w:pPr>
              <w:pStyle w:val="null3"/>
            </w:pPr>
            <w:r>
              <w:rPr>
                <w:rFonts w:ascii="仿宋_GB2312" w:hAnsi="仿宋_GB2312" w:cs="仿宋_GB2312" w:eastAsia="仿宋_GB2312"/>
              </w:rPr>
              <w:t>提供具有履行本合同所必需的设备和专业技术能力的声明；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供应商单位负责人不得为同一人或者存在控股、管理关系；</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本项目为专门面向中小企业项目，供应商须为中型企业或者小型、微型企业或监狱企业或残疾人福利性单位。</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同时满足以下条款： （1）磋商报价符合唯一性要求；（2）未超出竞争性磋商文件规定的最高限价。</w:t>
            </w:r>
          </w:p>
        </w:tc>
        <w:tc>
          <w:tcPr>
            <w:tcW w:type="dxa" w:w="1661"/>
          </w:tcPr>
          <w:p>
            <w:pPr>
              <w:pStyle w:val="null3"/>
            </w:pPr>
            <w:r>
              <w:rPr>
                <w:rFonts w:ascii="仿宋_GB2312" w:hAnsi="仿宋_GB2312" w:cs="仿宋_GB2312" w:eastAsia="仿宋_GB2312"/>
              </w:rPr>
              <w:t>响应文件封面 已标价工程量清单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符合竞争性磋商文件要求。</w:t>
            </w:r>
          </w:p>
        </w:tc>
        <w:tc>
          <w:tcPr>
            <w:tcW w:type="dxa" w:w="1661"/>
          </w:tcPr>
          <w:p>
            <w:pPr>
              <w:pStyle w:val="null3"/>
            </w:pPr>
            <w:r>
              <w:rPr>
                <w:rFonts w:ascii="仿宋_GB2312" w:hAnsi="仿宋_GB2312" w:cs="仿宋_GB2312" w:eastAsia="仿宋_GB2312"/>
              </w:rPr>
              <w:t>响应文件封面 技术方案.docx 技术服务合同条款及其他商务要求应答表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应符合“响应文件格式”要求</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按照磋商文件规定要求签署、盖章。</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符合竞争性磋商文件要求。</w:t>
            </w:r>
          </w:p>
        </w:tc>
        <w:tc>
          <w:tcPr>
            <w:tcW w:type="dxa" w:w="1661"/>
          </w:tcPr>
          <w:p>
            <w:pPr>
              <w:pStyle w:val="null3"/>
            </w:pPr>
            <w:r>
              <w:rPr>
                <w:rFonts w:ascii="仿宋_GB2312" w:hAnsi="仿宋_GB2312" w:cs="仿宋_GB2312" w:eastAsia="仿宋_GB2312"/>
              </w:rPr>
              <w:t>响应文件封面 技术服务合同条款及其他商务要求应答表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技术方案.docx 已标价工程量清单 中小企业声明函 供应商应提交的相关资格证明材料 技术服务合同条款及其他商务要求应答表 强制优先采购产品承诺函 响应文件封面 项目管理机构组成表 残疾人福利性单位声明函 供应商类似项目业绩一览表 响应函 陕西省政府采购供应商拒绝政府采购领域商业贿赂承诺书.docx 主要人员简历表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（一）评审内容：供应商针对本项目制定的施工方案包含：①对项目总体概况表述和管理思路；②施工部署及措施；③对项目主要及关键方案的表述；④施工平面布置。 （二）评审标准：以上4项内容无缺项，专门针对本项目编制，符合本项目实际情况，内容完整、条理清晰、能够保障项目顺利实施的得8分。每项内容根据供应商内容响应程度：每缺少一项内容或者内容非针对于本项目的扣2分，每有一处缺陷的扣0.5分，扣完为止。（缺陷是指：内容不完整、缺少关键点、针对性不强、表述前后不一致、不详细具体、条理不清晰、描述过于简单、与项目特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项目管理及项目部组成</w:t>
            </w:r>
          </w:p>
        </w:tc>
        <w:tc>
          <w:tcPr>
            <w:tcW w:type="dxa" w:w="2492"/>
          </w:tcPr>
          <w:p>
            <w:pPr>
              <w:pStyle w:val="null3"/>
            </w:pPr>
            <w:r>
              <w:rPr>
                <w:rFonts w:ascii="仿宋_GB2312" w:hAnsi="仿宋_GB2312" w:cs="仿宋_GB2312" w:eastAsia="仿宋_GB2312"/>
              </w:rPr>
              <w:t>（一）评审内容：供应商针对本项目制定项目管理及项目部组成包含：①项目管理机构；②项目部组成。 （二）评审标准：以上2项内容无缺项，专门针对本项目编制，符合本项目实际情况，内容完整、条理清晰、能够保障项目顺利实施的得4分。每项内容根据供应商内容响应程度：每缺少一项内容或者内容非针对于本项目的扣2分，每有一处缺陷的扣0.5分，扣完为止。（缺陷是指：内容不完整、缺少关键点、针对性不强、表述前后不一致、不详细具体、条理不清晰、描述过于简单、与项目特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质量管理体系与措施</w:t>
            </w:r>
          </w:p>
        </w:tc>
        <w:tc>
          <w:tcPr>
            <w:tcW w:type="dxa" w:w="2492"/>
          </w:tcPr>
          <w:p>
            <w:pPr>
              <w:pStyle w:val="null3"/>
            </w:pPr>
            <w:r>
              <w:rPr>
                <w:rFonts w:ascii="仿宋_GB2312" w:hAnsi="仿宋_GB2312" w:cs="仿宋_GB2312" w:eastAsia="仿宋_GB2312"/>
              </w:rPr>
              <w:t>（一）评审内容：供应商针对本项目制定的质量管理体系与措施包含：①质量管理目标；②管理机构职责分工；③质量管理制度；④质量保证措施。 （二）评审标准：以上4项内容无缺项，专门针对本项目编制，符合本项目实际情况，内容完整、条理清晰、能够保障项目顺利实施的得8分。每项内容根据供应商内容响应程度：每缺少一项内容或者内容非针对于本项目的扣2分，每有一处缺陷的扣0.5分，扣完为止。（缺陷是指：内容不完整、缺少关键点、针对性不强、表述前后不一致、不详细具体、条理不清晰、描述过于简单、与项目特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安全管理体系与措施</w:t>
            </w:r>
          </w:p>
        </w:tc>
        <w:tc>
          <w:tcPr>
            <w:tcW w:type="dxa" w:w="2492"/>
          </w:tcPr>
          <w:p>
            <w:pPr>
              <w:pStyle w:val="null3"/>
            </w:pPr>
            <w:r>
              <w:rPr>
                <w:rFonts w:ascii="仿宋_GB2312" w:hAnsi="仿宋_GB2312" w:cs="仿宋_GB2312" w:eastAsia="仿宋_GB2312"/>
              </w:rPr>
              <w:t>（一）评审内容：供应商针对本项目制定的安全管理体系与措施包含：①安全管理目标；②安全管理机构职责分工；③安全管理制度；④安全保证措施。 （二）评审标准：以上4项内容无缺项，专门针对本项目编制，符合本项目实际情况，内容完整、条理清晰、能够保障项目顺利实施的得8分。每项内容根据供应商内容响应程度：每缺少一项内容或者内容非针对于本项目的扣2分，每有一处缺陷的扣0.5分，扣完为止。（缺陷是指：内容不完整、缺少关键点、针对性不强、表述前后不一致、不详细具体、条理不清晰、描述过于简单、与项目特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环境保护管理体系与措施</w:t>
            </w:r>
          </w:p>
        </w:tc>
        <w:tc>
          <w:tcPr>
            <w:tcW w:type="dxa" w:w="2492"/>
          </w:tcPr>
          <w:p>
            <w:pPr>
              <w:pStyle w:val="null3"/>
            </w:pPr>
            <w:r>
              <w:rPr>
                <w:rFonts w:ascii="仿宋_GB2312" w:hAnsi="仿宋_GB2312" w:cs="仿宋_GB2312" w:eastAsia="仿宋_GB2312"/>
              </w:rPr>
              <w:t>（一）评审内容：供应商针对本项目制定的环境保护管理体系与措施包含：①环境保护管理目标；②环境保护管理机构职责分工；③环境保护管理制度；④环境保护保证措施。 （二）评审标准：以上4项内容无缺项，专门针对本项目编制，符合本项目实际情况，内容完整、条理清晰、能够保障项目顺利实施的得8分。每项内容根据供应商内容响应程度：每缺少一项内容或者内容非针对于本项目的扣2分，每有一处缺陷的扣0.5分，扣完为止。（缺陷是指：内容不完整、缺少关键点、针对性不强、表述前后不一致、不详细具体、条理不清晰、描述过于简单、与项目特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工程进度计划与保证措施</w:t>
            </w:r>
          </w:p>
        </w:tc>
        <w:tc>
          <w:tcPr>
            <w:tcW w:type="dxa" w:w="2492"/>
          </w:tcPr>
          <w:p>
            <w:pPr>
              <w:pStyle w:val="null3"/>
            </w:pPr>
            <w:r>
              <w:rPr>
                <w:rFonts w:ascii="仿宋_GB2312" w:hAnsi="仿宋_GB2312" w:cs="仿宋_GB2312" w:eastAsia="仿宋_GB2312"/>
              </w:rPr>
              <w:t>（一）评审内容：供应商针对本项目制定的工程进度计划与保证措施包含：①总工期及节点工期安排；②施工进度计划安排；③进度保证措施。 （二）评审标准（满分6分） 1. 总工期及节点工期安排（2分）：总工期及各关键节点起止时间，符合项目实际要求，内容完整、条理清晰得2分；未提供/内容不完整/未量化/不针对本项目不得分。 2. 施工进度计划安排（2分）：编制详细施工进度计划（可含横道图/网络图），工序逻辑合理、资源配置清晰，符合项目实际得2分；未提供/内容不完整/未量化/不针对本项目不得分。 3. 进度保证措施（2分）：制定切实可行的进度保障措施（含人员、设备、技术、应急预案等），针对性强、可落地得2分；未提供/内容不完整/未量化/不针对本项目不得分。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资源配备计划</w:t>
            </w:r>
          </w:p>
        </w:tc>
        <w:tc>
          <w:tcPr>
            <w:tcW w:type="dxa" w:w="2492"/>
          </w:tcPr>
          <w:p>
            <w:pPr>
              <w:pStyle w:val="null3"/>
            </w:pPr>
            <w:r>
              <w:rPr>
                <w:rFonts w:ascii="仿宋_GB2312" w:hAnsi="仿宋_GB2312" w:cs="仿宋_GB2312" w:eastAsia="仿宋_GB2312"/>
              </w:rPr>
              <w:t>（一）评审内容：供应商针对本项目制定资源配备计划包含：①劳动力计划；②主要材料供应计划；③施工机械设备配备计划；④资源调配计划。 （二）评审标准：以上4项内容无缺项，专门针对本项目编制，符合本项目实际情况，内容完整、条理清晰、能够保障项目顺利实施的得8分。每项内容根据供应商内容响应程度：每缺少一项内容或者内容非针对于本项目的扣2分，每有一处缺陷的扣0.5分，扣完为止。（缺陷是指：内容不完整、缺少关键点、针对性不强、表述前后不一致、不详细具体、条理不清晰、描述过于简单、与项目特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确保文明施工技术组织措施</w:t>
            </w:r>
          </w:p>
        </w:tc>
        <w:tc>
          <w:tcPr>
            <w:tcW w:type="dxa" w:w="2492"/>
          </w:tcPr>
          <w:p>
            <w:pPr>
              <w:pStyle w:val="null3"/>
            </w:pPr>
            <w:r>
              <w:rPr>
                <w:rFonts w:ascii="仿宋_GB2312" w:hAnsi="仿宋_GB2312" w:cs="仿宋_GB2312" w:eastAsia="仿宋_GB2312"/>
              </w:rPr>
              <w:t>（一）评审内容 供应商针对本项目制定文明施工技术组织措施方案，包含： ① 文明施工目标及现场管理措施；② 文明施工保障措施。 （二）评审标准（满分4分） 1. 文明施工目标及现场管理措施（2分） 扬尘、噪声、围挡、垃圾清运量化指标及巡查制度、应急预案。完全满足得2分，未提供/内容不完整/未量化不得分。 2.文明施工保障措施（2分） 文明施工设备、人员培训计划、奖惩机制。完全满足得2分，未提供/内容不完整/未量化不得分。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（一）评审内容供应商针对本项目的服务承诺，包含： ①施工过程承诺；② 材料质量承诺；③ 服务响应时间承诺；④ 保修责任承诺。 （二）评审标准（满分8分） 1. 施工过程承诺（2分）：承诺工期节点、安全文明配合要求、现场对接机制。完全满足得2分，未提供/内容不完整/未量化不得分。 2. 材料质量承诺（2分）：承诺材料品牌、规格、质量标准，承诺提供材料合格证明文件。完全满足得2分，未提供/内容不完整/未量化不得分。 3. 服务响应承诺（2分）：承诺服务响应流程、处置时效要求，形成完整可执行的响应机制。完全满足得2分，未提供/内容不完整/未量化不得分。 4. 保修责任承诺（2分）：承诺保修范围、保修期限、保修服务、逾期维修责任。完全满足得2分，未提供/内容不完整/未量化不得分。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供应商2023年6月1日以后的类似项目业绩；每提供1份计2分，最高得8分。业绩证明（以合同或中标/成交通知书为准，须在磋商响应文件中附以上证明材料的扫描件加盖单位公章）。</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技术方案.docx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满足磋商文件要求且最后报价最低的供应商的价格为磋商基准价，其价格分为满分。其他供应商的价格分统一按照下列公式计算： 磋商报价得分=（磋商基准价/最终磋商报价）×30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详见附件：施工合同 草案条款.docx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