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版本号：HXGJXM2026-ZC-CS105920260831001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2026年碑林区消费品以旧换新订单审核服务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HXGJXM2026-ZC-CS1059</w:t>
      </w:r>
      <w:r>
        <w:br/>
      </w:r>
      <w:r>
        <w:br/>
      </w:r>
      <w:r>
        <w:br/>
      </w:r>
    </w:p>
    <w:p>
      <w:pPr>
        <w:pStyle w:val="null3"/>
        <w:jc w:val="center"/>
        <w:outlineLvl w:val="2"/>
      </w:pPr>
      <w:r>
        <w:rPr>
          <w:rFonts w:ascii="仿宋_GB2312" w:hAnsi="仿宋_GB2312" w:cs="仿宋_GB2312" w:eastAsia="仿宋_GB2312"/>
          <w:sz w:val="28"/>
          <w:b/>
        </w:rPr>
        <w:t>西安市碑林区商务局（本级）</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西安市碑林区商务局（本级）</w:t>
      </w:r>
      <w:r>
        <w:rPr>
          <w:rFonts w:ascii="仿宋_GB2312" w:hAnsi="仿宋_GB2312" w:cs="仿宋_GB2312" w:eastAsia="仿宋_GB2312"/>
        </w:rPr>
        <w:t>委托，拟对</w:t>
      </w:r>
      <w:r>
        <w:rPr>
          <w:rFonts w:ascii="仿宋_GB2312" w:hAnsi="仿宋_GB2312" w:cs="仿宋_GB2312" w:eastAsia="仿宋_GB2312"/>
        </w:rPr>
        <w:t>2026年碑林区消费品以旧换新订单审核服务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2026年碑林区消费品以旧换新订单审核服务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2026年碑林区消费品以旧换新订单审核服务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采购包1（2026年碑林区消费品以旧换新订单审核服务）：属于专门面向中小企业采购。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授权书/法人身份证明：被授权人身份证复印件及被授权人磋商截止日前一年内在本单位已缴存的至少一个月的社会保障资金凭证）；法定代表人直接参加磋商，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西安市碑林区开通西巷3号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029-87518872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西安市莲湖区二环南路西段九座花园16楼1605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户名：华夏国际项目管理（西安）有限公司 开户行：工行西安城南科技支行 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西安市碑林区商务局（本级）</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地址：西安市莲湖区南二环西段202号九座花园东区1605室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2026年碑林区消费品以旧换新订单审核服务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645,000.00</w:t>
      </w:r>
    </w:p>
    <w:p>
      <w:pPr>
        <w:pStyle w:val="null3"/>
      </w:pPr>
      <w:r>
        <w:rPr>
          <w:rFonts w:ascii="仿宋_GB2312" w:hAnsi="仿宋_GB2312" w:cs="仿宋_GB2312" w:eastAsia="仿宋_GB2312"/>
        </w:rPr>
        <w:t>采购包最高限价（元）: 645,000.00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2026年碑林区消费品以旧换新订单审核服务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标的名称：2026年碑林区消费品以旧换新订单审核服务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碑林区2026年以旧换新和提振消费消费折扣券补贴审核服务项目，核心工作是对参与活动的汽车、家电、数码和智能产品、线上消费等品类相关资料，以及消费折扣券核销情况进行全面审核。项目旨在确保消费券及时、准确、有效核销，保障财政资金安全规范使用，同时对活动开展绩效做出准确评价并出具审核报告，助力区域消费提振政策落地见效。折扣券补贴审核暂估数量为31.6万条。</w:t>
            </w:r>
          </w:p>
          <w:p>
            <w:pPr>
              <w:pStyle w:val="null3"/>
              <w:numPr>
                <w:ilvl w:val="0"/>
                <w:numId w:val="1"/>
              </w:numPr>
              <w:jc w:val="both"/>
            </w:pPr>
            <w:r>
              <w:rPr>
                <w:rFonts w:ascii="仿宋_GB2312" w:hAnsi="仿宋_GB2312" w:cs="仿宋_GB2312" w:eastAsia="仿宋_GB2312"/>
                <w:sz w:val="21"/>
              </w:rPr>
              <w:t>服务内容</w:t>
            </w:r>
          </w:p>
          <w:p>
            <w:pPr>
              <w:pStyle w:val="null3"/>
              <w:numPr>
                <w:ilvl w:val="0"/>
                <w:numId w:val="2"/>
              </w:numPr>
              <w:jc w:val="both"/>
            </w:pPr>
            <w:r>
              <w:rPr>
                <w:rFonts w:ascii="仿宋_GB2312" w:hAnsi="仿宋_GB2312" w:cs="仿宋_GB2312" w:eastAsia="仿宋_GB2312"/>
                <w:sz w:val="21"/>
              </w:rPr>
              <w:t>审核服务:严格按照《陕西省2026年汽车以旧换新补贴实施细则》《关于做好2026年家电以旧换新和数码智能产品购新补贴工作的通知》及市商务局印发的相关文件要求，聘请第三方专业机构对碑林区辖区内消费补贴平台上报资料逐项开展审核工作，并对审核数据进行汇总、分析，形成完整数据台账。</w:t>
            </w:r>
          </w:p>
          <w:p>
            <w:pPr>
              <w:pStyle w:val="null3"/>
              <w:jc w:val="both"/>
            </w:pPr>
            <w:r>
              <w:rPr>
                <w:rFonts w:ascii="仿宋_GB2312" w:hAnsi="仿宋_GB2312" w:cs="仿宋_GB2312" w:eastAsia="仿宋_GB2312"/>
                <w:sz w:val="21"/>
              </w:rPr>
              <w:t>2.企业培训:为辖区内参与补贴活动的企业提供专项培训，内容涵盖资料上报内容、资料填报要求及规范等，提升企业申报效率和质量。</w:t>
            </w:r>
          </w:p>
          <w:p>
            <w:pPr>
              <w:pStyle w:val="null3"/>
              <w:ind w:firstLine="420"/>
              <w:jc w:val="both"/>
            </w:pPr>
            <w:r>
              <w:rPr>
                <w:rFonts w:ascii="仿宋_GB2312" w:hAnsi="仿宋_GB2312" w:cs="仿宋_GB2312" w:eastAsia="仿宋_GB2312"/>
                <w:sz w:val="21"/>
              </w:rPr>
              <w:t>3.活动宣传:配合采购人开展活动宣传工作，通过多种渠道普及以旧换新和消费折扣券补贴政策，扩大活动知晓度，引导消费者和商户积极参与。</w:t>
            </w:r>
          </w:p>
          <w:p>
            <w:pPr>
              <w:pStyle w:val="null3"/>
              <w:ind w:firstLine="420"/>
              <w:jc w:val="both"/>
            </w:pPr>
            <w:r>
              <w:rPr>
                <w:rFonts w:ascii="仿宋_GB2312" w:hAnsi="仿宋_GB2312" w:cs="仿宋_GB2312" w:eastAsia="仿宋_GB2312"/>
                <w:sz w:val="21"/>
              </w:rPr>
              <w:t>4.咨询与答疑服务:设立专项咨询渠道，为参与活动的企业提供政策解读、申报流程、资料补正等全流程咨询服务，及时响应各类疑问，提升申报效率，减少因政策理解偏差导致的申报失误。</w:t>
            </w:r>
          </w:p>
          <w:p>
            <w:pPr>
              <w:pStyle w:val="null3"/>
              <w:jc w:val="both"/>
            </w:pPr>
            <w:r>
              <w:rPr>
                <w:rFonts w:ascii="仿宋_GB2312" w:hAnsi="仿宋_GB2312" w:cs="仿宋_GB2312" w:eastAsia="仿宋_GB2312"/>
                <w:sz w:val="21"/>
              </w:rPr>
              <w:t>三、技术要求</w:t>
            </w:r>
          </w:p>
          <w:p>
            <w:pPr>
              <w:pStyle w:val="null3"/>
              <w:ind w:firstLine="420"/>
              <w:jc w:val="both"/>
            </w:pPr>
            <w:r>
              <w:rPr>
                <w:rFonts w:ascii="仿宋_GB2312" w:hAnsi="仿宋_GB2312" w:cs="仿宋_GB2312" w:eastAsia="仿宋_GB2312"/>
                <w:sz w:val="21"/>
              </w:rPr>
              <w:t>(一)时限要求。</w:t>
            </w:r>
          </w:p>
          <w:p>
            <w:pPr>
              <w:pStyle w:val="null3"/>
              <w:ind w:firstLine="420"/>
              <w:jc w:val="both"/>
            </w:pPr>
            <w:r>
              <w:rPr>
                <w:rFonts w:ascii="仿宋_GB2312" w:hAnsi="仿宋_GB2312" w:cs="仿宋_GB2312" w:eastAsia="仿宋_GB2312"/>
                <w:sz w:val="21"/>
              </w:rPr>
              <w:t>1.前期累计工作:自合同签订之日起一个月内完成项目前期累计审核工作，确保前期相关资料审核到位、数据梳理清晰。</w:t>
            </w:r>
          </w:p>
          <w:p>
            <w:pPr>
              <w:pStyle w:val="null3"/>
              <w:ind w:firstLine="420"/>
              <w:jc w:val="both"/>
            </w:pPr>
            <w:r>
              <w:rPr>
                <w:rFonts w:ascii="仿宋_GB2312" w:hAnsi="仿宋_GB2312" w:cs="仿宋_GB2312" w:eastAsia="仿宋_GB2312"/>
                <w:sz w:val="21"/>
              </w:rPr>
              <w:t>2.常态化审核:建立常态化审核机制，在消费者和商户提交完整资料后一个月内完成审核工作，保障审核效率。</w:t>
            </w:r>
          </w:p>
          <w:p>
            <w:pPr>
              <w:pStyle w:val="null3"/>
              <w:ind w:firstLine="420"/>
              <w:jc w:val="both"/>
            </w:pPr>
            <w:r>
              <w:rPr>
                <w:rFonts w:ascii="仿宋_GB2312" w:hAnsi="仿宋_GB2312" w:cs="仿宋_GB2312" w:eastAsia="仿宋_GB2312"/>
                <w:sz w:val="21"/>
              </w:rPr>
              <w:t>(二)补正信息处理</w:t>
            </w:r>
          </w:p>
          <w:p>
            <w:pPr>
              <w:pStyle w:val="null3"/>
              <w:ind w:firstLine="420"/>
              <w:jc w:val="both"/>
            </w:pPr>
            <w:r>
              <w:rPr>
                <w:rFonts w:ascii="仿宋_GB2312" w:hAnsi="仿宋_GB2312" w:cs="仿宋_GB2312" w:eastAsia="仿宋_GB2312"/>
                <w:sz w:val="21"/>
              </w:rPr>
              <w:t>若申请人填报材料存在不清晰、缺漏、信息错误等问题，需及时退回申请，并明确标注退回原因，同时主动指导申请人尽快完成信息补正，避免因补正不及时引发纠纷，保障申请人合法权益。</w:t>
            </w:r>
          </w:p>
          <w:p>
            <w:pPr>
              <w:pStyle w:val="null3"/>
              <w:ind w:firstLine="420"/>
              <w:jc w:val="both"/>
            </w:pPr>
            <w:r>
              <w:rPr>
                <w:rFonts w:ascii="仿宋_GB2312" w:hAnsi="仿宋_GB2312" w:cs="仿宋_GB2312" w:eastAsia="仿宋_GB2312"/>
                <w:sz w:val="21"/>
              </w:rPr>
              <w:t>(三)严格审核规范</w:t>
            </w:r>
          </w:p>
          <w:p>
            <w:pPr>
              <w:pStyle w:val="null3"/>
              <w:ind w:firstLine="420"/>
              <w:jc w:val="both"/>
            </w:pPr>
            <w:r>
              <w:rPr>
                <w:rFonts w:ascii="仿宋_GB2312" w:hAnsi="仿宋_GB2312" w:cs="仿宋_GB2312" w:eastAsia="仿宋_GB2312"/>
                <w:sz w:val="21"/>
              </w:rPr>
              <w:t>1.审核依据:严格遵循《陕西省2026年汽车以旧换新补贴实施细则》《关于做好2026年家电以旧换新和数码智能产品购新补贴工作的通知》以及市商务局印发的相关文件要求开展审核工作，若相关政策措施更新，以最新政策要求为准。</w:t>
            </w:r>
          </w:p>
          <w:p>
            <w:pPr>
              <w:pStyle w:val="null3"/>
              <w:ind w:firstLine="420"/>
              <w:jc w:val="both"/>
            </w:pPr>
            <w:r>
              <w:rPr>
                <w:rFonts w:ascii="仿宋_GB2312" w:hAnsi="仿宋_GB2312" w:cs="仿宋_GB2312" w:eastAsia="仿宋_GB2312"/>
                <w:sz w:val="21"/>
              </w:rPr>
              <w:t>2.审核责任:供应商对审核结果负全责，确保申请人上报无误的资料能及时得到审核;严格把关申请资料真实性，逐一核查上传申请及相关佐证材料，严防虚假交易、骗补套补、重复领取等行为，杜绝利用补贴政策倒买倒卖补贴产品的行为。</w:t>
            </w:r>
          </w:p>
          <w:p>
            <w:pPr>
              <w:pStyle w:val="null3"/>
              <w:ind w:firstLine="420"/>
              <w:jc w:val="both"/>
            </w:pPr>
            <w:r>
              <w:rPr>
                <w:rFonts w:ascii="仿宋_GB2312" w:hAnsi="仿宋_GB2312" w:cs="仿宋_GB2312" w:eastAsia="仿宋_GB2312"/>
                <w:sz w:val="21"/>
              </w:rPr>
              <w:t>3.风险防控:发现违规行为需及时书面报告采购方，确保财政资金使用合规，有效防范骗取、挪用资金等风险。</w:t>
            </w:r>
          </w:p>
          <w:p>
            <w:pPr>
              <w:pStyle w:val="null3"/>
              <w:ind w:firstLine="420"/>
              <w:jc w:val="both"/>
            </w:pPr>
            <w:r>
              <w:rPr>
                <w:rFonts w:ascii="仿宋_GB2312" w:hAnsi="仿宋_GB2312" w:cs="仿宋_GB2312" w:eastAsia="仿宋_GB2312"/>
                <w:sz w:val="21"/>
              </w:rPr>
              <w:t>(四)审核报告提交</w:t>
            </w:r>
          </w:p>
          <w:p>
            <w:pPr>
              <w:pStyle w:val="null3"/>
              <w:ind w:firstLine="420"/>
              <w:jc w:val="both"/>
            </w:pPr>
            <w:r>
              <w:rPr>
                <w:rFonts w:ascii="仿宋_GB2312" w:hAnsi="仿宋_GB2312" w:cs="仿宋_GB2312" w:eastAsia="仿宋_GB2312"/>
                <w:sz w:val="21"/>
              </w:rPr>
              <w:t>项目完成后，供应商需及时向采购人汇报项目整体审核情况，以书面形式提交规范、完整的审核报告。报告需准确反映审核结果及存在的问题，为采购人后续政策优化提供参考。</w:t>
            </w:r>
          </w:p>
          <w:p>
            <w:pPr>
              <w:pStyle w:val="null3"/>
              <w:ind w:firstLine="420"/>
              <w:jc w:val="both"/>
            </w:pPr>
            <w:r>
              <w:rPr>
                <w:rFonts w:ascii="仿宋_GB2312" w:hAnsi="仿宋_GB2312" w:cs="仿宋_GB2312" w:eastAsia="仿宋_GB2312"/>
                <w:sz w:val="21"/>
              </w:rPr>
              <w:t>(五)保密要求</w:t>
            </w:r>
          </w:p>
          <w:p>
            <w:pPr>
              <w:pStyle w:val="null3"/>
              <w:ind w:firstLine="420"/>
              <w:jc w:val="both"/>
            </w:pPr>
            <w:r>
              <w:rPr>
                <w:rFonts w:ascii="仿宋_GB2312" w:hAnsi="仿宋_GB2312" w:cs="仿宋_GB2312" w:eastAsia="仿宋_GB2312"/>
                <w:sz w:val="21"/>
              </w:rPr>
              <w:t>审核过程中获取的所有数据、信息均不得外泄，供应商需与采购人签署保密协议。若发现重大违规问题(如骗补等)，需立即书面报告采购方，不得擅自处理或隐瞒。</w:t>
            </w:r>
          </w:p>
          <w:p>
            <w:pPr>
              <w:pStyle w:val="null3"/>
              <w:jc w:val="both"/>
            </w:pPr>
            <w:r>
              <w:rPr>
                <w:rFonts w:ascii="仿宋_GB2312" w:hAnsi="仿宋_GB2312" w:cs="仿宋_GB2312" w:eastAsia="仿宋_GB2312"/>
                <w:sz w:val="21"/>
              </w:rPr>
              <w:t>四、服务要求</w:t>
            </w:r>
          </w:p>
          <w:p>
            <w:pPr>
              <w:pStyle w:val="null3"/>
              <w:ind w:firstLine="420"/>
              <w:jc w:val="both"/>
            </w:pPr>
            <w:r>
              <w:rPr>
                <w:rFonts w:ascii="仿宋_GB2312" w:hAnsi="仿宋_GB2312" w:cs="仿宋_GB2312" w:eastAsia="仿宋_GB2312"/>
                <w:sz w:val="21"/>
              </w:rPr>
              <w:t>1.团队配置:须成立合理的项目组织机构，建立健全保障项目顺利实施的各项管理制度和质量保证体系;审核工作组成人员不少于10人，确保人员配置满足审核工作需求。</w:t>
            </w:r>
          </w:p>
          <w:p>
            <w:pPr>
              <w:pStyle w:val="null3"/>
              <w:ind w:firstLine="420"/>
              <w:jc w:val="both"/>
            </w:pPr>
            <w:r>
              <w:rPr>
                <w:rFonts w:ascii="仿宋_GB2312" w:hAnsi="仿宋_GB2312" w:cs="仿宋_GB2312" w:eastAsia="仿宋_GB2312"/>
                <w:sz w:val="21"/>
              </w:rPr>
              <w:t>2.人员资质:项目负责人员须具备丰富的项目管理经验及类似项目审核经验，具备预见和应对项目风险的能力;供应商需承诺在项目验收前，项目团队骨干人员保持稳定，不得随意更换，确保工作连续性。</w:t>
            </w:r>
          </w:p>
          <w:p>
            <w:pPr>
              <w:pStyle w:val="null3"/>
              <w:ind w:firstLine="420"/>
              <w:jc w:val="both"/>
            </w:pPr>
            <w:r>
              <w:rPr>
                <w:rFonts w:ascii="仿宋_GB2312" w:hAnsi="仿宋_GB2312" w:cs="仿宋_GB2312" w:eastAsia="仿宋_GB2312"/>
                <w:sz w:val="21"/>
              </w:rPr>
              <w:t>3.组织架构:建立科学高效的组织架构，明确各岗位的职责分工、工作流程和考核标准，确保审核工作有序、高效推进。</w:t>
            </w:r>
          </w:p>
          <w:p>
            <w:pPr>
              <w:pStyle w:val="null3"/>
              <w:jc w:val="both"/>
            </w:pPr>
            <w:r>
              <w:rPr>
                <w:rFonts w:ascii="仿宋_GB2312" w:hAnsi="仿宋_GB2312" w:cs="仿宋_GB2312" w:eastAsia="仿宋_GB2312"/>
                <w:sz w:val="21"/>
              </w:rPr>
              <w:t>五、其它</w:t>
            </w:r>
          </w:p>
          <w:p>
            <w:pPr>
              <w:pStyle w:val="null3"/>
              <w:ind w:firstLine="420"/>
              <w:jc w:val="both"/>
            </w:pPr>
            <w:r>
              <w:rPr>
                <w:rFonts w:ascii="仿宋_GB2312" w:hAnsi="仿宋_GB2312" w:cs="仿宋_GB2312" w:eastAsia="仿宋_GB2312"/>
                <w:sz w:val="21"/>
              </w:rPr>
              <w:t>1.阶段性成果:合同签订之日起一个月内完成前期累计审核工作，提交前期审核数据汇总表及阶段性工作小结。</w:t>
            </w:r>
          </w:p>
          <w:p>
            <w:pPr>
              <w:pStyle w:val="null3"/>
            </w:pPr>
            <w:r>
              <w:rPr>
                <w:rFonts w:ascii="仿宋_GB2312" w:hAnsi="仿宋_GB2312" w:cs="仿宋_GB2312" w:eastAsia="仿宋_GB2312"/>
                <w:sz w:val="21"/>
              </w:rPr>
              <w:t>2.最终成果:项目完成后，提交规范、完整的书面审核报告，包含审核结果、问题分析及改进建议等内容。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团队配置:须成立合理的项目组织机构，建立健全保障项目顺利实施的各项管理制度和质量保证体系;审核工作组成人员不少于10人，确保人员配置满足审核工作需求。2.人员资质:项目负责人员须具备丰富的项目管理经验及类似项目审核经验，具备预见和应对项目风险的能力;供应商需承诺在项目验收前，项目团队骨干人员保持稳定，不得随意更换，确保工作连续性。3.组织架构:建立科学高效的组织架构，明确各岗位的职责分工、工作流程和考核标准，确保审核工作有序、高效推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自合同签订之日起至2027年01月31日。（12月底截止补贴，如需顺延，顺延至项目全部完成之日）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达到国家、行业相关标准并满足磋商文件要求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进度款，2026年11月初，达到付款条件起10个工作日内，支付合同总金额的30.0%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2026年11月-2026年12月审核费用，在第三方机构完成审核工作并出具项目审核报告后 ，达到付款条件起30个工作日内，支付合同总金额的30.0%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hxgjxmgl@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 3.4.3结算方式补充说明 合同总金额为最终中标金额，具体金额以平台公布审核通过条数为准。若结算金额低于中标金额，则按照实际发生金额进行据实结算;若结算金额超过中标金额，则按中标金额进行结算。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2.财务状况报告：提供【2025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3.提供具有履行合同所必需的设备和专业技术能力的承诺； 4.提供递交响应文件截止日前一年内任意一个月的依法缴纳税收的纳税证明或完税证明（完税证明应有税务机关或代收机关的公章或业务专用章）。依法免税或无须缴纳税收的供应商，应提供相关证明材料。 5.提供谈判截止日前一年内已缴存的至少一个月的社会保障资金缴存单据或社保机构开具的社会保险参保缴费情况证明，依法不需要缴纳社会保障资金的单位应提供相关证明材料。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法定代表人授权书/法人身份证明：被授权人身份证复印件及被授权人磋商截止日前一年内在本单位已缴存的至少一个月的社会保障资金凭证）；法定代表人直接参加磋商，须提供法定代表人身份证明；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供应商承诺书.docx 资格证明文件.docx 响应文件封面 本项目拟投入人员汇总表.docx 残疾人福利性单位声明函 服务方案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响应文件组成符合磋商文件要求。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供应商承诺书.docx 资格证明文件.docx 响应文件封面 残疾人福利性单位声明函 服务方案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供应商承诺书.docx 资格证明文件.docx 响应文件封面 残疾人福利性单位声明函 服务方案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供应商承诺书.docx 资格证明文件.docx 响应文件封面 残疾人福利性单位声明函 服务方案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供应商承诺书.docx 资格证明文件.docx 响应文件封面 残疾人福利性单位声明函 服务方案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供应商承诺书.docx 资格证明文件.docx 响应文件封面 残疾人福利性单位声明函 服务方案 标的清单 响应函 商务条款偏离表.docx 监狱企业的证明文件 服务应答表.docx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1.项目背景； 2.项目思路； 3.服务目标与服务范围； 4.服务流程。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处扣0.2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进度安排及质量保障措施</w:t>
            </w:r>
          </w:p>
        </w:tc>
        <w:tc>
          <w:tcPr>
            <w:tcW w:type="dxa" w:w="2492"/>
          </w:tcPr>
          <w:p>
            <w:pPr>
              <w:pStyle w:val="null3"/>
            </w:pPr>
            <w:r>
              <w:rPr>
                <w:rFonts w:ascii="仿宋_GB2312" w:hAnsi="仿宋_GB2312" w:cs="仿宋_GB2312" w:eastAsia="仿宋_GB2312"/>
              </w:rPr>
              <w:t>评审内容： 1.项目总体服务进度计划； 2.各分类审核进度安排与保障； 3.进度延误应急补救措施； 4.全流程质量控制措施； 5.资料与数据管理保障； 6.服务时效与沟通保障。 评审标准：以上内容全面详细、目标明确、科学合理且完全符合本项目采购要求得12分。评审内容缺每一项扣2分,评审内容有缺陷（缺陷是指：内容粗略、逻辑混乱、描述过于简单、与项目特点不匹配、凭空编造、逻辑漏洞、出现常识性错误、存在不适用项目实际情况的情形或只有标题没有实质性内容等）的每处扣0.2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评审内容： 1.审核过程中出现的各类风险分析（包含但不限于数据错误、欺诈行为、政策变化、信息泄露）； 2.审核过程中出现的各类风险防控措施（包含但不限于数据错误、欺诈行为、政策变化、信息泄露）； 3.审核工作重难点控制措施； 4.审核工作重难点控制制度。 评审标准：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每处扣0.2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 1.人员管理制度； 2.审核数据管理制度； 3.资料补正与问题处置管理制度； 4.资料移交制度。 评审标准：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每处扣0.2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1.拟派项目负责人： ①具有5年及以上会计工作经验（提供连续5年或累计5年以上的劳动合同或本单位社保缴纳证明）得5分； ②项目负责人具备类似项目管理业绩，提供一份得5分； ③项⽬负责⼈具备中级及以上会计师资格，得5分（提供证明材料）。 2.项目组人员组成： ①项目组总人数满足10人或10人以上，其中中级及以上会计师不少于3名，其余配备人员具备会计或财务相关专业人员得5分，人员总数不满足10人或证书要求不符合的均不得分； ②在①的基础上每多增加一名中级及以上会计师得2分，每多增加一名初级会计师得1分，最多得6分。（提供相应的资格证，未提供或有遗漏的不计入相应分值）</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审核保密措施</w:t>
            </w:r>
          </w:p>
        </w:tc>
        <w:tc>
          <w:tcPr>
            <w:tcW w:type="dxa" w:w="2492"/>
          </w:tcPr>
          <w:p>
            <w:pPr>
              <w:pStyle w:val="null3"/>
            </w:pPr>
            <w:r>
              <w:rPr>
                <w:rFonts w:ascii="仿宋_GB2312" w:hAnsi="仿宋_GB2312" w:cs="仿宋_GB2312" w:eastAsia="仿宋_GB2312"/>
              </w:rPr>
              <w:t>评审内容： 1.内部保密管理制度承诺； 2.提供服务人员专项保密协议。 针对以上评审内容，每提供一项得3分，承诺缺漏项或只有标题的不得分，满分6分。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1.服务质量承诺； 2.审核服务进度承诺； 3.服务团队稳定承诺； 4.售后服务承诺。 针对以上服务响应承诺每提供一项书面承诺且内容齐全完善得2分，承诺缺漏项或只有标题的不得分，满分8分。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8月1日至响应文件提交截止日类似项目业绩（以合同签订时间为准），需提供对应的合同、发票及结算证明，缺少一项为不完整业绩，每提供一份完整业绩得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ind w:firstLine="960"/>
      </w:pPr>
      <w:r>
        <w:rPr>
          <w:rFonts w:ascii="仿宋_GB2312" w:hAnsi="仿宋_GB2312" w:cs="仿宋_GB2312" w:eastAsia="仿宋_GB2312"/>
        </w:rPr>
        <w:t>详见附件：供应商应提交的相关业绩证明材料.docx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