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DD7B9">
      <w:pPr>
        <w:pStyle w:val="4"/>
      </w:pPr>
      <w:r>
        <w:rPr>
          <w:rFonts w:ascii="仿宋_GB2312" w:hAnsi="仿宋_GB2312" w:eastAsia="仿宋_GB2312" w:cs="仿宋_GB2312"/>
        </w:rPr>
        <w:t>标的名称：金花校区学科1号楼重点区域提升改造工程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2"/>
        <w:gridCol w:w="1125"/>
        <w:gridCol w:w="6380"/>
      </w:tblGrid>
      <w:tr w14:paraId="19386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35AA2183">
            <w:pPr>
              <w:pStyle w:val="4"/>
            </w:pPr>
            <w:r>
              <w:rPr>
                <w:rFonts w:ascii="仿宋_GB2312" w:hAnsi="仿宋_GB2312" w:eastAsia="仿宋_GB2312" w:cs="仿宋_GB2312"/>
              </w:rPr>
              <w:t>序号</w:t>
            </w:r>
          </w:p>
        </w:tc>
        <w:tc>
          <w:tcPr>
            <w:tcW w:w="1125" w:type="dxa"/>
          </w:tcPr>
          <w:p w14:paraId="7B0415A6">
            <w:pPr>
              <w:pStyle w:val="4"/>
            </w:pPr>
            <w:r>
              <w:rPr>
                <w:rFonts w:ascii="仿宋_GB2312" w:hAnsi="仿宋_GB2312" w:eastAsia="仿宋_GB2312" w:cs="仿宋_GB2312"/>
              </w:rPr>
              <w:t>参数性质</w:t>
            </w:r>
          </w:p>
        </w:tc>
        <w:tc>
          <w:tcPr>
            <w:tcW w:w="6380" w:type="dxa"/>
          </w:tcPr>
          <w:p w14:paraId="3D7A4BAD">
            <w:pPr>
              <w:pStyle w:val="4"/>
            </w:pPr>
            <w:r>
              <w:rPr>
                <w:rFonts w:ascii="仿宋_GB2312" w:hAnsi="仿宋_GB2312" w:eastAsia="仿宋_GB2312" w:cs="仿宋_GB2312"/>
              </w:rPr>
              <w:t xml:space="preserve"> 技术参数与性能指标</w:t>
            </w:r>
          </w:p>
        </w:tc>
      </w:tr>
      <w:tr w14:paraId="0DBF90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4812E4CF">
            <w:pPr>
              <w:pStyle w:val="4"/>
            </w:pPr>
            <w:r>
              <w:rPr>
                <w:rFonts w:ascii="仿宋_GB2312" w:hAnsi="仿宋_GB2312" w:eastAsia="仿宋_GB2312" w:cs="仿宋_GB2312"/>
              </w:rPr>
              <w:t>1</w:t>
            </w:r>
          </w:p>
        </w:tc>
        <w:tc>
          <w:tcPr>
            <w:tcW w:w="1125" w:type="dxa"/>
          </w:tcPr>
          <w:p w14:paraId="516D9840"/>
        </w:tc>
        <w:tc>
          <w:tcPr>
            <w:tcW w:w="6380" w:type="dxa"/>
          </w:tcPr>
          <w:p w14:paraId="268AA140">
            <w:pPr>
              <w:pStyle w:val="4"/>
              <w:jc w:val="left"/>
            </w:pPr>
            <w:r>
              <w:rPr>
                <w:rFonts w:ascii="仿宋_GB2312" w:hAnsi="仿宋_GB2312" w:eastAsia="仿宋_GB2312" w:cs="仿宋_GB2312"/>
                <w:b/>
                <w:sz w:val="20"/>
              </w:rPr>
              <w:t>项目概况：</w:t>
            </w:r>
          </w:p>
          <w:p w14:paraId="75B5EA6E">
            <w:pPr>
              <w:pStyle w:val="4"/>
            </w:pPr>
            <w:r>
              <w:rPr>
                <w:rFonts w:ascii="仿宋_GB2312" w:hAnsi="仿宋_GB2312" w:eastAsia="仿宋_GB2312" w:cs="仿宋_GB2312"/>
                <w:sz w:val="21"/>
              </w:rPr>
              <w:t>本项目位于西安理工大学金花校区学科1号楼重点区域提升改造，主要改造内容为1-3层公共过道、门厅、各专业实验室及楼宇外立面、给排水、强弱电、暖通通风等，具体包括墙面、吊顶、地面、门窗、基础机电末端、通风排水、展示造型、实验室配套家具及必要安全设施等，改造建筑面积约3000m²。</w:t>
            </w:r>
          </w:p>
        </w:tc>
      </w:tr>
      <w:tr w14:paraId="3289E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2560E7BA">
            <w:pPr>
              <w:pStyle w:val="4"/>
            </w:pPr>
            <w:r>
              <w:rPr>
                <w:rFonts w:ascii="仿宋_GB2312" w:hAnsi="仿宋_GB2312" w:eastAsia="仿宋_GB2312" w:cs="仿宋_GB2312"/>
              </w:rPr>
              <w:t>2</w:t>
            </w:r>
          </w:p>
        </w:tc>
        <w:tc>
          <w:tcPr>
            <w:tcW w:w="1125" w:type="dxa"/>
          </w:tcPr>
          <w:p w14:paraId="2DF78079"/>
        </w:tc>
        <w:tc>
          <w:tcPr>
            <w:tcW w:w="6380" w:type="dxa"/>
          </w:tcPr>
          <w:p w14:paraId="695EB674">
            <w:pPr>
              <w:pStyle w:val="4"/>
            </w:pPr>
            <w:r>
              <w:rPr>
                <w:rFonts w:ascii="仿宋_GB2312" w:hAnsi="仿宋_GB2312" w:eastAsia="仿宋_GB2312" w:cs="仿宋_GB2312"/>
                <w:b/>
                <w:sz w:val="20"/>
              </w:rPr>
              <w:t>工期：</w:t>
            </w:r>
            <w:r>
              <w:rPr>
                <w:rFonts w:ascii="仿宋_GB2312" w:hAnsi="仿宋_GB2312" w:eastAsia="仿宋_GB2312" w:cs="仿宋_GB2312"/>
                <w:sz w:val="21"/>
              </w:rPr>
              <w:t>55日历天。</w:t>
            </w:r>
          </w:p>
        </w:tc>
      </w:tr>
      <w:tr w14:paraId="5CA0B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2729326B">
            <w:pPr>
              <w:pStyle w:val="4"/>
            </w:pPr>
            <w:r>
              <w:rPr>
                <w:rFonts w:ascii="仿宋_GB2312" w:hAnsi="仿宋_GB2312" w:eastAsia="仿宋_GB2312" w:cs="仿宋_GB2312"/>
              </w:rPr>
              <w:t>3</w:t>
            </w:r>
          </w:p>
        </w:tc>
        <w:tc>
          <w:tcPr>
            <w:tcW w:w="1125" w:type="dxa"/>
          </w:tcPr>
          <w:p w14:paraId="0D298267"/>
        </w:tc>
        <w:tc>
          <w:tcPr>
            <w:tcW w:w="6380" w:type="dxa"/>
          </w:tcPr>
          <w:p w14:paraId="5B816EE1">
            <w:pPr>
              <w:pStyle w:val="4"/>
            </w:pPr>
            <w:r>
              <w:rPr>
                <w:rFonts w:ascii="仿宋_GB2312" w:hAnsi="仿宋_GB2312" w:eastAsia="仿宋_GB2312" w:cs="仿宋_GB2312"/>
                <w:b/>
                <w:sz w:val="20"/>
              </w:rPr>
              <w:t>项目地点：</w:t>
            </w:r>
            <w:r>
              <w:rPr>
                <w:rFonts w:ascii="仿宋_GB2312" w:hAnsi="仿宋_GB2312" w:eastAsia="仿宋_GB2312" w:cs="仿宋_GB2312"/>
                <w:sz w:val="21"/>
              </w:rPr>
              <w:t>西安理工大学金花校区</w:t>
            </w:r>
            <w:r>
              <w:rPr>
                <w:rFonts w:ascii="仿宋_GB2312" w:hAnsi="仿宋_GB2312" w:eastAsia="仿宋_GB2312" w:cs="仿宋_GB2312"/>
                <w:sz w:val="20"/>
              </w:rPr>
              <w:t>。</w:t>
            </w:r>
          </w:p>
        </w:tc>
      </w:tr>
      <w:tr w14:paraId="15682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513225C8">
            <w:pPr>
              <w:pStyle w:val="4"/>
            </w:pPr>
            <w:r>
              <w:rPr>
                <w:rFonts w:ascii="仿宋_GB2312" w:hAnsi="仿宋_GB2312" w:eastAsia="仿宋_GB2312" w:cs="仿宋_GB2312"/>
              </w:rPr>
              <w:t>4</w:t>
            </w:r>
          </w:p>
        </w:tc>
        <w:tc>
          <w:tcPr>
            <w:tcW w:w="1125" w:type="dxa"/>
          </w:tcPr>
          <w:p w14:paraId="65FABA00"/>
        </w:tc>
        <w:tc>
          <w:tcPr>
            <w:tcW w:w="6380" w:type="dxa"/>
          </w:tcPr>
          <w:p w14:paraId="38B673B2">
            <w:pPr>
              <w:pStyle w:val="4"/>
            </w:pPr>
            <w:r>
              <w:rPr>
                <w:rFonts w:ascii="仿宋_GB2312" w:hAnsi="仿宋_GB2312" w:eastAsia="仿宋_GB2312" w:cs="仿宋_GB2312"/>
                <w:b/>
                <w:sz w:val="20"/>
              </w:rPr>
              <w:t>质量要求：</w:t>
            </w:r>
            <w:r>
              <w:rPr>
                <w:rFonts w:ascii="仿宋_GB2312" w:hAnsi="仿宋_GB2312" w:eastAsia="仿宋_GB2312" w:cs="仿宋_GB2312"/>
                <w:sz w:val="20"/>
              </w:rPr>
              <w:t>须符合国家施工验收规范要求，达到合格标准。</w:t>
            </w:r>
          </w:p>
        </w:tc>
      </w:tr>
      <w:tr w14:paraId="5BC13E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44F24F57">
            <w:pPr>
              <w:pStyle w:val="4"/>
            </w:pPr>
            <w:r>
              <w:rPr>
                <w:rFonts w:ascii="仿宋_GB2312" w:hAnsi="仿宋_GB2312" w:eastAsia="仿宋_GB2312" w:cs="仿宋_GB2312"/>
              </w:rPr>
              <w:t>5</w:t>
            </w:r>
          </w:p>
        </w:tc>
        <w:tc>
          <w:tcPr>
            <w:tcW w:w="1125" w:type="dxa"/>
          </w:tcPr>
          <w:p w14:paraId="2F95B445"/>
        </w:tc>
        <w:tc>
          <w:tcPr>
            <w:tcW w:w="6380" w:type="dxa"/>
          </w:tcPr>
          <w:p w14:paraId="473032F8">
            <w:pPr>
              <w:pStyle w:val="4"/>
            </w:pPr>
            <w:r>
              <w:rPr>
                <w:rFonts w:ascii="仿宋_GB2312" w:hAnsi="仿宋_GB2312" w:eastAsia="仿宋_GB2312" w:cs="仿宋_GB2312"/>
                <w:b/>
                <w:sz w:val="20"/>
              </w:rPr>
              <w:t>质保期：</w:t>
            </w:r>
            <w:r>
              <w:rPr>
                <w:rFonts w:ascii="仿宋_GB2312" w:hAnsi="仿宋_GB2312" w:eastAsia="仿宋_GB2312" w:cs="仿宋_GB2312"/>
                <w:sz w:val="20"/>
              </w:rPr>
              <w:t>质保期为两年，如承诺延长的按承诺期限。</w:t>
            </w:r>
          </w:p>
        </w:tc>
      </w:tr>
      <w:tr w14:paraId="6577C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4164140F">
            <w:pPr>
              <w:pStyle w:val="4"/>
            </w:pPr>
            <w:r>
              <w:rPr>
                <w:rFonts w:ascii="仿宋_GB2312" w:hAnsi="仿宋_GB2312" w:eastAsia="仿宋_GB2312" w:cs="仿宋_GB2312"/>
              </w:rPr>
              <w:t>6</w:t>
            </w:r>
          </w:p>
        </w:tc>
        <w:tc>
          <w:tcPr>
            <w:tcW w:w="1125" w:type="dxa"/>
          </w:tcPr>
          <w:p w14:paraId="0ABFE398"/>
        </w:tc>
        <w:tc>
          <w:tcPr>
            <w:tcW w:w="6380" w:type="dxa"/>
          </w:tcPr>
          <w:p w14:paraId="6C803702">
            <w:pPr>
              <w:pStyle w:val="4"/>
              <w:jc w:val="left"/>
            </w:pPr>
            <w:r>
              <w:rPr>
                <w:rFonts w:ascii="仿宋_GB2312" w:hAnsi="仿宋_GB2312" w:eastAsia="仿宋_GB2312" w:cs="仿宋_GB2312"/>
                <w:b/>
                <w:sz w:val="20"/>
              </w:rPr>
              <w:t>技术要求</w:t>
            </w:r>
            <w:r>
              <w:rPr>
                <w:rFonts w:ascii="仿宋_GB2312" w:hAnsi="仿宋_GB2312" w:eastAsia="仿宋_GB2312" w:cs="仿宋_GB2312"/>
                <w:sz w:val="20"/>
              </w:rPr>
              <w:t>：</w:t>
            </w:r>
          </w:p>
          <w:p w14:paraId="37CB41CD">
            <w:pPr>
              <w:pStyle w:val="4"/>
              <w:jc w:val="left"/>
            </w:pPr>
            <w:r>
              <w:rPr>
                <w:rFonts w:ascii="仿宋_GB2312" w:hAnsi="仿宋_GB2312" w:eastAsia="仿宋_GB2312" w:cs="仿宋_GB2312"/>
              </w:rPr>
              <w:t>1.供应商应按磋商文件中施工图纸、技术要求和工程量清单的要求编制响应文件，并在响应文件中注明主要材料选用品牌、规格型号等。主要推荐品牌如下，如供应商在响应文件中未按要求注明材料、设备品牌，则招标人有权按最有利于招标人的方式确定材料、设备品牌：</w:t>
            </w:r>
          </w:p>
          <w:p w14:paraId="13E73CF5">
            <w:pPr>
              <w:pStyle w:val="4"/>
              <w:jc w:val="left"/>
            </w:pPr>
            <w:r>
              <w:rPr>
                <w:rFonts w:ascii="仿宋_GB2312" w:hAnsi="仿宋_GB2312" w:eastAsia="仿宋_GB2312" w:cs="仿宋_GB2312"/>
              </w:rPr>
              <w:t>乳胶漆：立邦、三棵树、多乐士等同档次级别品牌。</w:t>
            </w:r>
          </w:p>
          <w:p w14:paraId="512AB1A1">
            <w:pPr>
              <w:pStyle w:val="4"/>
              <w:jc w:val="left"/>
            </w:pPr>
            <w:r>
              <w:rPr>
                <w:rFonts w:ascii="仿宋_GB2312" w:hAnsi="仿宋_GB2312" w:eastAsia="仿宋_GB2312" w:cs="仿宋_GB2312"/>
              </w:rPr>
              <w:t>灯具：欧普、佛山、雷士、三雄极光等同档次级别品牌。</w:t>
            </w:r>
          </w:p>
          <w:p w14:paraId="77107DCF">
            <w:pPr>
              <w:pStyle w:val="4"/>
              <w:jc w:val="left"/>
            </w:pPr>
            <w:r>
              <w:rPr>
                <w:rFonts w:ascii="仿宋_GB2312" w:hAnsi="仿宋_GB2312" w:eastAsia="仿宋_GB2312" w:cs="仿宋_GB2312"/>
              </w:rPr>
              <w:t>电线：上上、正泰、津成等同档次级别品牌。</w:t>
            </w:r>
          </w:p>
          <w:p w14:paraId="53A091DF">
            <w:pPr>
              <w:pStyle w:val="4"/>
              <w:jc w:val="left"/>
            </w:pPr>
            <w:r>
              <w:rPr>
                <w:rFonts w:ascii="仿宋_GB2312" w:hAnsi="仿宋_GB2312" w:eastAsia="仿宋_GB2312" w:cs="仿宋_GB2312"/>
              </w:rPr>
              <w:t>开关插座：欧普、正泰、三雄极光等同档次级别品牌。</w:t>
            </w:r>
          </w:p>
          <w:p w14:paraId="5CD0FB6D">
            <w:pPr>
              <w:pStyle w:val="4"/>
              <w:jc w:val="left"/>
            </w:pPr>
            <w:r>
              <w:rPr>
                <w:rFonts w:ascii="仿宋_GB2312" w:hAnsi="仿宋_GB2312" w:eastAsia="仿宋_GB2312" w:cs="仿宋_GB2312"/>
              </w:rPr>
              <w:t>塑胶地板：大巨龙、丽杰、洁玛、华塑等同档次级别品牌。</w:t>
            </w:r>
          </w:p>
          <w:p w14:paraId="4245B728">
            <w:pPr>
              <w:pStyle w:val="4"/>
              <w:jc w:val="left"/>
            </w:pPr>
            <w:r>
              <w:rPr>
                <w:rFonts w:ascii="仿宋_GB2312" w:hAnsi="仿宋_GB2312" w:eastAsia="仿宋_GB2312" w:cs="仿宋_GB2312"/>
              </w:rPr>
              <w:t>低压配电箱主要元器件品牌：常熟开关（CM3）、上海良信（NDM3）、天正电气（TGM1N）、正泰昆仑（NXM）、德力西（CDM3S）等同档次级别品牌。</w:t>
            </w:r>
          </w:p>
          <w:p w14:paraId="1AC6B146">
            <w:pPr>
              <w:pStyle w:val="4"/>
              <w:jc w:val="left"/>
            </w:pPr>
            <w:r>
              <w:rPr>
                <w:rFonts w:ascii="仿宋_GB2312" w:hAnsi="仿宋_GB2312" w:eastAsia="仿宋_GB2312" w:cs="仿宋_GB2312"/>
              </w:rPr>
              <w:t>要求所有建筑材料采用环保型材料，阻燃、无毒、无害、无放射性。施工时，需提供主要施工材料来源渠道合法的证明文件（包括但不限于销售协议、代理协议、原厂授权等）。因施工不善或材料使用不当发生工程事故及人员伤害的，责任和由此而发生的各种费用由施工单位全部承担。完工后须经专业检测机构环保检测合格，费用包含在工程费用中。否则建设单位有权追究施工单位相关事项的一切责任。</w:t>
            </w:r>
          </w:p>
          <w:p w14:paraId="1BAFCFFA">
            <w:pPr>
              <w:pStyle w:val="4"/>
              <w:jc w:val="left"/>
            </w:pPr>
            <w:r>
              <w:rPr>
                <w:rFonts w:ascii="仿宋_GB2312" w:hAnsi="仿宋_GB2312" w:eastAsia="仿宋_GB2312" w:cs="仿宋_GB2312"/>
              </w:rPr>
              <w:t>2.工程施工应按国家现行标准和相应的行业技术规范执行，这些标准和技术规范应为合同签订日为止最新公布发行的标准和技术规范。包括但不限于《建筑工程施工质量验收统一标准》GB 50300-2013。工程质量须符合国家施工验收规范要求，达到合格标准。</w:t>
            </w:r>
          </w:p>
          <w:p w14:paraId="5F75E864">
            <w:pPr>
              <w:pStyle w:val="4"/>
            </w:pPr>
            <w:r>
              <w:rPr>
                <w:rFonts w:ascii="仿宋_GB2312" w:hAnsi="仿宋_GB2312" w:eastAsia="仿宋_GB2312" w:cs="仿宋_GB2312"/>
                <w:sz w:val="21"/>
              </w:rPr>
              <w:t>3.供应商须结合现场踏勘情况，对施工范围内无法搬移、不能停用或对环境敏感的大型精密仪器设备进行逐一识别，编制专项保护方案，明确设备名称、位置、保护范围、责任人员、施工风险及应急处置措施。保护措施应包括施工前登记和拍照留档，设置专用防尘、防水、防潮、防碰撞、防振动保护设施，落实隔离围挡、警示标识、施工通道及材料堆放管控，并对设备周边拆除、钻孔、切割、动火等作业制定针对性措施，安排专人巡查并做好记录。未经采购人、使用单位及设备管理人员确认，施工单位不得擅自移动、拆接、断电或改变仪器运行状态；因保护措施不到位造成仪器设备损坏的，由施工单位承担全部修复、赔偿及相关责任。供应商须提供详细的不缺项的保护方案。</w:t>
            </w:r>
          </w:p>
        </w:tc>
      </w:tr>
      <w:tr w14:paraId="2FD926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37CF62BB">
            <w:pPr>
              <w:pStyle w:val="4"/>
            </w:pPr>
            <w:r>
              <w:rPr>
                <w:rFonts w:ascii="仿宋_GB2312" w:hAnsi="仿宋_GB2312" w:eastAsia="仿宋_GB2312" w:cs="仿宋_GB2312"/>
              </w:rPr>
              <w:t>7</w:t>
            </w:r>
          </w:p>
        </w:tc>
        <w:tc>
          <w:tcPr>
            <w:tcW w:w="1125" w:type="dxa"/>
          </w:tcPr>
          <w:p w14:paraId="6D05C3AB"/>
        </w:tc>
        <w:tc>
          <w:tcPr>
            <w:tcW w:w="6380" w:type="dxa"/>
          </w:tcPr>
          <w:p w14:paraId="7A57B046">
            <w:pPr>
              <w:pStyle w:val="4"/>
            </w:pPr>
            <w:r>
              <w:rPr>
                <w:rFonts w:ascii="仿宋_GB2312" w:hAnsi="仿宋_GB2312" w:eastAsia="仿宋_GB2312" w:cs="仿宋_GB2312"/>
                <w:b/>
                <w:sz w:val="20"/>
              </w:rPr>
              <w:t>合同价款形式：</w:t>
            </w:r>
            <w:r>
              <w:rPr>
                <w:rFonts w:ascii="仿宋_GB2312" w:hAnsi="仿宋_GB2312" w:eastAsia="仿宋_GB2312" w:cs="仿宋_GB2312"/>
                <w:sz w:val="20"/>
              </w:rPr>
              <w:t>固定综合单价。</w:t>
            </w:r>
          </w:p>
        </w:tc>
      </w:tr>
      <w:tr w14:paraId="12C57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18C3C78A">
            <w:pPr>
              <w:pStyle w:val="4"/>
            </w:pPr>
            <w:r>
              <w:rPr>
                <w:rFonts w:ascii="仿宋_GB2312" w:hAnsi="仿宋_GB2312" w:eastAsia="仿宋_GB2312" w:cs="仿宋_GB2312"/>
              </w:rPr>
              <w:t>8</w:t>
            </w:r>
          </w:p>
        </w:tc>
        <w:tc>
          <w:tcPr>
            <w:tcW w:w="1125" w:type="dxa"/>
          </w:tcPr>
          <w:p w14:paraId="2426334A"/>
        </w:tc>
        <w:tc>
          <w:tcPr>
            <w:tcW w:w="6380" w:type="dxa"/>
          </w:tcPr>
          <w:p w14:paraId="5FEFA7A7">
            <w:pPr>
              <w:pStyle w:val="4"/>
              <w:jc w:val="left"/>
            </w:pPr>
            <w:r>
              <w:rPr>
                <w:rFonts w:ascii="仿宋_GB2312" w:hAnsi="仿宋_GB2312" w:eastAsia="仿宋_GB2312" w:cs="仿宋_GB2312"/>
                <w:b/>
                <w:sz w:val="20"/>
              </w:rPr>
              <w:t>工程款支付：</w:t>
            </w:r>
          </w:p>
          <w:p w14:paraId="0F911C68">
            <w:pPr>
              <w:pStyle w:val="4"/>
              <w:rPr>
                <w:rFonts w:hint="default" w:eastAsia="仿宋_GB2312"/>
                <w:lang w:val="en-US" w:eastAsia="zh-CN"/>
              </w:rPr>
            </w:pPr>
            <w:r>
              <w:rPr>
                <w:rFonts w:ascii="仿宋_GB2312" w:hAnsi="仿宋_GB2312" w:eastAsia="仿宋_GB2312" w:cs="仿宋_GB2312"/>
                <w:sz w:val="21"/>
              </w:rPr>
              <w:t>合同签订、施工方进场后，支付合同价款的40%预付款，工程完工并经学校现场管理人员初验合格后，支付至合同价款的80%；工程竣工验收合格、结算经采购人审定并完成资料归档后，支付剩余全部工程款。</w:t>
            </w:r>
            <w:r>
              <w:rPr>
                <w:rFonts w:hint="eastAsia" w:ascii="仿宋_GB2312" w:hAnsi="仿宋_GB2312" w:eastAsia="仿宋_GB2312" w:cs="仿宋_GB2312"/>
                <w:sz w:val="21"/>
                <w:lang w:val="en-US" w:eastAsia="zh-CN"/>
              </w:rPr>
              <w:t>(详见合同附件)</w:t>
            </w:r>
            <w:bookmarkStart w:id="0" w:name="_GoBack"/>
            <w:bookmarkEnd w:id="0"/>
          </w:p>
        </w:tc>
      </w:tr>
      <w:tr w14:paraId="57283E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tcPr>
          <w:p w14:paraId="211BB8C9">
            <w:pPr>
              <w:pStyle w:val="4"/>
            </w:pPr>
            <w:r>
              <w:rPr>
                <w:rFonts w:ascii="仿宋_GB2312" w:hAnsi="仿宋_GB2312" w:eastAsia="仿宋_GB2312" w:cs="仿宋_GB2312"/>
              </w:rPr>
              <w:t>9</w:t>
            </w:r>
          </w:p>
        </w:tc>
        <w:tc>
          <w:tcPr>
            <w:tcW w:w="1125" w:type="dxa"/>
          </w:tcPr>
          <w:p w14:paraId="490ED3D6"/>
        </w:tc>
        <w:tc>
          <w:tcPr>
            <w:tcW w:w="6380" w:type="dxa"/>
          </w:tcPr>
          <w:p w14:paraId="29C4058F">
            <w:pPr>
              <w:pStyle w:val="4"/>
              <w:jc w:val="left"/>
            </w:pPr>
            <w:r>
              <w:rPr>
                <w:rFonts w:ascii="仿宋_GB2312" w:hAnsi="仿宋_GB2312" w:eastAsia="仿宋_GB2312" w:cs="仿宋_GB2312"/>
                <w:b/>
                <w:sz w:val="20"/>
              </w:rPr>
              <w:t>其它要求：</w:t>
            </w:r>
          </w:p>
          <w:p w14:paraId="049A8263">
            <w:pPr>
              <w:pStyle w:val="4"/>
              <w:jc w:val="left"/>
            </w:pPr>
            <w:r>
              <w:rPr>
                <w:rFonts w:ascii="仿宋_GB2312" w:hAnsi="仿宋_GB2312" w:eastAsia="仿宋_GB2312" w:cs="仿宋_GB2312"/>
              </w:rPr>
              <w:t>1.施工单位的食宿由施工方自行解决，应遵守国家和学校的各项规定，及时至学校保卫处办理施工相关手续，施工期间的所有安全问题及由此而发生的各种费用由施工单位全部负责和承担。</w:t>
            </w:r>
          </w:p>
          <w:p w14:paraId="7FE26CEE">
            <w:pPr>
              <w:pStyle w:val="4"/>
              <w:jc w:val="left"/>
            </w:pPr>
            <w:r>
              <w:rPr>
                <w:rFonts w:ascii="仿宋_GB2312" w:hAnsi="仿宋_GB2312" w:eastAsia="仿宋_GB2312" w:cs="仿宋_GB2312"/>
              </w:rPr>
              <w:t>2.项目踏勘现场，如无异议表示确认招标采购资料，中标成交后不予变更签证；严格按照原工程内容进行施工，不得私自变更；如因采购人要求和现场情况需要变更签证，需严格按照学校签证变更相关程序申报。</w:t>
            </w:r>
          </w:p>
          <w:p w14:paraId="5BA96E6D">
            <w:pPr>
              <w:pStyle w:val="4"/>
              <w:jc w:val="left"/>
            </w:pPr>
            <w:r>
              <w:rPr>
                <w:rFonts w:ascii="仿宋_GB2312" w:hAnsi="仿宋_GB2312" w:eastAsia="仿宋_GB2312" w:cs="仿宋_GB2312"/>
              </w:rPr>
              <w:t>3.施工产生的电费和水费需安装电表和水表计量，水费5.80元/吨，电费0.80元/度。</w:t>
            </w:r>
          </w:p>
          <w:p w14:paraId="508C47D4">
            <w:pPr>
              <w:pStyle w:val="4"/>
              <w:jc w:val="left"/>
            </w:pPr>
            <w:r>
              <w:rPr>
                <w:rFonts w:ascii="仿宋_GB2312" w:hAnsi="仿宋_GB2312" w:eastAsia="仿宋_GB2312" w:cs="仿宋_GB2312"/>
              </w:rPr>
              <w:t>4.施工单位必须按照采购人要求，严格按照工期要求保质保量完成工程；若延误工期，每日按照合同总额的千分之五处罚（若因天气等不可抗力因素导致延误，需作书面说明）。</w:t>
            </w:r>
          </w:p>
          <w:p w14:paraId="143F2460">
            <w:pPr>
              <w:pStyle w:val="4"/>
              <w:jc w:val="left"/>
            </w:pPr>
            <w:r>
              <w:rPr>
                <w:rFonts w:ascii="仿宋_GB2312" w:hAnsi="仿宋_GB2312" w:eastAsia="仿宋_GB2312" w:cs="仿宋_GB2312"/>
              </w:rPr>
              <w:t>5.确定成交供应商后，由现场负责人组织工程技术交底会，同时签订合同。成交供应商在规定的时间内未签署合同或不遵守竞争性磋商要求，采购人有权取消其成交资格，并将成交资格授予备选的第二成交候选供应商。</w:t>
            </w:r>
          </w:p>
          <w:p w14:paraId="7B647BF3">
            <w:pPr>
              <w:pStyle w:val="4"/>
              <w:jc w:val="left"/>
            </w:pPr>
            <w:r>
              <w:rPr>
                <w:rFonts w:ascii="仿宋_GB2312" w:hAnsi="仿宋_GB2312" w:eastAsia="仿宋_GB2312" w:cs="仿宋_GB2312"/>
              </w:rPr>
              <w:t>6.施工前，成交供应商应向维修管理科提交项目人员安排、进度计划表、安全措施、材料采购计划、设计施工图等，如有变动，应做书面说明并经甲方认可。</w:t>
            </w:r>
          </w:p>
          <w:p w14:paraId="778C04E4">
            <w:pPr>
              <w:pStyle w:val="4"/>
              <w:jc w:val="left"/>
            </w:pPr>
            <w:r>
              <w:rPr>
                <w:rFonts w:ascii="仿宋_GB2312" w:hAnsi="仿宋_GB2312" w:eastAsia="仿宋_GB2312" w:cs="仿宋_GB2312"/>
              </w:rPr>
              <w:t>7.施工过程中，施工单位必须严格按照磋商文件技术要求和竞争性磋商要求施工，服从现场负责人安排，尤其对隐蔽工程、主材进场等环节做好记录、验收工作，确保施工质量符合工程施工相关规范。如发现有偷工减料、使用不合格的建筑材料等行为的，应立即停工整改，每次按照合同额的百分之一进行罚款，并责令限期整改，承担由此造成的一切损失。</w:t>
            </w:r>
          </w:p>
          <w:p w14:paraId="70E1F8C4">
            <w:pPr>
              <w:pStyle w:val="4"/>
              <w:jc w:val="left"/>
            </w:pPr>
            <w:r>
              <w:rPr>
                <w:rFonts w:ascii="仿宋_GB2312" w:hAnsi="仿宋_GB2312" w:eastAsia="仿宋_GB2312" w:cs="仿宋_GB2312"/>
              </w:rPr>
              <w:t>8.施工前，供应商须为施工工人购买意外团体等保险，须严格落实安全协议书相关条款和提交的安全措施，如设置施工安全标志，施工人员佩戴安全防护用品，定期组织安全教育培训等。</w:t>
            </w:r>
          </w:p>
          <w:p w14:paraId="1E612C72">
            <w:pPr>
              <w:pStyle w:val="4"/>
              <w:jc w:val="left"/>
            </w:pPr>
            <w:r>
              <w:rPr>
                <w:rFonts w:ascii="仿宋_GB2312" w:hAnsi="仿宋_GB2312" w:eastAsia="仿宋_GB2312" w:cs="仿宋_GB2312"/>
              </w:rPr>
              <w:t>9.施工前张贴施工告示，明确工期、负责人及联系方式等，工程材料应集中堆放；施工时严格采取措施控制好灰尘、噪音；施工产生的建筑垃圾应装袋及时清理。</w:t>
            </w:r>
          </w:p>
          <w:p w14:paraId="5DEAC4A7">
            <w:pPr>
              <w:pStyle w:val="4"/>
            </w:pPr>
            <w:r>
              <w:rPr>
                <w:rFonts w:ascii="仿宋_GB2312" w:hAnsi="仿宋_GB2312" w:eastAsia="仿宋_GB2312" w:cs="仿宋_GB2312"/>
                <w:sz w:val="21"/>
              </w:rPr>
              <w:t>10.工程完工后，由现场负责人、使用单位进行初验，并对提出的问题进行整改。同时</w:t>
            </w:r>
            <w:r>
              <w:rPr>
                <w:rFonts w:ascii="仿宋_GB2312" w:hAnsi="仿宋_GB2312" w:eastAsia="仿宋_GB2312" w:cs="仿宋_GB2312"/>
                <w:b/>
                <w:sz w:val="21"/>
              </w:rPr>
              <w:t>由供应商组织绘制竣工图</w:t>
            </w:r>
            <w:r>
              <w:rPr>
                <w:rFonts w:ascii="仿宋_GB2312" w:hAnsi="仿宋_GB2312" w:eastAsia="仿宋_GB2312" w:cs="仿宋_GB2312"/>
                <w:sz w:val="21"/>
              </w:rPr>
              <w:t>，并同时向维修管理科提交《维修项目施工工序验收记录表》、《维修项目主要材料验收记录表》、变更签证材料、结算书等。</w:t>
            </w:r>
          </w:p>
        </w:tc>
      </w:tr>
    </w:tbl>
    <w:p w14:paraId="10EB9CE3">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3141E4E"/>
    <w:rsid w:val="77F79321"/>
    <w:rsid w:val="7D5F47D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2133</Words>
  <Characters>2190</Characters>
  <Lines>0</Lines>
  <Paragraphs>0</Paragraphs>
  <TotalTime>0</TotalTime>
  <ScaleCrop>false</ScaleCrop>
  <LinksUpToDate>false</LinksUpToDate>
  <CharactersWithSpaces>2192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hh</cp:lastModifiedBy>
  <dcterms:modified xsi:type="dcterms:W3CDTF">2026-09-29T10:00:26Z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eyJoZGlkIjoiMGQ4ZTdmZWNkZThhYzU1MTNmMWJlNWM0M2ExM2M5MDQiLCJ1c2VySWQiOiI1NTQxNTg5NzAifQ==</vt:lpwstr>
  </property>
  <property fmtid="{D5CDD505-2E9C-101B-9397-08002B2CF9AE}" pid="4" name="ICV">
    <vt:lpwstr>0C315BBA529743DCB53BD372FFC68FAD_12</vt:lpwstr>
  </property>
</Properties>
</file>