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宋体" w:hAnsi="宋体" w:eastAsia="宋体" w:cs="宋体"/>
          <w:b/>
          <w:bCs/>
          <w:color w:val="000000" w:themeColor="text1"/>
          <w:sz w:val="36"/>
          <w:szCs w:val="36"/>
          <w14:textFill>
            <w14:solidFill>
              <w14:schemeClr w14:val="tx1"/>
            </w14:solidFill>
          </w14:textFill>
        </w:rPr>
      </w:pPr>
      <w:r>
        <w:rPr>
          <w:rFonts w:hint="eastAsia" w:ascii="宋体" w:hAnsi="宋体" w:eastAsia="宋体" w:cs="宋体"/>
          <w:b/>
          <w:bCs/>
          <w:color w:val="000000" w:themeColor="text1"/>
          <w:sz w:val="36"/>
          <w:szCs w:val="36"/>
          <w14:textFill>
            <w14:solidFill>
              <w14:schemeClr w14:val="tx1"/>
            </w14:solidFill>
          </w14:textFill>
        </w:rPr>
        <w:t>仪器设备购置合同</w:t>
      </w:r>
    </w:p>
    <w:p>
      <w:pPr>
        <w:adjustRightInd w:val="0"/>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p>
    <w:p>
      <w:pPr>
        <w:adjustRightInd w:val="0"/>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西安建筑科技大学（甲方）与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（乙方）就甲方购置的</w:t>
      </w:r>
      <w:r>
        <w:rPr>
          <w:rFonts w:hint="eastAsia" w:ascii="宋体" w:hAnsi="宋体" w:eastAsia="宋体" w:cs="宋体"/>
          <w:bCs/>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设备经双方协商达成如下合同条款：</w:t>
      </w:r>
    </w:p>
    <w:p>
      <w:pPr>
        <w:spacing w:line="360" w:lineRule="auto"/>
        <w:ind w:left="555"/>
        <w:outlineLvl w:val="0"/>
        <w:rPr>
          <w:rFonts w:hint="eastAsia" w:ascii="宋体" w:hAnsi="宋体" w:eastAsia="宋体" w:cs="宋体"/>
          <w:b/>
          <w:color w:val="000000" w:themeColor="text1"/>
          <w:sz w:val="24"/>
          <w14:textFill>
            <w14:solidFill>
              <w14:schemeClr w14:val="tx1"/>
            </w14:solidFill>
          </w14:textFill>
        </w:rPr>
      </w:pPr>
      <w:bookmarkStart w:id="0" w:name="_Toc15535"/>
      <w:r>
        <w:rPr>
          <w:rFonts w:hint="eastAsia" w:ascii="宋体" w:hAnsi="宋体" w:eastAsia="宋体" w:cs="宋体"/>
          <w:b/>
          <w:color w:val="000000" w:themeColor="text1"/>
          <w:sz w:val="24"/>
          <w14:textFill>
            <w14:solidFill>
              <w14:schemeClr w14:val="tx1"/>
            </w14:solidFill>
          </w14:textFill>
        </w:rPr>
        <w:t>1</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b/>
          <w:color w:val="000000" w:themeColor="text1"/>
          <w:sz w:val="24"/>
          <w14:textFill>
            <w14:solidFill>
              <w14:schemeClr w14:val="tx1"/>
            </w14:solidFill>
          </w14:textFill>
        </w:rPr>
        <w:t xml:space="preserve"> 合同内容</w:t>
      </w:r>
      <w:bookmarkEnd w:id="0"/>
    </w:p>
    <w:p>
      <w:pPr>
        <w:spacing w:line="360" w:lineRule="auto"/>
        <w:ind w:firstLine="56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在甲方组织的关于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采购招投标活动中，经评标确定乙方为供货单位。乙方按本合同中确定的设备名称、型号与规格、产地、数量及配套内容进行供货，详细配置见《仪器设备购置清单》；乙方按时将货物运送到甲方指定的地点，负责到货设备的安装与调试，达到正常使用；乙方负责为甲方培训操作、维护人员，质保期内负责指导仪器设备的操作使用和保养维修，做好售后服务工作。甲方在乙方完成合同明确规定的责任和义务后，按合同要求付给乙方相应的设备货款。</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 仪器设备购置清单（币种：人民币）</w:t>
      </w:r>
    </w:p>
    <w:tbl>
      <w:tblPr>
        <w:tblStyle w:val="8"/>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634"/>
        <w:gridCol w:w="1701"/>
        <w:gridCol w:w="1336"/>
        <w:gridCol w:w="985"/>
        <w:gridCol w:w="1081"/>
        <w:gridCol w:w="881"/>
        <w:gridCol w:w="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tcMar>
              <w:top w:w="20" w:type="dxa"/>
              <w:left w:w="20" w:type="dxa"/>
              <w:bottom w:w="0" w:type="dxa"/>
              <w:right w:w="20" w:type="dxa"/>
            </w:tcMar>
            <w:vAlign w:val="center"/>
          </w:tcPr>
          <w:p>
            <w:pPr>
              <w:spacing w:line="360" w:lineRule="exac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序号</w:t>
            </w:r>
          </w:p>
        </w:tc>
        <w:tc>
          <w:tcPr>
            <w:tcW w:w="1634" w:type="dxa"/>
            <w:tcMar>
              <w:top w:w="20" w:type="dxa"/>
              <w:left w:w="20" w:type="dxa"/>
              <w:bottom w:w="0" w:type="dxa"/>
              <w:right w:w="20" w:type="dxa"/>
            </w:tcMar>
            <w:vAlign w:val="center"/>
          </w:tcPr>
          <w:p>
            <w:pPr>
              <w:spacing w:line="360" w:lineRule="exac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设备名称</w:t>
            </w:r>
          </w:p>
        </w:tc>
        <w:tc>
          <w:tcPr>
            <w:tcW w:w="1701" w:type="dxa"/>
            <w:tcMar>
              <w:top w:w="20" w:type="dxa"/>
              <w:left w:w="20" w:type="dxa"/>
              <w:bottom w:w="0" w:type="dxa"/>
              <w:right w:w="20" w:type="dxa"/>
            </w:tcMar>
            <w:vAlign w:val="center"/>
          </w:tcPr>
          <w:p>
            <w:pPr>
              <w:spacing w:line="360" w:lineRule="exac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品牌、规格、型号</w:t>
            </w:r>
          </w:p>
        </w:tc>
        <w:tc>
          <w:tcPr>
            <w:tcW w:w="1336" w:type="dxa"/>
            <w:tcMar>
              <w:top w:w="20" w:type="dxa"/>
              <w:left w:w="20" w:type="dxa"/>
              <w:bottom w:w="0" w:type="dxa"/>
              <w:right w:w="20" w:type="dxa"/>
            </w:tcMar>
            <w:vAlign w:val="center"/>
          </w:tcPr>
          <w:p>
            <w:pPr>
              <w:spacing w:line="360" w:lineRule="exac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数量</w:t>
            </w:r>
          </w:p>
          <w:p>
            <w:pPr>
              <w:spacing w:line="360" w:lineRule="exac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（台、套）</w:t>
            </w:r>
          </w:p>
        </w:tc>
        <w:tc>
          <w:tcPr>
            <w:tcW w:w="985" w:type="dxa"/>
            <w:tcMar>
              <w:top w:w="20" w:type="dxa"/>
              <w:left w:w="20" w:type="dxa"/>
              <w:bottom w:w="0" w:type="dxa"/>
              <w:right w:w="20" w:type="dxa"/>
            </w:tcMar>
            <w:vAlign w:val="center"/>
          </w:tcPr>
          <w:p>
            <w:pPr>
              <w:spacing w:line="360" w:lineRule="exac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单价</w:t>
            </w:r>
          </w:p>
          <w:p>
            <w:pPr>
              <w:spacing w:line="360" w:lineRule="exac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(万元)</w:t>
            </w:r>
          </w:p>
        </w:tc>
        <w:tc>
          <w:tcPr>
            <w:tcW w:w="1081" w:type="dxa"/>
            <w:tcMar>
              <w:top w:w="20" w:type="dxa"/>
              <w:left w:w="20" w:type="dxa"/>
              <w:bottom w:w="0" w:type="dxa"/>
              <w:right w:w="20" w:type="dxa"/>
            </w:tcMar>
            <w:vAlign w:val="center"/>
          </w:tcPr>
          <w:p>
            <w:pPr>
              <w:spacing w:line="360" w:lineRule="exac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合计</w:t>
            </w:r>
          </w:p>
          <w:p>
            <w:pPr>
              <w:spacing w:line="360" w:lineRule="exac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（万元）</w:t>
            </w:r>
          </w:p>
        </w:tc>
        <w:tc>
          <w:tcPr>
            <w:tcW w:w="881" w:type="dxa"/>
            <w:vAlign w:val="center"/>
          </w:tcPr>
          <w:p>
            <w:pPr>
              <w:spacing w:line="360" w:lineRule="exac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生产商</w:t>
            </w:r>
          </w:p>
        </w:tc>
        <w:tc>
          <w:tcPr>
            <w:tcW w:w="580" w:type="dxa"/>
            <w:tcMar>
              <w:top w:w="20" w:type="dxa"/>
              <w:left w:w="20" w:type="dxa"/>
              <w:bottom w:w="0" w:type="dxa"/>
              <w:right w:w="20" w:type="dxa"/>
            </w:tcMar>
            <w:vAlign w:val="center"/>
          </w:tcPr>
          <w:p>
            <w:pPr>
              <w:spacing w:line="360" w:lineRule="exac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tcMar>
              <w:top w:w="20" w:type="dxa"/>
              <w:left w:w="20" w:type="dxa"/>
              <w:bottom w:w="0" w:type="dxa"/>
              <w:right w:w="20" w:type="dxa"/>
            </w:tcMar>
            <w:vAlign w:val="center"/>
          </w:tcPr>
          <w:p>
            <w:pPr>
              <w:spacing w:line="36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w:t>
            </w:r>
          </w:p>
        </w:tc>
        <w:tc>
          <w:tcPr>
            <w:tcW w:w="1634" w:type="dxa"/>
            <w:tcMar>
              <w:top w:w="20" w:type="dxa"/>
              <w:left w:w="20" w:type="dxa"/>
              <w:bottom w:w="0" w:type="dxa"/>
              <w:right w:w="20" w:type="dxa"/>
            </w:tcMar>
            <w:vAlign w:val="center"/>
          </w:tcPr>
          <w:p>
            <w:pPr>
              <w:spacing w:line="360" w:lineRule="exact"/>
              <w:rPr>
                <w:rFonts w:hint="eastAsia" w:ascii="宋体" w:hAnsi="宋体" w:eastAsia="宋体" w:cs="宋体"/>
                <w:color w:val="000000" w:themeColor="text1"/>
                <w:sz w:val="24"/>
                <w14:textFill>
                  <w14:solidFill>
                    <w14:schemeClr w14:val="tx1"/>
                  </w14:solidFill>
                </w14:textFill>
              </w:rPr>
            </w:pPr>
          </w:p>
        </w:tc>
        <w:tc>
          <w:tcPr>
            <w:tcW w:w="1701" w:type="dxa"/>
            <w:tcMar>
              <w:top w:w="20" w:type="dxa"/>
              <w:left w:w="20" w:type="dxa"/>
              <w:bottom w:w="0" w:type="dxa"/>
              <w:right w:w="20" w:type="dxa"/>
            </w:tcMar>
            <w:vAlign w:val="center"/>
          </w:tcPr>
          <w:p>
            <w:pPr>
              <w:spacing w:line="360" w:lineRule="exact"/>
              <w:rPr>
                <w:rFonts w:hint="eastAsia" w:ascii="宋体" w:hAnsi="宋体" w:eastAsia="宋体" w:cs="宋体"/>
                <w:color w:val="000000" w:themeColor="text1"/>
                <w:sz w:val="24"/>
                <w14:textFill>
                  <w14:solidFill>
                    <w14:schemeClr w14:val="tx1"/>
                  </w14:solidFill>
                </w14:textFill>
              </w:rPr>
            </w:pPr>
          </w:p>
        </w:tc>
        <w:tc>
          <w:tcPr>
            <w:tcW w:w="1336" w:type="dxa"/>
            <w:tcMar>
              <w:top w:w="20" w:type="dxa"/>
              <w:left w:w="20" w:type="dxa"/>
              <w:bottom w:w="0" w:type="dxa"/>
              <w:right w:w="20" w:type="dxa"/>
            </w:tcMar>
            <w:vAlign w:val="center"/>
          </w:tcPr>
          <w:p>
            <w:pPr>
              <w:spacing w:line="360" w:lineRule="exact"/>
              <w:rPr>
                <w:rFonts w:hint="eastAsia" w:ascii="宋体" w:hAnsi="宋体" w:eastAsia="宋体" w:cs="宋体"/>
                <w:color w:val="000000" w:themeColor="text1"/>
                <w:sz w:val="24"/>
                <w14:textFill>
                  <w14:solidFill>
                    <w14:schemeClr w14:val="tx1"/>
                  </w14:solidFill>
                </w14:textFill>
              </w:rPr>
            </w:pPr>
          </w:p>
        </w:tc>
        <w:tc>
          <w:tcPr>
            <w:tcW w:w="985" w:type="dxa"/>
            <w:tcMar>
              <w:top w:w="20" w:type="dxa"/>
              <w:left w:w="20" w:type="dxa"/>
              <w:bottom w:w="0" w:type="dxa"/>
              <w:right w:w="20" w:type="dxa"/>
            </w:tcMar>
            <w:vAlign w:val="center"/>
          </w:tcPr>
          <w:p>
            <w:pPr>
              <w:spacing w:line="360" w:lineRule="exact"/>
              <w:rPr>
                <w:rFonts w:hint="eastAsia" w:ascii="宋体" w:hAnsi="宋体" w:eastAsia="宋体" w:cs="宋体"/>
                <w:color w:val="000000" w:themeColor="text1"/>
                <w:sz w:val="24"/>
                <w14:textFill>
                  <w14:solidFill>
                    <w14:schemeClr w14:val="tx1"/>
                  </w14:solidFill>
                </w14:textFill>
              </w:rPr>
            </w:pPr>
          </w:p>
        </w:tc>
        <w:tc>
          <w:tcPr>
            <w:tcW w:w="1081" w:type="dxa"/>
            <w:tcMar>
              <w:top w:w="20" w:type="dxa"/>
              <w:left w:w="20" w:type="dxa"/>
              <w:bottom w:w="0" w:type="dxa"/>
              <w:right w:w="20" w:type="dxa"/>
            </w:tcMar>
            <w:vAlign w:val="center"/>
          </w:tcPr>
          <w:p>
            <w:pPr>
              <w:spacing w:line="360" w:lineRule="exact"/>
              <w:rPr>
                <w:rFonts w:hint="eastAsia" w:ascii="宋体" w:hAnsi="宋体" w:eastAsia="宋体" w:cs="宋体"/>
                <w:color w:val="000000" w:themeColor="text1"/>
                <w:sz w:val="24"/>
                <w14:textFill>
                  <w14:solidFill>
                    <w14:schemeClr w14:val="tx1"/>
                  </w14:solidFill>
                </w14:textFill>
              </w:rPr>
            </w:pPr>
          </w:p>
        </w:tc>
        <w:tc>
          <w:tcPr>
            <w:tcW w:w="881" w:type="dxa"/>
            <w:vAlign w:val="center"/>
          </w:tcPr>
          <w:p>
            <w:pPr>
              <w:spacing w:line="360" w:lineRule="exact"/>
              <w:rPr>
                <w:rFonts w:hint="eastAsia" w:ascii="宋体" w:hAnsi="宋体" w:eastAsia="宋体" w:cs="宋体"/>
                <w:color w:val="000000" w:themeColor="text1"/>
                <w:sz w:val="24"/>
                <w14:textFill>
                  <w14:solidFill>
                    <w14:schemeClr w14:val="tx1"/>
                  </w14:solidFill>
                </w14:textFill>
              </w:rPr>
            </w:pPr>
          </w:p>
        </w:tc>
        <w:tc>
          <w:tcPr>
            <w:tcW w:w="580" w:type="dxa"/>
            <w:tcMar>
              <w:top w:w="20" w:type="dxa"/>
              <w:left w:w="20" w:type="dxa"/>
              <w:bottom w:w="0" w:type="dxa"/>
              <w:right w:w="20" w:type="dxa"/>
            </w:tcMar>
            <w:vAlign w:val="center"/>
          </w:tcPr>
          <w:p>
            <w:pPr>
              <w:spacing w:line="360" w:lineRule="exact"/>
              <w:rPr>
                <w:rFonts w:hint="eastAsia" w:ascii="宋体" w:hAnsi="宋体" w:eastAsia="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tcMar>
              <w:top w:w="20" w:type="dxa"/>
              <w:left w:w="20" w:type="dxa"/>
              <w:bottom w:w="0" w:type="dxa"/>
              <w:right w:w="20" w:type="dxa"/>
            </w:tcMar>
            <w:vAlign w:val="center"/>
          </w:tcPr>
          <w:p>
            <w:pPr>
              <w:spacing w:line="36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w:t>
            </w:r>
          </w:p>
        </w:tc>
        <w:tc>
          <w:tcPr>
            <w:tcW w:w="1634" w:type="dxa"/>
            <w:tcMar>
              <w:top w:w="20" w:type="dxa"/>
              <w:left w:w="20" w:type="dxa"/>
              <w:bottom w:w="0" w:type="dxa"/>
              <w:right w:w="20" w:type="dxa"/>
            </w:tcMar>
            <w:vAlign w:val="center"/>
          </w:tcPr>
          <w:p>
            <w:pPr>
              <w:spacing w:line="360" w:lineRule="exact"/>
              <w:rPr>
                <w:rFonts w:hint="eastAsia" w:ascii="宋体" w:hAnsi="宋体" w:eastAsia="宋体" w:cs="宋体"/>
                <w:color w:val="000000" w:themeColor="text1"/>
                <w:sz w:val="24"/>
                <w14:textFill>
                  <w14:solidFill>
                    <w14:schemeClr w14:val="tx1"/>
                  </w14:solidFill>
                </w14:textFill>
              </w:rPr>
            </w:pPr>
          </w:p>
        </w:tc>
        <w:tc>
          <w:tcPr>
            <w:tcW w:w="1701" w:type="dxa"/>
            <w:tcMar>
              <w:top w:w="20" w:type="dxa"/>
              <w:left w:w="20" w:type="dxa"/>
              <w:bottom w:w="0" w:type="dxa"/>
              <w:right w:w="20" w:type="dxa"/>
            </w:tcMar>
            <w:vAlign w:val="center"/>
          </w:tcPr>
          <w:p>
            <w:pPr>
              <w:spacing w:line="360" w:lineRule="exact"/>
              <w:rPr>
                <w:rFonts w:hint="eastAsia" w:ascii="宋体" w:hAnsi="宋体" w:eastAsia="宋体" w:cs="宋体"/>
                <w:color w:val="000000" w:themeColor="text1"/>
                <w:sz w:val="24"/>
                <w14:textFill>
                  <w14:solidFill>
                    <w14:schemeClr w14:val="tx1"/>
                  </w14:solidFill>
                </w14:textFill>
              </w:rPr>
            </w:pPr>
          </w:p>
        </w:tc>
        <w:tc>
          <w:tcPr>
            <w:tcW w:w="1336" w:type="dxa"/>
            <w:tcMar>
              <w:top w:w="20" w:type="dxa"/>
              <w:left w:w="20" w:type="dxa"/>
              <w:bottom w:w="0" w:type="dxa"/>
              <w:right w:w="20" w:type="dxa"/>
            </w:tcMar>
            <w:vAlign w:val="center"/>
          </w:tcPr>
          <w:p>
            <w:pPr>
              <w:spacing w:line="360" w:lineRule="exact"/>
              <w:rPr>
                <w:rFonts w:hint="eastAsia" w:ascii="宋体" w:hAnsi="宋体" w:eastAsia="宋体" w:cs="宋体"/>
                <w:color w:val="000000" w:themeColor="text1"/>
                <w:sz w:val="24"/>
                <w14:textFill>
                  <w14:solidFill>
                    <w14:schemeClr w14:val="tx1"/>
                  </w14:solidFill>
                </w14:textFill>
              </w:rPr>
            </w:pPr>
          </w:p>
        </w:tc>
        <w:tc>
          <w:tcPr>
            <w:tcW w:w="985" w:type="dxa"/>
            <w:tcMar>
              <w:top w:w="20" w:type="dxa"/>
              <w:left w:w="20" w:type="dxa"/>
              <w:bottom w:w="0" w:type="dxa"/>
              <w:right w:w="20" w:type="dxa"/>
            </w:tcMar>
            <w:vAlign w:val="center"/>
          </w:tcPr>
          <w:p>
            <w:pPr>
              <w:spacing w:line="360" w:lineRule="exact"/>
              <w:rPr>
                <w:rFonts w:hint="eastAsia" w:ascii="宋体" w:hAnsi="宋体" w:eastAsia="宋体" w:cs="宋体"/>
                <w:color w:val="000000" w:themeColor="text1"/>
                <w:sz w:val="24"/>
                <w14:textFill>
                  <w14:solidFill>
                    <w14:schemeClr w14:val="tx1"/>
                  </w14:solidFill>
                </w14:textFill>
              </w:rPr>
            </w:pPr>
          </w:p>
        </w:tc>
        <w:tc>
          <w:tcPr>
            <w:tcW w:w="1081" w:type="dxa"/>
            <w:tcMar>
              <w:top w:w="20" w:type="dxa"/>
              <w:left w:w="20" w:type="dxa"/>
              <w:bottom w:w="0" w:type="dxa"/>
              <w:right w:w="20" w:type="dxa"/>
            </w:tcMar>
            <w:vAlign w:val="center"/>
          </w:tcPr>
          <w:p>
            <w:pPr>
              <w:spacing w:line="360" w:lineRule="exact"/>
              <w:rPr>
                <w:rFonts w:hint="eastAsia" w:ascii="宋体" w:hAnsi="宋体" w:eastAsia="宋体" w:cs="宋体"/>
                <w:color w:val="000000" w:themeColor="text1"/>
                <w:sz w:val="24"/>
                <w14:textFill>
                  <w14:solidFill>
                    <w14:schemeClr w14:val="tx1"/>
                  </w14:solidFill>
                </w14:textFill>
              </w:rPr>
            </w:pPr>
          </w:p>
        </w:tc>
        <w:tc>
          <w:tcPr>
            <w:tcW w:w="881" w:type="dxa"/>
            <w:vAlign w:val="center"/>
          </w:tcPr>
          <w:p>
            <w:pPr>
              <w:spacing w:line="360" w:lineRule="exact"/>
              <w:rPr>
                <w:rFonts w:hint="eastAsia" w:ascii="宋体" w:hAnsi="宋体" w:eastAsia="宋体" w:cs="宋体"/>
                <w:color w:val="000000" w:themeColor="text1"/>
                <w:kern w:val="0"/>
                <w:sz w:val="24"/>
                <w14:textFill>
                  <w14:solidFill>
                    <w14:schemeClr w14:val="tx1"/>
                  </w14:solidFill>
                </w14:textFill>
              </w:rPr>
            </w:pPr>
          </w:p>
        </w:tc>
        <w:tc>
          <w:tcPr>
            <w:tcW w:w="580" w:type="dxa"/>
            <w:tcMar>
              <w:top w:w="20" w:type="dxa"/>
              <w:left w:w="20" w:type="dxa"/>
              <w:bottom w:w="0" w:type="dxa"/>
              <w:right w:w="20" w:type="dxa"/>
            </w:tcMar>
            <w:vAlign w:val="center"/>
          </w:tcPr>
          <w:p>
            <w:pPr>
              <w:spacing w:line="360" w:lineRule="exact"/>
              <w:rPr>
                <w:rFonts w:hint="eastAsia" w:ascii="宋体" w:hAnsi="宋体" w:eastAsia="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tcMar>
              <w:top w:w="20" w:type="dxa"/>
              <w:left w:w="20" w:type="dxa"/>
              <w:bottom w:w="0" w:type="dxa"/>
              <w:right w:w="20" w:type="dxa"/>
            </w:tcMar>
            <w:vAlign w:val="center"/>
          </w:tcPr>
          <w:p>
            <w:pPr>
              <w:spacing w:line="36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w:t>
            </w:r>
          </w:p>
        </w:tc>
        <w:tc>
          <w:tcPr>
            <w:tcW w:w="1634" w:type="dxa"/>
            <w:tcMar>
              <w:top w:w="20" w:type="dxa"/>
              <w:left w:w="20" w:type="dxa"/>
              <w:bottom w:w="0" w:type="dxa"/>
              <w:right w:w="20" w:type="dxa"/>
            </w:tcMar>
            <w:vAlign w:val="center"/>
          </w:tcPr>
          <w:p>
            <w:pPr>
              <w:spacing w:line="360" w:lineRule="exact"/>
              <w:rPr>
                <w:rFonts w:hint="eastAsia" w:ascii="宋体" w:hAnsi="宋体" w:eastAsia="宋体" w:cs="宋体"/>
                <w:color w:val="000000" w:themeColor="text1"/>
                <w:sz w:val="24"/>
                <w14:textFill>
                  <w14:solidFill>
                    <w14:schemeClr w14:val="tx1"/>
                  </w14:solidFill>
                </w14:textFill>
              </w:rPr>
            </w:pPr>
          </w:p>
        </w:tc>
        <w:tc>
          <w:tcPr>
            <w:tcW w:w="1701" w:type="dxa"/>
            <w:tcMar>
              <w:top w:w="20" w:type="dxa"/>
              <w:left w:w="20" w:type="dxa"/>
              <w:bottom w:w="0" w:type="dxa"/>
              <w:right w:w="20" w:type="dxa"/>
            </w:tcMar>
            <w:vAlign w:val="center"/>
          </w:tcPr>
          <w:p>
            <w:pPr>
              <w:spacing w:line="360" w:lineRule="exact"/>
              <w:rPr>
                <w:rFonts w:hint="eastAsia" w:ascii="宋体" w:hAnsi="宋体" w:eastAsia="宋体" w:cs="宋体"/>
                <w:color w:val="000000" w:themeColor="text1"/>
                <w:sz w:val="24"/>
                <w14:textFill>
                  <w14:solidFill>
                    <w14:schemeClr w14:val="tx1"/>
                  </w14:solidFill>
                </w14:textFill>
              </w:rPr>
            </w:pPr>
          </w:p>
        </w:tc>
        <w:tc>
          <w:tcPr>
            <w:tcW w:w="1336" w:type="dxa"/>
            <w:tcMar>
              <w:top w:w="20" w:type="dxa"/>
              <w:left w:w="20" w:type="dxa"/>
              <w:bottom w:w="0" w:type="dxa"/>
              <w:right w:w="20" w:type="dxa"/>
            </w:tcMar>
            <w:vAlign w:val="center"/>
          </w:tcPr>
          <w:p>
            <w:pPr>
              <w:spacing w:line="360" w:lineRule="exact"/>
              <w:rPr>
                <w:rFonts w:hint="eastAsia" w:ascii="宋体" w:hAnsi="宋体" w:eastAsia="宋体" w:cs="宋体"/>
                <w:color w:val="000000" w:themeColor="text1"/>
                <w:sz w:val="24"/>
                <w14:textFill>
                  <w14:solidFill>
                    <w14:schemeClr w14:val="tx1"/>
                  </w14:solidFill>
                </w14:textFill>
              </w:rPr>
            </w:pPr>
          </w:p>
        </w:tc>
        <w:tc>
          <w:tcPr>
            <w:tcW w:w="985" w:type="dxa"/>
            <w:tcMar>
              <w:top w:w="20" w:type="dxa"/>
              <w:left w:w="20" w:type="dxa"/>
              <w:bottom w:w="0" w:type="dxa"/>
              <w:right w:w="20" w:type="dxa"/>
            </w:tcMar>
            <w:vAlign w:val="center"/>
          </w:tcPr>
          <w:p>
            <w:pPr>
              <w:spacing w:line="360" w:lineRule="exact"/>
              <w:rPr>
                <w:rFonts w:hint="eastAsia" w:ascii="宋体" w:hAnsi="宋体" w:eastAsia="宋体" w:cs="宋体"/>
                <w:color w:val="000000" w:themeColor="text1"/>
                <w:sz w:val="24"/>
                <w14:textFill>
                  <w14:solidFill>
                    <w14:schemeClr w14:val="tx1"/>
                  </w14:solidFill>
                </w14:textFill>
              </w:rPr>
            </w:pPr>
          </w:p>
        </w:tc>
        <w:tc>
          <w:tcPr>
            <w:tcW w:w="1081" w:type="dxa"/>
            <w:tcMar>
              <w:top w:w="20" w:type="dxa"/>
              <w:left w:w="20" w:type="dxa"/>
              <w:bottom w:w="0" w:type="dxa"/>
              <w:right w:w="20" w:type="dxa"/>
            </w:tcMar>
            <w:vAlign w:val="center"/>
          </w:tcPr>
          <w:p>
            <w:pPr>
              <w:spacing w:line="360" w:lineRule="exact"/>
              <w:rPr>
                <w:rFonts w:hint="eastAsia" w:ascii="宋体" w:hAnsi="宋体" w:eastAsia="宋体" w:cs="宋体"/>
                <w:color w:val="000000" w:themeColor="text1"/>
                <w:sz w:val="24"/>
                <w14:textFill>
                  <w14:solidFill>
                    <w14:schemeClr w14:val="tx1"/>
                  </w14:solidFill>
                </w14:textFill>
              </w:rPr>
            </w:pPr>
          </w:p>
        </w:tc>
        <w:tc>
          <w:tcPr>
            <w:tcW w:w="881" w:type="dxa"/>
            <w:vAlign w:val="center"/>
          </w:tcPr>
          <w:p>
            <w:pPr>
              <w:spacing w:line="360" w:lineRule="exact"/>
              <w:rPr>
                <w:rFonts w:hint="eastAsia" w:ascii="宋体" w:hAnsi="宋体" w:eastAsia="宋体" w:cs="宋体"/>
                <w:color w:val="000000" w:themeColor="text1"/>
                <w:sz w:val="24"/>
                <w14:textFill>
                  <w14:solidFill>
                    <w14:schemeClr w14:val="tx1"/>
                  </w14:solidFill>
                </w14:textFill>
              </w:rPr>
            </w:pPr>
          </w:p>
        </w:tc>
        <w:tc>
          <w:tcPr>
            <w:tcW w:w="580" w:type="dxa"/>
            <w:tcMar>
              <w:top w:w="20" w:type="dxa"/>
              <w:left w:w="20" w:type="dxa"/>
              <w:bottom w:w="0" w:type="dxa"/>
              <w:right w:w="20" w:type="dxa"/>
            </w:tcMar>
            <w:vAlign w:val="center"/>
          </w:tcPr>
          <w:p>
            <w:pPr>
              <w:spacing w:line="360" w:lineRule="exact"/>
              <w:rPr>
                <w:rFonts w:hint="eastAsia" w:ascii="宋体" w:hAnsi="宋体" w:eastAsia="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823" w:type="dxa"/>
            <w:gridSpan w:val="3"/>
            <w:vMerge w:val="restart"/>
            <w:tcMar>
              <w:top w:w="20" w:type="dxa"/>
              <w:left w:w="20" w:type="dxa"/>
              <w:bottom w:w="0" w:type="dxa"/>
              <w:right w:w="20" w:type="dxa"/>
            </w:tcMar>
            <w:vAlign w:val="center"/>
          </w:tcPr>
          <w:p>
            <w:pPr>
              <w:spacing w:line="36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合计(元)</w:t>
            </w:r>
          </w:p>
        </w:tc>
        <w:tc>
          <w:tcPr>
            <w:tcW w:w="4863" w:type="dxa"/>
            <w:gridSpan w:val="5"/>
            <w:tcMar>
              <w:top w:w="20" w:type="dxa"/>
              <w:left w:w="20" w:type="dxa"/>
              <w:bottom w:w="0" w:type="dxa"/>
              <w:right w:w="20" w:type="dxa"/>
            </w:tcMar>
            <w:vAlign w:val="center"/>
          </w:tcPr>
          <w:p>
            <w:pPr>
              <w:spacing w:line="36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大写：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823" w:type="dxa"/>
            <w:gridSpan w:val="3"/>
            <w:vMerge w:val="continue"/>
            <w:tcMar>
              <w:top w:w="20" w:type="dxa"/>
              <w:left w:w="20" w:type="dxa"/>
              <w:bottom w:w="0" w:type="dxa"/>
              <w:right w:w="20" w:type="dxa"/>
            </w:tcMar>
            <w:vAlign w:val="center"/>
          </w:tcPr>
          <w:p>
            <w:pPr>
              <w:spacing w:line="360" w:lineRule="exact"/>
              <w:rPr>
                <w:rFonts w:hint="eastAsia" w:ascii="宋体" w:hAnsi="宋体" w:eastAsia="宋体" w:cs="宋体"/>
                <w:color w:val="000000" w:themeColor="text1"/>
                <w:sz w:val="24"/>
                <w14:textFill>
                  <w14:solidFill>
                    <w14:schemeClr w14:val="tx1"/>
                  </w14:solidFill>
                </w14:textFill>
              </w:rPr>
            </w:pPr>
          </w:p>
        </w:tc>
        <w:tc>
          <w:tcPr>
            <w:tcW w:w="4863" w:type="dxa"/>
            <w:gridSpan w:val="5"/>
            <w:tcMar>
              <w:top w:w="20" w:type="dxa"/>
              <w:left w:w="20" w:type="dxa"/>
              <w:bottom w:w="0" w:type="dxa"/>
              <w:right w:w="20" w:type="dxa"/>
            </w:tcMar>
            <w:vAlign w:val="center"/>
          </w:tcPr>
          <w:p>
            <w:pPr>
              <w:spacing w:line="36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小写：   元</w:t>
            </w:r>
          </w:p>
        </w:tc>
      </w:tr>
    </w:tbl>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 合同总额是指设备到达西安建筑科技大学指定地点、完成验收后的价格，其中已包含货物费（含备品备件费）、包装费、运杂费（含搬运、装卸、保险费等）、工程费、材料费、全部税费、安装调试费等相关费用。</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 合同总额为一次性包死价格，不受市场价格的变化和影响，在合同不发生变更时作为付款结算的依据。</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 设备的技术参数要求</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1.4.1本合同条款下提交货物的技术规格要求应等于或优于招投标文件技术规格要求（设备的技术参数和指标详见附件）。若技术规格要求中无相应规定，则应符合相应的国家有关部门最新颁布的相应正式标准。</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1.4.2乙方应向甲方提供有关标准的中文文本。</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1.4.3除非技术规范中另有规定，计量单位均采用中华人民共和国法定计量单位。</w:t>
      </w:r>
    </w:p>
    <w:p>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 xml:space="preserve">2. 包装运输要求 </w:t>
      </w:r>
    </w:p>
    <w:p>
      <w:pPr>
        <w:spacing w:line="360" w:lineRule="auto"/>
        <w:ind w:left="105" w:firstLine="480" w:firstLineChars="200"/>
        <w:outlineLvl w:val="2"/>
        <w:rPr>
          <w:rFonts w:hint="eastAsia" w:ascii="宋体" w:hAnsi="宋体" w:eastAsia="宋体" w:cs="宋体"/>
          <w:color w:val="000000" w:themeColor="text1"/>
          <w:sz w:val="24"/>
          <w14:textFill>
            <w14:solidFill>
              <w14:schemeClr w14:val="tx1"/>
            </w14:solidFill>
          </w14:textFill>
        </w:rPr>
      </w:pPr>
      <w:bookmarkStart w:id="1" w:name="_Toc87"/>
      <w:r>
        <w:rPr>
          <w:rFonts w:hint="eastAsia" w:ascii="宋体" w:hAnsi="宋体" w:eastAsia="宋体" w:cs="宋体"/>
          <w:color w:val="000000" w:themeColor="text1"/>
          <w:sz w:val="24"/>
          <w14:textFill>
            <w14:solidFill>
              <w14:schemeClr w14:val="tx1"/>
            </w14:solidFill>
          </w14:textFill>
        </w:rPr>
        <w:t>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bookmarkEnd w:id="1"/>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3.交货时间及交货地点</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3.1本项目为交钥匙工程，乙方要提供整套合格产品，切实做好安全防护相关工作。产品交货、安装地点均为甲方指定地点。</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3.2 合同签订后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个工作日内，乙方负责将产品运输到指定地点，并按照验收标准和验收程序完成设备的安装、调试和验收工作。乙方保证运输过程产品包装完好、安装调试及验收时设备外观无划痕，设备质量完好。</w:t>
      </w:r>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4.产品质量保证</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4.1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4.2 乙方提供的设备及配套产品必须等同于或优于合同技术指标要求，并能按国家标准供应、检测、调试，确保产品技术指标满足使用要求。</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4.3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4.4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4.5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4.6产品质量保证期为甲方最终设备验收合格后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年，设备正常使用寿命为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5.技术服务承诺</w:t>
      </w:r>
    </w:p>
    <w:p>
      <w:pPr>
        <w:spacing w:line="360" w:lineRule="auto"/>
        <w:ind w:left="105" w:firstLine="360" w:firstLineChars="150"/>
        <w:outlineLvl w:val="2"/>
        <w:rPr>
          <w:rFonts w:hint="eastAsia" w:ascii="宋体" w:hAnsi="宋体" w:eastAsia="宋体" w:cs="宋体"/>
          <w:color w:val="000000" w:themeColor="text1"/>
          <w:sz w:val="24"/>
          <w14:textFill>
            <w14:solidFill>
              <w14:schemeClr w14:val="tx1"/>
            </w14:solidFill>
          </w14:textFill>
        </w:rPr>
      </w:pPr>
      <w:bookmarkStart w:id="2" w:name="_Toc23387"/>
      <w:r>
        <w:rPr>
          <w:rFonts w:hint="eastAsia" w:ascii="宋体" w:hAnsi="宋体" w:eastAsia="宋体" w:cs="宋体"/>
          <w:color w:val="000000" w:themeColor="text1"/>
          <w:sz w:val="24"/>
          <w14:textFill>
            <w14:solidFill>
              <w14:schemeClr w14:val="tx1"/>
            </w14:solidFill>
          </w14:textFill>
        </w:rPr>
        <w:t>5.1乙方应严格按照供货时间，及时给甲方供货。</w:t>
      </w:r>
      <w:bookmarkEnd w:id="2"/>
    </w:p>
    <w:p>
      <w:pPr>
        <w:spacing w:line="360" w:lineRule="auto"/>
        <w:ind w:left="105" w:firstLine="360" w:firstLineChars="150"/>
        <w:outlineLvl w:val="2"/>
        <w:rPr>
          <w:rFonts w:hint="eastAsia" w:ascii="宋体" w:hAnsi="宋体" w:eastAsia="宋体" w:cs="宋体"/>
          <w:color w:val="000000" w:themeColor="text1"/>
          <w:sz w:val="24"/>
          <w14:textFill>
            <w14:solidFill>
              <w14:schemeClr w14:val="tx1"/>
            </w14:solidFill>
          </w14:textFill>
        </w:rPr>
      </w:pPr>
      <w:bookmarkStart w:id="3" w:name="_Toc16520"/>
      <w:r>
        <w:rPr>
          <w:rFonts w:hint="eastAsia" w:ascii="宋体" w:hAnsi="宋体" w:eastAsia="宋体" w:cs="宋体"/>
          <w:color w:val="000000" w:themeColor="text1"/>
          <w:sz w:val="24"/>
          <w14:textFill>
            <w14:solidFill>
              <w14:schemeClr w14:val="tx1"/>
            </w14:solidFill>
          </w14:textFill>
        </w:rPr>
        <w:t>5.2乙方负责提供仪器设备相应的技术资料，包括产品合格证、产品保修单、安装使用及维护说明书以及运输装箱清单等,并对所有技术材料的真实性、准确性、先进性、完整性负责。</w:t>
      </w:r>
      <w:bookmarkEnd w:id="3"/>
    </w:p>
    <w:p>
      <w:pPr>
        <w:spacing w:line="360" w:lineRule="auto"/>
        <w:ind w:left="105" w:firstLine="360" w:firstLineChars="150"/>
        <w:outlineLvl w:val="2"/>
        <w:rPr>
          <w:rFonts w:hint="eastAsia" w:ascii="宋体" w:hAnsi="宋体" w:eastAsia="宋体" w:cs="宋体"/>
          <w:b/>
          <w:color w:val="000000" w:themeColor="text1"/>
          <w:sz w:val="24"/>
          <w14:textFill>
            <w14:solidFill>
              <w14:schemeClr w14:val="tx1"/>
            </w14:solidFill>
          </w14:textFill>
        </w:rPr>
      </w:pPr>
      <w:bookmarkStart w:id="4" w:name="_Toc13760"/>
      <w:r>
        <w:rPr>
          <w:rFonts w:hint="eastAsia" w:ascii="宋体" w:hAnsi="宋体" w:eastAsia="宋体" w:cs="宋体"/>
          <w:color w:val="000000" w:themeColor="text1"/>
          <w:sz w:val="24"/>
          <w14:textFill>
            <w14:solidFill>
              <w14:schemeClr w14:val="tx1"/>
            </w14:solidFill>
          </w14:textFill>
        </w:rPr>
        <w:t>5.3人员培训：乙方终身免费为甲方培训设备使用人员，培训内容包括：设备操作、维护、简单维修等。</w:t>
      </w:r>
      <w:bookmarkEnd w:id="4"/>
    </w:p>
    <w:p>
      <w:pPr>
        <w:spacing w:line="360" w:lineRule="auto"/>
        <w:ind w:firstLine="480"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5.4</w:t>
      </w:r>
      <w:r>
        <w:rPr>
          <w:rFonts w:hint="eastAsia" w:ascii="宋体" w:hAnsi="宋体" w:eastAsia="宋体" w:cs="宋体"/>
          <w:color w:val="000000" w:themeColor="text1"/>
          <w:sz w:val="24"/>
          <w14:textFill>
            <w14:solidFill>
              <w14:schemeClr w14:val="tx1"/>
            </w14:solidFill>
          </w14:textFill>
        </w:rPr>
        <w:t>售后服务：质保期内乙方对甲方提出的服务响应不得超出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小时。</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5.5具体服务详见乙方投标文件中乙方的承诺书。</w:t>
      </w:r>
    </w:p>
    <w:p>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6.验收方法及标准</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6.1开箱验收</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6.1.1产品运抵现场后，双方应及时开箱验收，并制作验收记录，以确认与本合同约定的数量、型号等是否一致。</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6.1.2 乙方应在交货前对产品的质量、规格、数量等进行详细而全面的检验，并出具证明产品符合合同规定的文件。该文件将作为申请付款单据的一部分，但有关质量、规格、数量的检验不应视为最终检验。</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6.1.3乙方所供设备必须按我国现使用的标准制造，所购标准件和原材料均是国家名牌企业（或用户指定厂家）的合格产品，不会受到其它方提出的专利权、商标权或工业设计权等起诉。其余技术条件完全按照甲方要求。</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6.1.4 开箱验收中如发现产品的数量、规格与合同约定不符，甲方有权拒收产品，乙方应及时按甲方要求免费对拒收产品采取更换或其他必要的补救措施，直至开箱验收合格，方视为乙方完成交货。</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  检验验收</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6.2.1 交货完成后，乙方应及时组装、调试、试运行，按照合同条款规定的试运行完成后，双方及时组织对产品检验验收。合同双方均须派人参加合同要求双方参加的试验、检验。</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6.2.2 在具体实施合同规定的检验验收之前，乙方需提前提交相应的测试计划（包括测试程序、测试内容和检验标准、试验时间安排等）供甲方确认。</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6.2.3  除需甲方确认的试验验收外，乙方还应对所有检验验收测试的结果、步骤、原始数据等作妥善记录。如甲方要求，乙方应提供这些记录给甲方。</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6.2.4  检验测试出现全部或部分未达到本合同所约定的技术指标，甲方有权选择下列任一处理方式：</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a.重新测试直至合格为止；</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b.要求乙方对货物进行免费更换，然后重新测试直至合格为止；</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无论选择何种方式，甲方因此而发生的因乙方原因引起的所有费用均由乙方负担。</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6.3  使用过程检验</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6.3.1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6.3.2如果合同双方对乙方提供的上述试验结果报告的解释有分歧，双方须于出现分歧后10天内给对方声明，以陈述己方的观点。声明须附有关证据。分歧应通过协商解决。</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6.4  所有验收合格，但不能免除乙方应该承担的质保责任。</w:t>
      </w:r>
    </w:p>
    <w:p>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7.合同款项支付方式</w:t>
      </w:r>
    </w:p>
    <w:p>
      <w:pPr>
        <w:pStyle w:val="5"/>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7.1履约保证金：</w:t>
      </w:r>
    </w:p>
    <w:p>
      <w:pPr>
        <w:pStyle w:val="5"/>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供应商成交后凭成交通知书向学校缴纳成交金额的</w:t>
      </w:r>
      <w:r>
        <w:rPr>
          <w:rFonts w:hint="eastAsia" w:ascii="宋体" w:hAnsi="宋体" w:cs="宋体"/>
          <w:color w:val="000000" w:themeColor="text1"/>
          <w:sz w:val="24"/>
          <w:u w:val="single"/>
          <w14:textFill>
            <w14:solidFill>
              <w14:schemeClr w14:val="tx1"/>
            </w14:solidFill>
          </w14:textFill>
        </w:rPr>
        <w:t xml:space="preserve"> 5 </w:t>
      </w:r>
      <w:r>
        <w:rPr>
          <w:rFonts w:ascii="宋体" w:hAnsi="宋体" w:cs="宋体"/>
          <w:color w:val="000000" w:themeColor="text1"/>
          <w:sz w:val="24"/>
          <w14:textFill>
            <w14:solidFill>
              <w14:schemeClr w14:val="tx1"/>
            </w14:solidFill>
          </w14:textFill>
        </w:rPr>
        <w:t>%作为履约保证金，待合同履约完毕后无息退还。</w:t>
      </w:r>
    </w:p>
    <w:p>
      <w:pPr>
        <w:pStyle w:val="5"/>
        <w:spacing w:line="500" w:lineRule="exact"/>
        <w:ind w:firstLine="482" w:firstLineChars="200"/>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7.2合同款支付</w:t>
      </w:r>
    </w:p>
    <w:p>
      <w:pPr>
        <w:pStyle w:val="11"/>
        <w:spacing w:line="360" w:lineRule="auto"/>
        <w:ind w:firstLine="480" w:firstLineChars="200"/>
        <w:jc w:val="both"/>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签订合同后15日内，乙方提供经甲方认可的合同金额100%的预付款保函或双方认可的其他担保措施，</w:t>
      </w:r>
      <w:r>
        <w:rPr>
          <w:rFonts w:ascii="宋体" w:hAnsi="宋体" w:eastAsia="宋体" w:cs="宋体"/>
          <w:color w:val="000000" w:themeColor="text1"/>
          <w:sz w:val="24"/>
          <w:szCs w:val="24"/>
          <w14:textFill>
            <w14:solidFill>
              <w14:schemeClr w14:val="tx1"/>
            </w14:solidFill>
          </w14:textFill>
        </w:rPr>
        <w:t>达到付款条件起10个工作日内，支付合同总金额的100%</w:t>
      </w:r>
      <w:r>
        <w:rPr>
          <w:rFonts w:ascii="宋体" w:hAnsi="宋体" w:eastAsia="宋体" w:cs="宋体"/>
          <w:color w:val="000000" w:themeColor="text1"/>
          <w:sz w:val="24"/>
          <w:szCs w:val="24"/>
          <w:lang w:eastAsia="zh-CN"/>
          <w14:textFill>
            <w14:solidFill>
              <w14:schemeClr w14:val="tx1"/>
            </w14:solidFill>
          </w14:textFill>
        </w:rPr>
        <w:t>。</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7.3最终结算时，乙方须向甲方出具合同总价款的增值税专用发票。</w:t>
      </w:r>
    </w:p>
    <w:p>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8.安全生产和文明施工</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8.1 现场安全文明施工由乙方编制专项详细方案并严格执行。</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8.2 乙方必须认真执行省市有关施工安全生产条例和规定以及甲方管理要求，并做好安全管理工作，避免并杜绝安全事故的发生。如发生安全事故，一切责任与后果均由乙方承担，同时，给甲方造成损失，甲方将视情况对乙方处以相应的经济赔偿。</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8.3 在设备安装施工全过程中，乙方应服从甲方的各项管理，并对乙方施工人员进行安全管理。</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8.4 确保现场建筑物及相关设施设备完好无损，如施工过程中出现损坏，乙方负责修复赔偿。</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8.5 乙方应对安装施工人员相关岗位上岗资格进行审查，并对相关后果负责。</w:t>
      </w:r>
    </w:p>
    <w:p>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9.索赔</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bookmarkStart w:id="5" w:name="_Ref467378076"/>
      <w:r>
        <w:rPr>
          <w:rFonts w:hint="eastAsia" w:ascii="宋体" w:hAnsi="宋体" w:eastAsia="宋体" w:cs="宋体"/>
          <w:color w:val="000000" w:themeColor="text1"/>
          <w:sz w:val="24"/>
          <w14:textFill>
            <w14:solidFill>
              <w14:schemeClr w14:val="tx1"/>
            </w14:solidFill>
          </w14:textFill>
        </w:rPr>
        <w:t>9.2在验收合格前，乙方对甲方提出的索赔负有责任，乙方应按照甲方同意的下列一种或多种方式解决索赔事宜：</w:t>
      </w:r>
      <w:bookmarkEnd w:id="5"/>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9.2.2根据货物低劣程度、损坏程度以及甲方所遭受损失的数额，经甲乙双方商定降低货物的价格，或由有资质的中介机构评估，以降低后的价格或评估价格为准。</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9.2.3用符合规格、质量和性能要求的原厂原装新零件、部件或货物来更换有缺陷的部分或修补缺陷部分，乙方应承担一切费用和风险，并负担甲方所发生的一切直接费用。同时，乙方应相应延长、修补或更换件的质保期。</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bookmarkStart w:id="6" w:name="_Ref127159050"/>
      <w:r>
        <w:rPr>
          <w:rFonts w:hint="eastAsia" w:ascii="宋体" w:hAnsi="宋体" w:eastAsia="宋体" w:cs="宋体"/>
          <w:color w:val="000000" w:themeColor="text1"/>
          <w:sz w:val="24"/>
          <w14:textFill>
            <w14:solidFill>
              <w14:schemeClr w14:val="tx1"/>
            </w14:solidFill>
          </w14:textFill>
        </w:rPr>
        <w:t>9.3乙方收到甲方发出的索赔通知之日起5个工作日内未作答复的，甲方可从合同款或履约保证金中扣回索赔金额，如金额不足以补偿索赔金额，乙方应补足差额部分。</w:t>
      </w:r>
      <w:bookmarkEnd w:id="6"/>
    </w:p>
    <w:p>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10.违约责任</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10.1 合同生效后，甲乙双方应按合同规定认真履约。合同履约责任只涉及合同甲乙双方，不考虑第三方因素。</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10.3如乙方产品质量不符合国家标准、行业内控标准或本合同技术附件要求的，甲方有权退货，乙方应退还全部货款，并承担甲方合同总价款10％的违约金及其他损失。</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10.4 在合同规定的供货期内乙方未全部交货，除应如数补齐外，还应承担合同总款的10％违约金。</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10.5 乙方对货物不按招标文件要求，擅自更换，除恢复原招标产品外，应承担更换部分价款10%的违约金；乙方如对产品材质、随机配品以次充好，除全部按要求恢复外，应承担此部分价款10%的违约金。</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10.6 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10.7 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11.合同争议的解决</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11.1甲乙双方由于本合同的履行而发生任何争议时，双方可先通过协商解决。</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11.2任何一方不愿通过协商或通过协商仍不能解决争议，则双方中任何一方均应向甲方所在地人民法院起诉。</w:t>
      </w:r>
    </w:p>
    <w:p>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12.违约解除合同</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12.1出现下列情形之一的，视为乙方违约。甲方可向乙方发出书面通知，部分或全部终止合同，同时保留向乙方索赔的权利。</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12.1.1乙方未能在合同规定的限期或甲方同意延长的限期内，提供全部或部分货物的； </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12.1.2乙方未能履行合同规定的其它主要义务的；</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12.1.3乙方在本合同履行过程中有欺诈行为的。</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13.其它事项</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13.1 合同经双方签字盖章后生效。本合同一式五份，甲方执四份，乙方执一份，执行完毕后自行失效。</w:t>
      </w:r>
    </w:p>
    <w:p>
      <w:pPr>
        <w:spacing w:line="360" w:lineRule="auto"/>
        <w:ind w:firstLine="470" w:firstLineChars="196"/>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13.2 合同的附件、投标文件均作为本合同不可分割的内容，且具有同等法律效力。合同的附件由甲方使用单位负责审核并签章。</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13.3 在本合同执行过程中，甲、乙双方协商签订的补充合同与原合同具有同等法律效力。</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13.4 未尽事宜，双方协商解决。</w:t>
      </w:r>
    </w:p>
    <w:p>
      <w:pPr>
        <w:snapToGrid w:val="0"/>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p>
    <w:p>
      <w:pPr>
        <w:pStyle w:val="3"/>
        <w:jc w:val="both"/>
        <w:rPr>
          <w:rFonts w:eastAsiaTheme="minorEastAsia"/>
          <w:color w:val="000000" w:themeColor="text1"/>
          <w:lang w:eastAsia="zh-CN"/>
          <w14:textFill>
            <w14:solidFill>
              <w14:schemeClr w14:val="tx1"/>
            </w14:solidFill>
          </w14:textFill>
        </w:rPr>
      </w:pPr>
    </w:p>
    <w:p>
      <w:pPr>
        <w:rPr>
          <w:color w:val="000000" w:themeColor="text1"/>
          <w14:textFill>
            <w14:solidFill>
              <w14:schemeClr w14:val="tx1"/>
            </w14:solidFill>
          </w14:textFill>
        </w:rPr>
      </w:pPr>
    </w:p>
    <w:p>
      <w:pPr>
        <w:pStyle w:val="3"/>
        <w:jc w:val="both"/>
        <w:rPr>
          <w:rFonts w:eastAsiaTheme="minorEastAsia"/>
          <w:color w:val="000000" w:themeColor="text1"/>
          <w:lang w:eastAsia="zh-CN"/>
          <w14:textFill>
            <w14:solidFill>
              <w14:schemeClr w14:val="tx1"/>
            </w14:solidFill>
          </w14:textFill>
        </w:rPr>
      </w:pPr>
    </w:p>
    <w:p>
      <w:pPr>
        <w:rPr>
          <w:color w:val="000000" w:themeColor="text1"/>
          <w14:textFill>
            <w14:solidFill>
              <w14:schemeClr w14:val="tx1"/>
            </w14:solidFill>
          </w14:textFill>
        </w:rPr>
      </w:pPr>
    </w:p>
    <w:p>
      <w:pPr>
        <w:snapToGrid w:val="0"/>
        <w:spacing w:line="480" w:lineRule="exac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合同签订地点：西安建筑科技大学</w:t>
      </w:r>
    </w:p>
    <w:p>
      <w:pPr>
        <w:snapToGrid w:val="0"/>
        <w:spacing w:line="480" w:lineRule="exac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合同签订时间：      年    月    日</w:t>
      </w:r>
    </w:p>
    <w:p>
      <w:pPr>
        <w:snapToGrid w:val="0"/>
        <w:spacing w:line="480" w:lineRule="exact"/>
        <w:rPr>
          <w:rFonts w:hint="eastAsia" w:ascii="宋体" w:hAnsi="宋体" w:eastAsia="宋体" w:cs="宋体"/>
          <w:b/>
          <w:color w:val="000000" w:themeColor="text1"/>
          <w:sz w:val="24"/>
          <w14:textFill>
            <w14:solidFill>
              <w14:schemeClr w14:val="tx1"/>
            </w14:solidFill>
          </w14:textFill>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甲  方（盖章）：西安建筑科技大学</w:t>
            </w:r>
          </w:p>
        </w:tc>
        <w:tc>
          <w:tcPr>
            <w:tcW w:w="4503" w:type="dxa"/>
            <w:vAlign w:val="center"/>
          </w:tcPr>
          <w:p>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乙  方（盖章）：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地  址：西安市雁塔路13号</w:t>
            </w:r>
          </w:p>
        </w:tc>
        <w:tc>
          <w:tcPr>
            <w:tcW w:w="4503" w:type="dxa"/>
            <w:vAlign w:val="center"/>
          </w:tcPr>
          <w:p>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地  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法定代表人（签字）：</w:t>
            </w:r>
          </w:p>
        </w:tc>
        <w:tc>
          <w:tcPr>
            <w:tcW w:w="4503" w:type="dxa"/>
            <w:vAlign w:val="center"/>
          </w:tcPr>
          <w:p>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法定代表人（签字）：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委托代理人（签字）：</w:t>
            </w:r>
          </w:p>
        </w:tc>
        <w:tc>
          <w:tcPr>
            <w:tcW w:w="4503" w:type="dxa"/>
            <w:vAlign w:val="center"/>
          </w:tcPr>
          <w:p>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委托代理人（签字）：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开户名：西安建筑科技大学</w:t>
            </w:r>
          </w:p>
        </w:tc>
        <w:tc>
          <w:tcPr>
            <w:tcW w:w="4503" w:type="dxa"/>
            <w:vAlign w:val="center"/>
          </w:tcPr>
          <w:p>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开户名：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开户行：工行雁塔路支行</w:t>
            </w:r>
          </w:p>
          <w:p>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税  号: 1261000043523106XB</w:t>
            </w:r>
          </w:p>
        </w:tc>
        <w:tc>
          <w:tcPr>
            <w:tcW w:w="4503" w:type="dxa"/>
            <w:vAlign w:val="center"/>
          </w:tcPr>
          <w:p>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开户行：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帐  号：3700023009026400639</w:t>
            </w:r>
          </w:p>
        </w:tc>
        <w:tc>
          <w:tcPr>
            <w:tcW w:w="4503" w:type="dxa"/>
            <w:vAlign w:val="center"/>
          </w:tcPr>
          <w:p>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帐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联系人：</w:t>
            </w:r>
            <w:r>
              <w:rPr>
                <w:rFonts w:hint="eastAsia" w:ascii="宋体" w:hAnsi="宋体" w:eastAsia="宋体" w:cs="宋体"/>
                <w:color w:val="000000" w:themeColor="text1"/>
                <w:sz w:val="24"/>
                <w14:textFill>
                  <w14:solidFill>
                    <w14:schemeClr w14:val="tx1"/>
                  </w14:solidFill>
                </w14:textFill>
              </w:rPr>
              <w:t xml:space="preserve"> 刘世泽</w:t>
            </w:r>
          </w:p>
        </w:tc>
        <w:tc>
          <w:tcPr>
            <w:tcW w:w="4503" w:type="dxa"/>
            <w:vAlign w:val="center"/>
          </w:tcPr>
          <w:p>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联系电话：029-82202312</w:t>
            </w:r>
          </w:p>
        </w:tc>
        <w:tc>
          <w:tcPr>
            <w:tcW w:w="4503" w:type="dxa"/>
            <w:vAlign w:val="center"/>
          </w:tcPr>
          <w:p>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联系电话：</w:t>
            </w:r>
          </w:p>
        </w:tc>
      </w:tr>
    </w:tbl>
    <w:p>
      <w:pPr>
        <w:rPr>
          <w:rFonts w:hint="eastAsia" w:ascii="宋体" w:hAnsi="宋体" w:eastAsia="宋体" w:cs="宋体"/>
          <w:b/>
          <w:color w:val="000000" w:themeColor="text1"/>
          <w:sz w:val="24"/>
          <w14:textFill>
            <w14:solidFill>
              <w14:schemeClr w14:val="tx1"/>
            </w14:solidFill>
          </w14:textFill>
        </w:rPr>
      </w:pPr>
    </w:p>
    <w:p>
      <w:pPr>
        <w:ind w:firstLine="236" w:firstLineChars="98"/>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br w:type="page"/>
      </w:r>
      <w:r>
        <w:rPr>
          <w:rFonts w:hint="eastAsia" w:ascii="宋体" w:hAnsi="宋体" w:eastAsia="宋体" w:cs="宋体"/>
          <w:b/>
          <w:color w:val="000000" w:themeColor="text1"/>
          <w:sz w:val="24"/>
          <w14:textFill>
            <w14:solidFill>
              <w14:schemeClr w14:val="tx1"/>
            </w14:solidFill>
          </w14:textFill>
        </w:rPr>
        <w:t>附件：技术协议</w:t>
      </w:r>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bookmarkStart w:id="7" w:name="_Toc390373038"/>
      <w:bookmarkStart w:id="8" w:name="_Toc390360542"/>
      <w:r>
        <w:rPr>
          <w:rFonts w:hint="eastAsia" w:ascii="宋体" w:hAnsi="宋体" w:eastAsia="宋体" w:cs="宋体"/>
          <w:b/>
          <w:color w:val="000000" w:themeColor="text1"/>
          <w:sz w:val="24"/>
          <w14:textFill>
            <w14:solidFill>
              <w14:schemeClr w14:val="tx1"/>
            </w14:solidFill>
          </w14:textFill>
        </w:rPr>
        <w:t>1.中标产品技术参数明细</w:t>
      </w:r>
    </w:p>
    <w:p>
      <w:pPr>
        <w:spacing w:line="360" w:lineRule="auto"/>
        <w:ind w:firstLine="480"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我公司承诺：合同中数列产品均满足标书及使用要求，无任何负偏离。并与所供产品完全一致。</w:t>
      </w:r>
    </w:p>
    <w:bookmarkEnd w:id="7"/>
    <w:bookmarkEnd w:id="8"/>
    <w:p>
      <w:pPr>
        <w:spacing w:line="360" w:lineRule="auto"/>
        <w:ind w:firstLine="482" w:firstLineChars="200"/>
        <w:rPr>
          <w:rStyle w:val="10"/>
          <w:rFonts w:hint="eastAsia" w:ascii="宋体" w:hAnsi="宋体" w:eastAsia="宋体" w:cs="宋体"/>
          <w:color w:val="000000" w:themeColor="text1"/>
          <w:sz w:val="24"/>
          <w14:textFill>
            <w14:solidFill>
              <w14:schemeClr w14:val="tx1"/>
            </w14:solidFill>
          </w14:textFill>
        </w:rPr>
      </w:pPr>
      <w:r>
        <w:rPr>
          <w:rStyle w:val="10"/>
          <w:rFonts w:hint="eastAsia" w:ascii="宋体" w:hAnsi="宋体" w:eastAsia="宋体" w:cs="宋体"/>
          <w:color w:val="000000" w:themeColor="text1"/>
          <w:sz w:val="24"/>
          <w14:textFill>
            <w14:solidFill>
              <w14:schemeClr w14:val="tx1"/>
            </w14:solidFill>
          </w14:textFill>
        </w:rPr>
        <w:t>1.1设备特性</w:t>
      </w:r>
    </w:p>
    <w:p>
      <w:pPr>
        <w:spacing w:line="360" w:lineRule="auto"/>
        <w:ind w:firstLine="482" w:firstLineChars="200"/>
        <w:rPr>
          <w:rStyle w:val="10"/>
          <w:rFonts w:hint="eastAsia" w:ascii="宋体" w:hAnsi="宋体" w:eastAsia="宋体" w:cs="宋体"/>
          <w:color w:val="000000" w:themeColor="text1"/>
          <w:sz w:val="24"/>
          <w14:textFill>
            <w14:solidFill>
              <w14:schemeClr w14:val="tx1"/>
            </w14:solidFill>
          </w14:textFill>
        </w:rPr>
      </w:pPr>
      <w:r>
        <w:rPr>
          <w:rStyle w:val="10"/>
          <w:rFonts w:hint="eastAsia" w:ascii="宋体" w:hAnsi="宋体" w:eastAsia="宋体" w:cs="宋体"/>
          <w:color w:val="000000" w:themeColor="text1"/>
          <w:sz w:val="24"/>
          <w14:textFill>
            <w14:solidFill>
              <w14:schemeClr w14:val="tx1"/>
            </w14:solidFill>
          </w14:textFill>
        </w:rPr>
        <w:t>1.2</w:t>
      </w:r>
      <w:r>
        <w:rPr>
          <w:rFonts w:hint="eastAsia" w:ascii="宋体" w:hAnsi="宋体" w:eastAsia="宋体" w:cs="宋体"/>
          <w:b/>
          <w:color w:val="000000" w:themeColor="text1"/>
          <w:sz w:val="24"/>
          <w14:textFill>
            <w14:solidFill>
              <w14:schemeClr w14:val="tx1"/>
            </w14:solidFill>
          </w14:textFill>
        </w:rPr>
        <w:t>设备用途</w:t>
      </w:r>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1.3设备主要参数指标</w:t>
      </w:r>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1.4质量要求与安全要求</w:t>
      </w:r>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1.5设备运行一般流程图</w:t>
      </w:r>
    </w:p>
    <w:p>
      <w:pPr>
        <w:spacing w:line="360" w:lineRule="auto"/>
        <w:ind w:firstLine="482" w:firstLineChars="200"/>
        <w:rPr>
          <w:rStyle w:val="10"/>
          <w:rFonts w:hint="eastAsia" w:ascii="宋体" w:hAnsi="宋体" w:eastAsia="宋体" w:cs="宋体"/>
          <w:color w:val="000000" w:themeColor="text1"/>
          <w:sz w:val="24"/>
          <w14:textFill>
            <w14:solidFill>
              <w14:schemeClr w14:val="tx1"/>
            </w14:solidFill>
          </w14:textFill>
        </w:rPr>
      </w:pPr>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2.售后服务内容</w:t>
      </w:r>
      <w:bookmarkStart w:id="9" w:name="_Toc390360557"/>
      <w:bookmarkStart w:id="10" w:name="_Toc390373053"/>
      <w:bookmarkStart w:id="11" w:name="_Toc373263358"/>
    </w:p>
    <w:bookmarkEnd w:id="9"/>
    <w:bookmarkEnd w:id="10"/>
    <w:bookmarkEnd w:id="11"/>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bookmarkStart w:id="12" w:name="_Toc373263359"/>
      <w:bookmarkStart w:id="13" w:name="_Toc390360558"/>
      <w:bookmarkStart w:id="14" w:name="_Toc390373054"/>
      <w:r>
        <w:rPr>
          <w:rFonts w:hint="eastAsia" w:ascii="宋体" w:hAnsi="宋体" w:eastAsia="宋体" w:cs="宋体"/>
          <w:b/>
          <w:color w:val="000000" w:themeColor="text1"/>
          <w:sz w:val="24"/>
          <w14:textFill>
            <w14:solidFill>
              <w14:schemeClr w14:val="tx1"/>
            </w14:solidFill>
          </w14:textFill>
        </w:rPr>
        <w:t>2.1技术服务、售后服务体系、故障响应时间、应急维修措施</w:t>
      </w:r>
      <w:bookmarkEnd w:id="12"/>
      <w:bookmarkEnd w:id="13"/>
      <w:bookmarkEnd w:id="14"/>
    </w:p>
    <w:p>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2.1.1技术服务措施</w:t>
      </w:r>
    </w:p>
    <w:p>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2.1.2售后服务体系</w:t>
      </w:r>
    </w:p>
    <w:p>
      <w:pPr>
        <w:spacing w:line="360" w:lineRule="auto"/>
        <w:ind w:firstLine="480" w:firstLineChars="200"/>
        <w:outlineLvl w:val="0"/>
        <w:rPr>
          <w:rFonts w:hint="eastAsia" w:ascii="宋体" w:hAnsi="宋体" w:eastAsia="宋体" w:cs="宋体"/>
          <w:color w:val="000000" w:themeColor="text1"/>
          <w:sz w:val="24"/>
          <w14:textFill>
            <w14:solidFill>
              <w14:schemeClr w14:val="tx1"/>
            </w14:solidFill>
          </w14:textFill>
        </w:rPr>
      </w:pPr>
      <w:bookmarkStart w:id="15" w:name="_Toc4492"/>
      <w:r>
        <w:rPr>
          <w:rFonts w:hint="eastAsia" w:ascii="宋体" w:hAnsi="宋体" w:eastAsia="宋体" w:cs="宋体"/>
          <w:color w:val="000000" w:themeColor="text1"/>
          <w:sz w:val="24"/>
          <w14:textFill>
            <w14:solidFill>
              <w14:schemeClr w14:val="tx1"/>
            </w14:solidFill>
          </w14:textFill>
        </w:rPr>
        <w:t>质保期内服务</w:t>
      </w:r>
      <w:bookmarkEnd w:id="15"/>
    </w:p>
    <w:p>
      <w:pPr>
        <w:spacing w:line="360" w:lineRule="auto"/>
        <w:ind w:firstLine="480" w:firstLineChars="200"/>
        <w:outlineLvl w:val="0"/>
        <w:rPr>
          <w:rFonts w:hint="eastAsia" w:ascii="宋体" w:hAnsi="宋体" w:eastAsia="宋体" w:cs="宋体"/>
          <w:color w:val="000000" w:themeColor="text1"/>
          <w:sz w:val="24"/>
          <w14:textFill>
            <w14:solidFill>
              <w14:schemeClr w14:val="tx1"/>
            </w14:solidFill>
          </w14:textFill>
        </w:rPr>
      </w:pPr>
      <w:bookmarkStart w:id="16" w:name="_Toc3772"/>
      <w:r>
        <w:rPr>
          <w:rFonts w:hint="eastAsia" w:ascii="宋体" w:hAnsi="宋体" w:eastAsia="宋体" w:cs="宋体"/>
          <w:color w:val="000000" w:themeColor="text1"/>
          <w:sz w:val="24"/>
          <w14:textFill>
            <w14:solidFill>
              <w14:schemeClr w14:val="tx1"/>
            </w14:solidFill>
          </w14:textFill>
        </w:rPr>
        <w:t>质保期外服务</w:t>
      </w:r>
      <w:bookmarkEnd w:id="16"/>
    </w:p>
    <w:p>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2.1.3故障响应时间</w:t>
      </w:r>
    </w:p>
    <w:p>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2.1.4应急维修措施</w:t>
      </w:r>
      <w:bookmarkStart w:id="17" w:name="_Toc390373055"/>
      <w:bookmarkStart w:id="18" w:name="_Toc373263360"/>
      <w:bookmarkStart w:id="19" w:name="_Toc390360559"/>
    </w:p>
    <w:p>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2.1.5易损件、备件的供应</w:t>
      </w:r>
    </w:p>
    <w:p>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2.1.6质保期以外技术支持或技术服务</w:t>
      </w:r>
    </w:p>
    <w:p>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2.1.7制定切实可行的操作规程和使用指南</w:t>
      </w:r>
    </w:p>
    <w:p>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3.培训服务内容</w:t>
      </w:r>
    </w:p>
    <w:p>
      <w:pPr>
        <w:spacing w:line="360" w:lineRule="auto"/>
        <w:ind w:right="210" w:rightChars="100" w:firstLine="482" w:firstLineChars="200"/>
        <w:outlineLvl w:val="3"/>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3.1培训方案</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培训目标和要求</w:t>
      </w:r>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3.2培训对象</w:t>
      </w:r>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3.3培训方式</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3.3.1系统使用培训：</w:t>
      </w:r>
    </w:p>
    <w:p>
      <w:pPr>
        <w:spacing w:line="360" w:lineRule="auto"/>
        <w:ind w:firstLine="480" w:firstLineChars="200"/>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3.3.2培训课程及培训人数：</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3.3.3培训教师安排</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3.3.4培训时间安排</w:t>
      </w:r>
    </w:p>
    <w:p>
      <w:pPr>
        <w:spacing w:line="360" w:lineRule="auto"/>
        <w:ind w:firstLine="480" w:firstLineChars="200"/>
        <w:outlineLvl w:val="1"/>
        <w:rPr>
          <w:rFonts w:hint="eastAsia" w:ascii="宋体" w:hAnsi="宋体" w:eastAsia="宋体" w:cs="宋体"/>
          <w:color w:val="000000" w:themeColor="text1"/>
          <w:sz w:val="24"/>
          <w14:textFill>
            <w14:solidFill>
              <w14:schemeClr w14:val="tx1"/>
            </w14:solidFill>
          </w14:textFill>
        </w:rPr>
      </w:pPr>
      <w:bookmarkStart w:id="20" w:name="_Toc23713"/>
      <w:r>
        <w:rPr>
          <w:rFonts w:hint="eastAsia" w:ascii="宋体" w:hAnsi="宋体" w:eastAsia="宋体" w:cs="宋体"/>
          <w:color w:val="000000" w:themeColor="text1"/>
          <w:sz w:val="24"/>
          <w14:textFill>
            <w14:solidFill>
              <w14:schemeClr w14:val="tx1"/>
            </w14:solidFill>
          </w14:textFill>
        </w:rPr>
        <w:t>3.3.5培训及安全保证</w:t>
      </w:r>
      <w:bookmarkEnd w:id="20"/>
    </w:p>
    <w:p>
      <w:pPr>
        <w:pStyle w:val="7"/>
        <w:spacing w:line="360" w:lineRule="auto"/>
        <w:ind w:firstLine="480"/>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①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② 设备本体对可能造成伤害的部位均应采用防护板或防护网隔离并有醒目警示。</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③ 所用电气元件均按照国标选配，确保稳定安全，符合三防要求。</w:t>
      </w:r>
    </w:p>
    <w:bookmarkEnd w:id="17"/>
    <w:bookmarkEnd w:id="18"/>
    <w:bookmarkEnd w:id="19"/>
    <w:p>
      <w:pPr>
        <w:spacing w:line="440" w:lineRule="exact"/>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p>
    <w:p>
      <w:pPr>
        <w:spacing w:line="440" w:lineRule="exact"/>
        <w:outlineLvl w:val="0"/>
        <w:rPr>
          <w:rFonts w:hint="eastAsia" w:ascii="宋体" w:hAnsi="宋体" w:eastAsia="宋体" w:cs="宋体"/>
          <w:color w:val="000000" w:themeColor="text1"/>
          <w:sz w:val="24"/>
          <w14:textFill>
            <w14:solidFill>
              <w14:schemeClr w14:val="tx1"/>
            </w14:solidFill>
          </w14:textFill>
        </w:rPr>
      </w:pPr>
    </w:p>
    <w:p>
      <w:pPr>
        <w:spacing w:line="440" w:lineRule="exact"/>
        <w:rPr>
          <w:rFonts w:hint="eastAsia" w:ascii="宋体" w:hAnsi="宋体" w:eastAsia="宋体" w:cs="宋体"/>
          <w:b/>
          <w:color w:val="000000" w:themeColor="text1"/>
          <w:sz w:val="24"/>
          <w14:textFill>
            <w14:solidFill>
              <w14:schemeClr w14:val="tx1"/>
            </w14:solidFill>
          </w14:textFill>
        </w:rPr>
      </w:pPr>
    </w:p>
    <w:p>
      <w:pPr>
        <w:spacing w:line="440" w:lineRule="exact"/>
        <w:rPr>
          <w:rFonts w:hint="eastAsia" w:ascii="宋体" w:hAnsi="宋体" w:eastAsia="宋体" w:cs="宋体"/>
          <w:b/>
          <w:color w:val="000000" w:themeColor="text1"/>
          <w:sz w:val="24"/>
          <w14:textFill>
            <w14:solidFill>
              <w14:schemeClr w14:val="tx1"/>
            </w14:solidFill>
          </w14:textFill>
        </w:rPr>
      </w:pPr>
      <w:bookmarkStart w:id="21" w:name="_Toc345966650"/>
      <w:bookmarkStart w:id="22" w:name="_Toc345966825"/>
      <w:bookmarkStart w:id="23" w:name="_Toc346025578"/>
    </w:p>
    <w:p>
      <w:pPr>
        <w:pStyle w:val="12"/>
        <w:numPr>
          <w:ilvl w:val="1"/>
          <w:numId w:val="1"/>
        </w:numPr>
        <w:spacing w:line="440" w:lineRule="exact"/>
        <w:ind w:left="0" w:firstLine="0" w:firstLineChars="0"/>
        <w:rPr>
          <w:rFonts w:hint="eastAsia" w:ascii="宋体" w:hAnsi="宋体" w:cs="宋体"/>
          <w:b/>
          <w:vanish/>
          <w:color w:val="000000" w:themeColor="text1"/>
          <w:sz w:val="24"/>
          <w:szCs w:val="24"/>
          <w14:textFill>
            <w14:solidFill>
              <w14:schemeClr w14:val="tx1"/>
            </w14:solidFill>
          </w14:textFill>
        </w:rPr>
      </w:pPr>
    </w:p>
    <w:p>
      <w:pPr>
        <w:pStyle w:val="12"/>
        <w:numPr>
          <w:ilvl w:val="1"/>
          <w:numId w:val="1"/>
        </w:numPr>
        <w:spacing w:line="440" w:lineRule="exact"/>
        <w:ind w:left="0" w:firstLine="0" w:firstLineChars="0"/>
        <w:rPr>
          <w:rFonts w:hint="eastAsia" w:ascii="宋体" w:hAnsi="宋体" w:cs="宋体"/>
          <w:b/>
          <w:vanish/>
          <w:color w:val="000000" w:themeColor="text1"/>
          <w:sz w:val="24"/>
          <w:szCs w:val="24"/>
          <w14:textFill>
            <w14:solidFill>
              <w14:schemeClr w14:val="tx1"/>
            </w14:solidFill>
          </w14:textFill>
        </w:rPr>
      </w:pPr>
    </w:p>
    <w:p>
      <w:pPr>
        <w:pStyle w:val="12"/>
        <w:numPr>
          <w:ilvl w:val="1"/>
          <w:numId w:val="1"/>
        </w:numPr>
        <w:spacing w:line="440" w:lineRule="exact"/>
        <w:ind w:left="0" w:firstLine="0" w:firstLineChars="0"/>
        <w:rPr>
          <w:rFonts w:hint="eastAsia" w:ascii="宋体" w:hAnsi="宋体" w:cs="宋体"/>
          <w:b/>
          <w:vanish/>
          <w:color w:val="000000" w:themeColor="text1"/>
          <w:sz w:val="24"/>
          <w:szCs w:val="24"/>
          <w14:textFill>
            <w14:solidFill>
              <w14:schemeClr w14:val="tx1"/>
            </w14:solidFill>
          </w14:textFill>
        </w:rPr>
      </w:pPr>
    </w:p>
    <w:p>
      <w:pPr>
        <w:pStyle w:val="12"/>
        <w:numPr>
          <w:ilvl w:val="1"/>
          <w:numId w:val="1"/>
        </w:numPr>
        <w:spacing w:line="440" w:lineRule="exact"/>
        <w:ind w:left="0" w:firstLine="0" w:firstLineChars="0"/>
        <w:rPr>
          <w:rFonts w:hint="eastAsia" w:ascii="宋体" w:hAnsi="宋体" w:cs="宋体"/>
          <w:b/>
          <w:vanish/>
          <w:color w:val="000000" w:themeColor="text1"/>
          <w:sz w:val="24"/>
          <w:szCs w:val="24"/>
          <w14:textFill>
            <w14:solidFill>
              <w14:schemeClr w14:val="tx1"/>
            </w14:solidFill>
          </w14:textFill>
        </w:rPr>
      </w:pPr>
    </w:p>
    <w:bookmarkEnd w:id="21"/>
    <w:bookmarkEnd w:id="22"/>
    <w:bookmarkEnd w:id="23"/>
    <w:p>
      <w:pPr>
        <w:spacing w:line="440" w:lineRule="exact"/>
        <w:rPr>
          <w:rFonts w:hint="eastAsia" w:ascii="宋体" w:hAnsi="宋体" w:eastAsia="宋体" w:cs="宋体"/>
          <w:color w:val="000000" w:themeColor="text1"/>
          <w:sz w:val="24"/>
          <w14:textFill>
            <w14:solidFill>
              <w14:schemeClr w14:val="tx1"/>
            </w14:solidFill>
          </w14:textFill>
        </w:rPr>
      </w:pPr>
    </w:p>
    <w:p>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p>
    <w:p>
      <w:pPr>
        <w:widowControl/>
        <w:spacing w:before="100" w:beforeAutospacing="1" w:after="100" w:afterAutospacing="1" w:line="320" w:lineRule="exac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甲方使用单位：西安建筑科技大学XX学院</w:t>
      </w:r>
      <w:r>
        <w:rPr>
          <w:rFonts w:hint="eastAsia" w:ascii="宋体" w:hAnsi="宋体" w:eastAsia="宋体" w:cs="宋体"/>
          <w:b/>
          <w:color w:val="000000" w:themeColor="text1"/>
          <w:sz w:val="24"/>
          <w14:textFill>
            <w14:solidFill>
              <w14:schemeClr w14:val="tx1"/>
            </w14:solidFill>
          </w14:textFill>
        </w:rPr>
        <w:tab/>
      </w:r>
      <w:r>
        <w:rPr>
          <w:rFonts w:hint="eastAsia" w:ascii="宋体" w:hAnsi="宋体" w:eastAsia="宋体" w:cs="宋体"/>
          <w:b/>
          <w:color w:val="000000" w:themeColor="text1"/>
          <w:sz w:val="24"/>
          <w14:textFill>
            <w14:solidFill>
              <w14:schemeClr w14:val="tx1"/>
            </w14:solidFill>
          </w14:textFill>
        </w:rPr>
        <w:t xml:space="preserve">          乙方： </w:t>
      </w:r>
    </w:p>
    <w:p>
      <w:pPr>
        <w:adjustRightInd w:val="0"/>
        <w:snapToGrid w:val="0"/>
        <w:rPr>
          <w:rFonts w:hint="eastAsia" w:ascii="宋体" w:hAnsi="宋体" w:eastAsia="宋体" w:cs="宋体"/>
          <w:b/>
          <w:color w:val="000000" w:themeColor="text1"/>
          <w:sz w:val="24"/>
          <w14:textFill>
            <w14:solidFill>
              <w14:schemeClr w14:val="tx1"/>
            </w14:solidFill>
          </w14:textFill>
        </w:rPr>
      </w:pPr>
    </w:p>
    <w:p>
      <w:pPr>
        <w:adjustRightInd w:val="0"/>
        <w:snapToGrid w:val="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负责人：                                        负责人：</w:t>
      </w:r>
    </w:p>
    <w:p>
      <w:bookmarkStart w:id="24" w:name="_GoBack"/>
      <w:bookmarkEnd w:id="24"/>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posOffset>2438400</wp:posOffset>
              </wp:positionH>
              <wp:positionV relativeFrom="paragraph">
                <wp:posOffset>2540</wp:posOffset>
              </wp:positionV>
              <wp:extent cx="809625" cy="200025"/>
              <wp:effectExtent l="0" t="0" r="0" b="0"/>
              <wp:wrapNone/>
              <wp:docPr id="2" name="文本框 2"/>
              <wp:cNvGraphicFramePr/>
              <a:graphic xmlns:a="http://schemas.openxmlformats.org/drawingml/2006/main">
                <a:graphicData uri="http://schemas.microsoft.com/office/word/2010/wordprocessingShape">
                  <wps:wsp>
                    <wps:cNvSpPr txBox="1"/>
                    <wps:spPr>
                      <a:xfrm>
                        <a:off x="0" y="0"/>
                        <a:ext cx="809625" cy="2000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192pt;margin-top:0.2pt;height:15.75pt;width:63.75pt;mso-position-horizontal-relative:margin;z-index:251659264;mso-width-relative:page;mso-height-relative:page;" filled="f" stroked="f" coordsize="21600,21600" o:gfxdata="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4GeLdYAAAAHAQAADwAAAAAAAAABACAAAAAiAAAAZHJzL2Rvd25yZXYueG1sUEsB&#10;AhQAFAAAAAgAh07iQONQDXowAgAAVQQAAA4AAAAAAAAAAQAgAAAAJQEAAGRycy9lMm9Eb2MueG1s&#10;UEsFBgAAAAAGAAYAWQEAAMcFAAAAAA==&#10;">
              <v:fill on="f" focussize="0,0"/>
              <v:stroke on="f" weight="0.5pt"/>
              <v:imagedata o:title=""/>
              <o:lock v:ext="edit" aspectratio="f"/>
              <v:textbox inset="0mm,0mm,0mm,0mm">
                <w:txbxContent>
                  <w:p>
                    <w:pPr>
                      <w:pStyle w:val="6"/>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412A033A"/>
    <w:rsid w:val="58176558"/>
    <w:rsid w:val="77F44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Body Text Indent 2"/>
    <w:basedOn w:val="1"/>
    <w:qFormat/>
    <w:uiPriority w:val="0"/>
    <w:pPr>
      <w:spacing w:after="120" w:line="480" w:lineRule="auto"/>
      <w:ind w:left="420" w:leftChars="200"/>
    </w:pPr>
    <w:rPr>
      <w:rFonts w:ascii="Times New Roman" w:hAnsi="Times New Roman" w:eastAsia="宋体" w:cs="Times New Roman"/>
    </w:rPr>
  </w:style>
  <w:style w:type="paragraph" w:styleId="6">
    <w:name w:val="footer"/>
    <w:basedOn w:val="1"/>
    <w:next w:val="3"/>
    <w:qFormat/>
    <w:uiPriority w:val="0"/>
    <w:pPr>
      <w:tabs>
        <w:tab w:val="center" w:pos="4153"/>
        <w:tab w:val="right" w:pos="8306"/>
      </w:tabs>
      <w:snapToGrid w:val="0"/>
      <w:jc w:val="left"/>
    </w:pPr>
    <w:rPr>
      <w:sz w:val="18"/>
      <w:szCs w:val="18"/>
    </w:rPr>
  </w:style>
  <w:style w:type="paragraph" w:styleId="7">
    <w:name w:val="Body Text First Indent 2"/>
    <w:basedOn w:val="4"/>
    <w:qFormat/>
    <w:uiPriority w:val="0"/>
    <w:pPr>
      <w:ind w:firstLine="420" w:firstLineChars="200"/>
    </w:pPr>
  </w:style>
  <w:style w:type="character" w:styleId="10">
    <w:name w:val="Strong"/>
    <w:basedOn w:val="9"/>
    <w:qFormat/>
    <w:uiPriority w:val="22"/>
    <w:rPr>
      <w:b/>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styleId="12">
    <w:name w:val="List Paragraph"/>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5593</Words>
  <Characters>5934</Characters>
  <Lines>0</Lines>
  <Paragraphs>0</Paragraphs>
  <TotalTime>0</TotalTime>
  <ScaleCrop>false</ScaleCrop>
  <LinksUpToDate>false</LinksUpToDate>
  <CharactersWithSpaces>6119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2026-05-22T07:13:00Z</dcterms:created>
  <dc:creator>123</dc:creator>
  <cp:lastModifiedBy>小杨</cp:lastModifiedBy>
  <dcterms:modified xsi:type="dcterms:W3CDTF">2026-08-19T08:40:01Z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4B551004C8A4454DB085C10236A5444B_12</vt:lpwstr>
  </property>
</Properties>
</file>