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版本号：HYTF-20260604120260708001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DRG综合管理系统及智能审核平台建设项目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HYTF-202606041</w:t>
      </w:r>
      <w:r>
        <w:br/>
      </w:r>
      <w:r>
        <w:br/>
      </w:r>
      <w:r>
        <w:br/>
      </w:r>
    </w:p>
    <w:p>
      <w:pPr>
        <w:pStyle w:val="null3"/>
        <w:jc w:val="center"/>
        <w:outlineLvl w:val="2"/>
      </w:pPr>
      <w:r>
        <w:rPr>
          <w:rFonts w:ascii="仿宋_GB2312" w:hAnsi="仿宋_GB2312" w:cs="仿宋_GB2312" w:eastAsia="仿宋_GB2312"/>
          <w:sz w:val="28"/>
          <w:b/>
        </w:rPr>
        <w:t>西安市临潼区人民医院</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西安市临潼区人民医院</w:t>
      </w:r>
      <w:r>
        <w:rPr>
          <w:rFonts w:ascii="仿宋_GB2312" w:hAnsi="仿宋_GB2312" w:cs="仿宋_GB2312" w:eastAsia="仿宋_GB2312"/>
        </w:rPr>
        <w:t>委托，拟对</w:t>
      </w:r>
      <w:r>
        <w:rPr>
          <w:rFonts w:ascii="仿宋_GB2312" w:hAnsi="仿宋_GB2312" w:cs="仿宋_GB2312" w:eastAsia="仿宋_GB2312"/>
        </w:rPr>
        <w:t>DRG综合管理系统及智能审核平台建设项目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HYTF-202606041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DRG综合管理系统及智能审核平台建设项目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西安市临潼区人民医院DRG综合管理系统及智能审核平台建设项目，分为2个采购包。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3、基本资格条件承诺函：供应商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w:t>
      </w:r>
    </w:p>
    <w:p>
      <w:pPr>
        <w:pStyle w:val="null3"/>
      </w:pPr>
      <w:r>
        <w:rPr>
          <w:rFonts w:ascii="仿宋_GB2312" w:hAnsi="仿宋_GB2312" w:cs="仿宋_GB2312" w:eastAsia="仿宋_GB2312"/>
        </w:rPr>
        <w:t>4、法律、行政法规规定的其他条件：具备法律、行政法规规定的其他条件的证明材料；</w:t>
      </w:r>
    </w:p>
    <w:p>
      <w:pPr>
        <w:pStyle w:val="null3"/>
      </w:pPr>
      <w:r>
        <w:rPr>
          <w:rFonts w:ascii="仿宋_GB2312" w:hAnsi="仿宋_GB2312" w:cs="仿宋_GB2312" w:eastAsia="仿宋_GB2312"/>
        </w:rPr>
        <w:t>5、本项目不接受联合体投标，不允许分包：本项目不接受联合体投标，不允许分包。供应商提供《非联合体不分包投标声明》，视为独立投标，不分包。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3、基本资格条件承诺函：供应商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w:t>
      </w:r>
    </w:p>
    <w:p>
      <w:pPr>
        <w:pStyle w:val="null3"/>
      </w:pPr>
      <w:r>
        <w:rPr>
          <w:rFonts w:ascii="仿宋_GB2312" w:hAnsi="仿宋_GB2312" w:cs="仿宋_GB2312" w:eastAsia="仿宋_GB2312"/>
        </w:rPr>
        <w:t>4、法律、行政法规规定的其他条件：具备法律、行政法规规定的其他条件的证明材料；</w:t>
      </w:r>
    </w:p>
    <w:p>
      <w:pPr>
        <w:pStyle w:val="null3"/>
      </w:pPr>
      <w:r>
        <w:rPr>
          <w:rFonts w:ascii="仿宋_GB2312" w:hAnsi="仿宋_GB2312" w:cs="仿宋_GB2312" w:eastAsia="仿宋_GB2312"/>
        </w:rPr>
        <w:t>5、本项目不接受联合体投标，不允许分包：本项目不接受联合体投标，不允许分包。供应商提供《非联合体不分包投标声明》，视为独立投标，不分包。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西安市临潼区西关正街2号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029-83827516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采购包2：440,000.00元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代理服务费收费标准：各包采购代理服务费参照《国家计委关于印发&lt;招标代理服务收费管理暂行办法&gt;的通知》（计价格[2002]1980号）文件和（发改办价格[2011]534号）文件规定的标准收取。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西安市临潼区人民医院</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联系人：李亚容、赵维</w:t>
      </w:r>
    </w:p>
    <w:p>
      <w:pPr>
        <w:pStyle w:val="null3"/>
      </w:pPr>
      <w:r>
        <w:rPr>
          <w:rFonts w:ascii="仿宋_GB2312" w:hAnsi="仿宋_GB2312" w:cs="仿宋_GB2312" w:eastAsia="仿宋_GB2312"/>
        </w:rPr>
        <w:t>联系电话：029-89284433-606</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西安市临潼区人民医院DRG综合管理系统及智能审核平台建设项目，分为2个采购包。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DRG综合管理系统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440,000.00</w:t>
      </w:r>
    </w:p>
    <w:p>
      <w:pPr>
        <w:pStyle w:val="null3"/>
      </w:pPr>
      <w:r>
        <w:rPr>
          <w:rFonts w:ascii="仿宋_GB2312" w:hAnsi="仿宋_GB2312" w:cs="仿宋_GB2312" w:eastAsia="仿宋_GB2312"/>
        </w:rPr>
        <w:t>采购包最高限价（元）: 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智能审核平台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标的名称：DRG综合管理系统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1"/>
            </w:pPr>
            <w:r>
              <w:rPr>
                <w:rFonts w:ascii="仿宋_GB2312" w:hAnsi="仿宋_GB2312" w:cs="仿宋_GB2312" w:eastAsia="仿宋_GB2312"/>
                <w:sz w:val="20"/>
                <w:b/>
              </w:rPr>
              <w:t>结算清单管理系统建设需求</w:t>
            </w:r>
          </w:p>
          <w:tbl>
            <w:tblPr>
              <w:tblInd w:type="dxa" w:w="270"/>
              <w:tblBorders>
                <w:top w:val="none" w:color="000000" w:sz="4"/>
                <w:left w:val="none" w:color="000000" w:sz="4"/>
                <w:bottom w:val="none" w:color="000000" w:sz="4"/>
                <w:right w:val="none" w:color="000000" w:sz="4"/>
                <w:insideH w:val="none"/>
                <w:insideV w:val="none"/>
              </w:tblBorders>
            </w:tblPr>
            <w:tblGrid>
              <w:gridCol w:w="155"/>
              <w:gridCol w:w="230"/>
              <w:gridCol w:w="282"/>
              <w:gridCol w:w="381"/>
              <w:gridCol w:w="1493"/>
            </w:tblGrid>
            <w:tr>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序号</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系统</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功能模块</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细分功能</w:t>
                  </w:r>
                </w:p>
              </w:tc>
              <w:tc>
                <w:tcPr>
                  <w:tcW w:type="dxa" w:w="1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功能描述</w:t>
                  </w:r>
                </w:p>
              </w:tc>
            </w:tr>
            <w:tr>
              <w:tc>
                <w:tcPr>
                  <w:tcW w:type="dxa" w:w="1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临床端</w:t>
                  </w: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质控工具</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结算清单预览</w:t>
                  </w:r>
                </w:p>
              </w:tc>
              <w:tc>
                <w:tcPr>
                  <w:tcW w:type="dxa" w:w="14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临床医生或病案科，进行在院</w:t>
                  </w:r>
                  <w:r>
                    <w:rPr>
                      <w:rFonts w:ascii="仿宋_GB2312" w:hAnsi="仿宋_GB2312" w:cs="仿宋_GB2312" w:eastAsia="仿宋_GB2312"/>
                      <w:sz w:val="20"/>
                      <w:color w:val="000000"/>
                    </w:rPr>
                    <w:t>/出院患者病例完善提交，调用结算清单接口，系统自动质控，根据质控结果返回URL链接提供给临床端；界面支持进行清单预览、清单质控结果查看，清单预分组结果查看。临床医生可根据质控结果返回his系统进行信息的修正。</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结算清单质控</w:t>
                  </w:r>
                </w:p>
              </w:tc>
              <w:tc>
                <w:tcPr>
                  <w:tcW w:type="dxa" w:w="1493"/>
                  <w:vMerge/>
                  <w:tcBorders>
                    <w:top w:val="none" w:color="000000" w:sz="4"/>
                    <w:left w:val="singl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结算清单预分组</w:t>
                  </w:r>
                </w:p>
              </w:tc>
              <w:tc>
                <w:tcPr>
                  <w:tcW w:type="dxa" w:w="1493"/>
                  <w:vMerge/>
                  <w:tcBorders>
                    <w:top w:val="none" w:color="000000" w:sz="4"/>
                    <w:left w:val="single" w:color="000000" w:sz="4"/>
                    <w:bottom w:val="single" w:color="000000" w:sz="4"/>
                    <w:right w:val="single" w:color="000000" w:sz="4"/>
                  </w:tcBorders>
                </w:tcPr>
                <w:p/>
              </w:tc>
            </w:tr>
            <w:tr>
              <w:tc>
                <w:tcPr>
                  <w:tcW w:type="dxa" w:w="1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管理端</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系统首页</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住院病例结算清单的统计预览</w:t>
                  </w:r>
                </w:p>
                <w:p>
                  <w:pPr>
                    <w:pStyle w:val="null3"/>
                    <w:jc w:val="both"/>
                  </w:pPr>
                  <w:r>
                    <w:rPr>
                      <w:rFonts w:ascii="仿宋_GB2312" w:hAnsi="仿宋_GB2312" w:cs="仿宋_GB2312" w:eastAsia="仿宋_GB2312"/>
                      <w:sz w:val="20"/>
                      <w:color w:val="000000"/>
                    </w:rPr>
                    <w:t>数据下钻</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1.按照指定时间区间，进行总体清单数、机审违规及违规占比统计、归档进展统计、归档上传统计、清单评分前后均分的比对、清单入组情况分析及入组率统计。</w:t>
                  </w:r>
                </w:p>
                <w:p>
                  <w:pPr>
                    <w:pStyle w:val="null3"/>
                    <w:jc w:val="both"/>
                  </w:pPr>
                  <w:r>
                    <w:rPr>
                      <w:rFonts w:ascii="仿宋_GB2312" w:hAnsi="仿宋_GB2312" w:cs="仿宋_GB2312" w:eastAsia="仿宋_GB2312"/>
                      <w:sz w:val="20"/>
                      <w:color w:val="000000"/>
                    </w:rPr>
                    <w:t>2.系统提供按照违规规则统计、按照科室等维度统计机审违规及人工反馈top值，支持跳转查看违规明细信息。</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清单审核及质控</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清单审核流程设置</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支持根据用户管理需要，后台配置清单管理流程，可包括初审</w:t>
                  </w:r>
                  <w:r>
                    <w:rPr>
                      <w:rFonts w:ascii="仿宋_GB2312" w:hAnsi="仿宋_GB2312" w:cs="仿宋_GB2312" w:eastAsia="仿宋_GB2312"/>
                      <w:sz w:val="20"/>
                      <w:color w:val="000000"/>
                    </w:rPr>
                    <w:t>-复审-三审-四审-终审等；</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清单质控</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支持查看清单质控结果（正常</w:t>
                  </w:r>
                  <w:r>
                    <w:rPr>
                      <w:rFonts w:ascii="仿宋_GB2312" w:hAnsi="仿宋_GB2312" w:cs="仿宋_GB2312" w:eastAsia="仿宋_GB2312"/>
                      <w:sz w:val="20"/>
                      <w:color w:val="000000"/>
                    </w:rPr>
                    <w:t>\违规），选中单条清单数据，可查看清单原始数据信息及清单的质控违规提示；支持对接医保平台展示医保质控结果信息；</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清单查看</w:t>
                  </w:r>
                  <w:r>
                    <w:rPr>
                      <w:rFonts w:ascii="仿宋_GB2312" w:hAnsi="仿宋_GB2312" w:cs="仿宋_GB2312" w:eastAsia="仿宋_GB2312"/>
                      <w:sz w:val="20"/>
                      <w:color w:val="000000"/>
                    </w:rPr>
                    <w:t>/编辑</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在各级审核节点，按照用户操作权限，可点击查看</w:t>
                  </w:r>
                  <w:r>
                    <w:rPr>
                      <w:rFonts w:ascii="仿宋_GB2312" w:hAnsi="仿宋_GB2312" w:cs="仿宋_GB2312" w:eastAsia="仿宋_GB2312"/>
                      <w:sz w:val="20"/>
                      <w:color w:val="000000"/>
                    </w:rPr>
                    <w:t>\编辑进行清单的预览及编辑，用户在线进行清单编辑后可实时调用清单质控引擎、分组引擎、拨付引擎进行修正后结算清单的质控、模拟分组、预估拨付结果及清单评分，可上下翻页灵活切换清单；</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清单分组前后比对</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清单列表展示结算清单修正前后的入组情，可用于修正前后的比对</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清单审核</w:t>
                  </w:r>
                  <w:r>
                    <w:rPr>
                      <w:rFonts w:ascii="仿宋_GB2312" w:hAnsi="仿宋_GB2312" w:cs="仿宋_GB2312" w:eastAsia="仿宋_GB2312"/>
                      <w:sz w:val="20"/>
                      <w:color w:val="000000"/>
                    </w:rPr>
                    <w:t>/反馈</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1.支持结算清单的单条/批量的审核通过；</w:t>
                  </w:r>
                </w:p>
                <w:p>
                  <w:pPr>
                    <w:pStyle w:val="null3"/>
                    <w:jc w:val="both"/>
                  </w:pPr>
                  <w:r>
                    <w:rPr>
                      <w:rFonts w:ascii="仿宋_GB2312" w:hAnsi="仿宋_GB2312" w:cs="仿宋_GB2312" w:eastAsia="仿宋_GB2312"/>
                      <w:sz w:val="20"/>
                      <w:color w:val="000000"/>
                    </w:rPr>
                    <w:t>2.清单审核过程中，若存在错填漏填等违规信息，用户可进行反馈意见的填写并反馈至前置审核节点，前置审核节点用户可进行清单的调整与补充，重新进行数据审核流转；</w:t>
                  </w:r>
                </w:p>
                <w:p>
                  <w:pPr>
                    <w:pStyle w:val="null3"/>
                    <w:jc w:val="both"/>
                  </w:pPr>
                  <w:r>
                    <w:rPr>
                      <w:rFonts w:ascii="仿宋_GB2312" w:hAnsi="仿宋_GB2312" w:cs="仿宋_GB2312" w:eastAsia="仿宋_GB2312"/>
                      <w:sz w:val="20"/>
                      <w:color w:val="000000"/>
                    </w:rPr>
                    <w:t>3.审核无误的清单，可进行单条/批量数据的审核通过操作，提交至下一个节点。</w:t>
                  </w:r>
                </w:p>
                <w:p>
                  <w:pPr>
                    <w:pStyle w:val="null3"/>
                    <w:ind w:left="330"/>
                    <w:jc w:val="both"/>
                  </w:pP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清单归档上传</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清单归档</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终审完成后，结算清单进行自动归档，不支持修改；支持清单预览；</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清单导出</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支持归档清单打印、导出</w:t>
                  </w:r>
                  <w:r>
                    <w:rPr>
                      <w:rFonts w:ascii="仿宋_GB2312" w:hAnsi="仿宋_GB2312" w:cs="仿宋_GB2312" w:eastAsia="仿宋_GB2312"/>
                      <w:sz w:val="20"/>
                      <w:color w:val="000000"/>
                    </w:rPr>
                    <w:t>pdf</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结算清单上传</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结算清单确认无误后，可进行单条</w:t>
                  </w:r>
                  <w:r>
                    <w:rPr>
                      <w:rFonts w:ascii="仿宋_GB2312" w:hAnsi="仿宋_GB2312" w:cs="仿宋_GB2312" w:eastAsia="仿宋_GB2312"/>
                      <w:sz w:val="20"/>
                      <w:color w:val="000000"/>
                    </w:rPr>
                    <w:t>/批量，定时或手动上传医保，根据医保上传质控结果更新上传状态，若清单未上传/上传失败/审核不通过时，均支持主动或被动撤档，将结算清单撤回审核流程中，支持结算清单的修改编辑，修正完成可重新审核归档，上传医保。</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医保查询</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支持对接医保平台对本院上传的清单数量进行查询，帮助医院实时掌控院内清单上传情况。查询数据包括：未提交数量、已提交数量、审核通过数量、审核不通过数量、医院上传数量、应上传数量；</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DRG/DIP退出申请</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DRG/DIP退出申请</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支持对已经上传至医保的结算清单进行申请退出</w:t>
                  </w:r>
                  <w:r>
                    <w:rPr>
                      <w:rFonts w:ascii="仿宋_GB2312" w:hAnsi="仿宋_GB2312" w:cs="仿宋_GB2312" w:eastAsia="仿宋_GB2312"/>
                      <w:sz w:val="20"/>
                      <w:color w:val="000000"/>
                    </w:rPr>
                    <w:t>DRG/DIP结算，支持选择退出类型、上传退出原因，申请后支持查看申请进度、申请结果、撤销申请</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医保反馈</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医保反馈数据导入</w:t>
                  </w:r>
                </w:p>
                <w:p>
                  <w:pPr>
                    <w:pStyle w:val="null3"/>
                    <w:jc w:val="both"/>
                  </w:pPr>
                  <w:r>
                    <w:rPr>
                      <w:rFonts w:ascii="仿宋_GB2312" w:hAnsi="仿宋_GB2312" w:cs="仿宋_GB2312" w:eastAsia="仿宋_GB2312"/>
                      <w:sz w:val="20"/>
                      <w:color w:val="000000"/>
                    </w:rPr>
                    <w:t>差异比对</w:t>
                  </w:r>
                </w:p>
                <w:p>
                  <w:pPr>
                    <w:pStyle w:val="null3"/>
                    <w:jc w:val="both"/>
                  </w:pP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按结算月度进行数据归集，根据反馈信息与清单分组、主诊断、主手术的对比差异及医保分组费用及医疗总费用的对比差异，进行确认是否申诉</w:t>
                  </w:r>
                  <w:r>
                    <w:rPr>
                      <w:rFonts w:ascii="仿宋_GB2312" w:hAnsi="仿宋_GB2312" w:cs="仿宋_GB2312" w:eastAsia="仿宋_GB2312"/>
                      <w:sz w:val="20"/>
                      <w:color w:val="000000"/>
                    </w:rPr>
                    <w:t>/退回审核，如申诉可在线填写申诉材料，反馈医保，如退回审核则可选择退回的审核节点，填写退回原因，退回至对应节点后重新进行修改审核及上传。</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医保结算数据导入</w:t>
                  </w:r>
                </w:p>
                <w:p>
                  <w:pPr>
                    <w:pStyle w:val="null3"/>
                    <w:jc w:val="both"/>
                  </w:pPr>
                  <w:r>
                    <w:rPr>
                      <w:rFonts w:ascii="仿宋_GB2312" w:hAnsi="仿宋_GB2312" w:cs="仿宋_GB2312" w:eastAsia="仿宋_GB2312"/>
                      <w:sz w:val="20"/>
                      <w:color w:val="000000"/>
                    </w:rPr>
                    <w:t>结算信息分析</w:t>
                  </w:r>
                </w:p>
                <w:p>
                  <w:pPr>
                    <w:pStyle w:val="null3"/>
                    <w:jc w:val="both"/>
                  </w:pP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医保结算数据导入，根据结算月度进行数据归集，展示月度结算信息，进行数据分析</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清单查询</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清单类型范围</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1.支持全医保支付方式清单的质控及管理包括：按项目、单病种、按病种分值、疾病诊断相关分组（DRG），按床日、按人头、其他</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清单查询</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清单查询列表支持查看全量结算清单数据，支持各界面统计图的下钻数据显示，支持数据下载。</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统计分析</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评分分析</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按照指定时间区间，统计结算清单修改前后预分组情况及评分情况，支持查看清单具体扣分项。</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规则分析</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1.分别统计全院/科室/医师等维度在指定时间段内，按照系统默认违规规则分类或用户自定义违规分类进行数据聚合，统计规则总数、违规规则数、违规清单数、违规占比、扣分情况等。</w:t>
                  </w:r>
                </w:p>
                <w:p>
                  <w:pPr>
                    <w:pStyle w:val="null3"/>
                    <w:jc w:val="both"/>
                  </w:pPr>
                  <w:r>
                    <w:rPr>
                      <w:rFonts w:ascii="仿宋_GB2312" w:hAnsi="仿宋_GB2312" w:cs="仿宋_GB2312" w:eastAsia="仿宋_GB2312"/>
                      <w:sz w:val="20"/>
                      <w:color w:val="000000"/>
                    </w:rPr>
                    <w:t>2.统计图按照违规规则分类、具体违规规则进行排序，显示全院、科室、医师等的违规情况。</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工作量统计</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按照指定时间区间，对用户账号进行审核工作量统计，分别统计审核次数、审核清单数、反馈次数修改清单次数等。</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基础设置</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诊断字典</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支持维护医院诊断表、医保诊断标准表、卫健诊断表；</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手术字典</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支持维护医院手术表、医保手术标准表、卫健手术表；</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诊断映射</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支持院内人员进行诊断映射表的维护管理，医院诊断表映射到医保诊断标准表，医院诊断表映射到卫健诊断表。</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手术映射</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支持院内人员进行手术映射表的维护管理，医院手术表映射到医保手术标准表，医院诊断表映射到卫健手术表。</w:t>
                  </w:r>
                </w:p>
              </w:tc>
            </w:tr>
            <w:tr>
              <w:tc>
                <w:tcPr>
                  <w:tcW w:type="dxa" w:w="155"/>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规则配置</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1.支持院内人员进行规则的启用、停用操作、前置审核规则配置及规则分值的设置。</w:t>
                  </w:r>
                </w:p>
                <w:p>
                  <w:pPr>
                    <w:pStyle w:val="null3"/>
                    <w:jc w:val="both"/>
                  </w:pPr>
                  <w:r>
                    <w:rPr>
                      <w:rFonts w:ascii="仿宋_GB2312" w:hAnsi="仿宋_GB2312" w:cs="仿宋_GB2312" w:eastAsia="仿宋_GB2312"/>
                      <w:sz w:val="20"/>
                      <w:color w:val="000000"/>
                    </w:rPr>
                    <w:t>2.支持对每一条规则进行分值设置，使清单评分更贴近医院本地化、个性化管理</w:t>
                  </w:r>
                </w:p>
                <w:p>
                  <w:pPr>
                    <w:pStyle w:val="null3"/>
                    <w:jc w:val="both"/>
                  </w:pPr>
                  <w:r>
                    <w:rPr>
                      <w:rFonts w:ascii="仿宋_GB2312" w:hAnsi="仿宋_GB2312" w:cs="仿宋_GB2312" w:eastAsia="仿宋_GB2312"/>
                      <w:sz w:val="20"/>
                      <w:color w:val="000000"/>
                    </w:rPr>
                    <w:t>3.支持自定义违规分类，使医院对清单的审核管理更个性化</w:t>
                  </w:r>
                </w:p>
              </w:tc>
            </w:tr>
          </w:tbl>
          <w:p>
            <w:pPr>
              <w:pStyle w:val="null3"/>
              <w:jc w:val="both"/>
              <w:outlineLvl w:val="1"/>
            </w:pPr>
            <w:r>
              <w:rPr>
                <w:rFonts w:ascii="仿宋_GB2312" w:hAnsi="仿宋_GB2312" w:cs="仿宋_GB2312" w:eastAsia="仿宋_GB2312"/>
                <w:sz w:val="20"/>
                <w:b/>
              </w:rPr>
              <w:t>DRG分组预测预警系统建设需求</w:t>
            </w:r>
          </w:p>
          <w:tbl>
            <w:tblPr>
              <w:tblInd w:type="dxa" w:w="120"/>
              <w:tblBorders>
                <w:top w:val="none" w:color="000000" w:sz="4"/>
                <w:left w:val="none" w:color="000000" w:sz="4"/>
                <w:bottom w:val="none" w:color="000000" w:sz="4"/>
                <w:right w:val="none" w:color="000000" w:sz="4"/>
                <w:insideH w:val="none"/>
                <w:insideV w:val="none"/>
              </w:tblBorders>
            </w:tblPr>
            <w:tblGrid>
              <w:gridCol w:w="262"/>
              <w:gridCol w:w="361"/>
              <w:gridCol w:w="469"/>
              <w:gridCol w:w="1450"/>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子系统</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功能模块</w:t>
                  </w:r>
                </w:p>
              </w:tc>
              <w:tc>
                <w:tcPr>
                  <w:tcW w:type="dxa" w:w="1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功能描述</w:t>
                  </w: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在院病例</w:t>
                  </w:r>
                  <w:r>
                    <w:rPr>
                      <w:rFonts w:ascii="仿宋_GB2312" w:hAnsi="仿宋_GB2312" w:cs="仿宋_GB2312" w:eastAsia="仿宋_GB2312"/>
                      <w:sz w:val="20"/>
                    </w:rPr>
                    <w:t>DRG预分组系统</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病案信息</w:t>
                  </w:r>
                </w:p>
              </w:tc>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支持病案基础信息的查看；</w:t>
                  </w:r>
                </w:p>
                <w:p>
                  <w:pPr>
                    <w:pStyle w:val="null3"/>
                    <w:numPr>
                      <w:ilvl w:val="0"/>
                      <w:numId w:val="1"/>
                    </w:numPr>
                    <w:jc w:val="both"/>
                  </w:pPr>
                  <w:r>
                    <w:rPr>
                      <w:rFonts w:ascii="仿宋_GB2312" w:hAnsi="仿宋_GB2312" w:cs="仿宋_GB2312" w:eastAsia="仿宋_GB2312"/>
                      <w:sz w:val="20"/>
                    </w:rPr>
                    <w:t>支持病案信息指标的灵活可配及修改；</w:t>
                  </w:r>
                </w:p>
                <w:p>
                  <w:pPr>
                    <w:pStyle w:val="null3"/>
                    <w:numPr>
                      <w:ilvl w:val="0"/>
                      <w:numId w:val="1"/>
                    </w:numPr>
                    <w:jc w:val="both"/>
                  </w:pPr>
                  <w:r>
                    <w:rPr>
                      <w:rFonts w:ascii="仿宋_GB2312" w:hAnsi="仿宋_GB2312" w:cs="仿宋_GB2312" w:eastAsia="仿宋_GB2312"/>
                      <w:sz w:val="20"/>
                    </w:rPr>
                    <w:t>提供实时预警，包括费用预警、不合理入院预警等，预警条件支持启用</w:t>
                  </w:r>
                  <w:r>
                    <w:rPr>
                      <w:rFonts w:ascii="仿宋_GB2312" w:hAnsi="仿宋_GB2312" w:cs="仿宋_GB2312" w:eastAsia="仿宋_GB2312"/>
                      <w:sz w:val="20"/>
                    </w:rPr>
                    <w:t>/关闭，通过智能监测不合理行为，降低费用超支风险；</w:t>
                  </w:r>
                </w:p>
                <w:p>
                  <w:pPr>
                    <w:pStyle w:val="null3"/>
                    <w:numPr>
                      <w:ilvl w:val="0"/>
                      <w:numId w:val="1"/>
                    </w:numPr>
                    <w:jc w:val="both"/>
                  </w:pPr>
                  <w:r>
                    <w:rPr>
                      <w:rFonts w:ascii="仿宋_GB2312" w:hAnsi="仿宋_GB2312" w:cs="仿宋_GB2312" w:eastAsia="仿宋_GB2312"/>
                      <w:sz w:val="20"/>
                      <w:color w:val="000000"/>
                    </w:rPr>
                    <w:t>支持再入院病例提示，可查看历次相关住院的</w:t>
                  </w:r>
                  <w:r>
                    <w:rPr>
                      <w:rFonts w:ascii="仿宋_GB2312" w:hAnsi="仿宋_GB2312" w:cs="仿宋_GB2312" w:eastAsia="仿宋_GB2312"/>
                      <w:sz w:val="20"/>
                      <w:color w:val="000000"/>
                    </w:rPr>
                    <w:t>DRG分组与诊断/手术信息；</w:t>
                  </w:r>
                </w:p>
                <w:p>
                  <w:pPr>
                    <w:pStyle w:val="null3"/>
                    <w:numPr>
                      <w:ilvl w:val="0"/>
                      <w:numId w:val="1"/>
                    </w:numPr>
                    <w:jc w:val="both"/>
                  </w:pPr>
                  <w:r>
                    <w:rPr>
                      <w:rFonts w:ascii="仿宋_GB2312" w:hAnsi="仿宋_GB2312" w:cs="仿宋_GB2312" w:eastAsia="仿宋_GB2312"/>
                      <w:sz w:val="20"/>
                      <w:color w:val="000000"/>
                    </w:rPr>
                    <w:t>支持不合理入院规则配置设置；</w:t>
                  </w:r>
                </w:p>
              </w:tc>
            </w:tr>
            <w:tr>
              <w:tc>
                <w:tcPr>
                  <w:tcW w:type="dxa" w:w="262"/>
                  <w:vMerge/>
                  <w:tcBorders>
                    <w:top w:val="none" w:color="000000" w:sz="4"/>
                    <w:left w:val="single" w:color="000000" w:sz="4"/>
                    <w:bottom w:val="single" w:color="000000" w:sz="4"/>
                    <w:right w:val="single" w:color="000000" w:sz="4"/>
                  </w:tcBorders>
                </w:tcPr>
                <w:p/>
              </w:tc>
              <w:tc>
                <w:tcPr>
                  <w:tcW w:type="dxa" w:w="361"/>
                  <w:vMerge/>
                  <w:tcBorders>
                    <w:top w:val="none" w:color="000000" w:sz="4"/>
                    <w:left w:val="single" w:color="000000" w:sz="4"/>
                    <w:bottom w:val="single" w:color="000000" w:sz="4"/>
                    <w:right w:val="single" w:color="000000" w:sz="4"/>
                  </w:tcBorders>
                </w:tc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实时动态分组</w:t>
                  </w:r>
                </w:p>
              </w:tc>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1.支持分组器本地化适配，建立本地政策规则，应用算法实现模拟分配，支持实时查看DRG预测分组及拨付指标；</w:t>
                  </w:r>
                </w:p>
                <w:p>
                  <w:pPr>
                    <w:pStyle w:val="null3"/>
                    <w:jc w:val="both"/>
                  </w:pPr>
                  <w:r>
                    <w:rPr>
                      <w:rFonts w:ascii="仿宋_GB2312" w:hAnsi="仿宋_GB2312" w:cs="仿宋_GB2312" w:eastAsia="仿宋_GB2312"/>
                      <w:sz w:val="20"/>
                    </w:rPr>
                    <w:t>2.支持患者的拨付指标与归属病组的付费标准进行对比；</w:t>
                  </w:r>
                </w:p>
                <w:p>
                  <w:pPr>
                    <w:pStyle w:val="null3"/>
                    <w:jc w:val="both"/>
                  </w:pPr>
                  <w:r>
                    <w:rPr>
                      <w:rFonts w:ascii="仿宋_GB2312" w:hAnsi="仿宋_GB2312" w:cs="仿宋_GB2312" w:eastAsia="仿宋_GB2312"/>
                      <w:sz w:val="20"/>
                    </w:rPr>
                    <w:t>3.支持拨付指标的灵活配置；</w:t>
                  </w:r>
                </w:p>
                <w:p>
                  <w:pPr>
                    <w:pStyle w:val="null3"/>
                    <w:jc w:val="both"/>
                  </w:pPr>
                  <w:r>
                    <w:rPr>
                      <w:rFonts w:ascii="仿宋_GB2312" w:hAnsi="仿宋_GB2312" w:cs="仿宋_GB2312" w:eastAsia="仿宋_GB2312"/>
                      <w:sz w:val="20"/>
                    </w:rPr>
                    <w:t>4.对于未入组病例，给与未入组原因；</w:t>
                  </w:r>
                </w:p>
                <w:p>
                  <w:pPr>
                    <w:pStyle w:val="null3"/>
                    <w:jc w:val="both"/>
                  </w:pPr>
                  <w:r>
                    <w:rPr>
                      <w:rFonts w:ascii="仿宋_GB2312" w:hAnsi="仿宋_GB2312" w:cs="仿宋_GB2312" w:eastAsia="仿宋_GB2312"/>
                      <w:sz w:val="20"/>
                    </w:rPr>
                    <w:t>5.支持部分指标的公式可视化，明确指标计算逻辑；</w:t>
                  </w:r>
                </w:p>
              </w:tc>
            </w:tr>
            <w:tr>
              <w:tc>
                <w:tcPr>
                  <w:tcW w:type="dxa" w:w="262"/>
                  <w:vMerge/>
                  <w:tcBorders>
                    <w:top w:val="none" w:color="000000" w:sz="4"/>
                    <w:left w:val="single" w:color="000000" w:sz="4"/>
                    <w:bottom w:val="single" w:color="000000" w:sz="4"/>
                    <w:right w:val="single" w:color="000000" w:sz="4"/>
                  </w:tcBorders>
                </w:tcPr>
                <w:p/>
              </w:tc>
              <w:tc>
                <w:tcPr>
                  <w:tcW w:type="dxa" w:w="361"/>
                  <w:vMerge/>
                  <w:tcBorders>
                    <w:top w:val="none" w:color="000000" w:sz="4"/>
                    <w:left w:val="single" w:color="000000" w:sz="4"/>
                    <w:bottom w:val="single" w:color="000000" w:sz="4"/>
                    <w:right w:val="single" w:color="000000" w:sz="4"/>
                  </w:tcBorders>
                </w:tc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0"/>
                    </w:rPr>
                    <w:t>大数据相似分组</w:t>
                  </w:r>
                </w:p>
              </w:tc>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1.支持对医生填写的诊断和手术进行分组测算，展示所有手术/诊断组合的分组可能，为医生的诊断信息填写，提供分组参考；</w:t>
                  </w:r>
                </w:p>
                <w:p>
                  <w:pPr>
                    <w:pStyle w:val="null3"/>
                    <w:jc w:val="both"/>
                  </w:pPr>
                  <w:r>
                    <w:rPr>
                      <w:rFonts w:ascii="仿宋_GB2312" w:hAnsi="仿宋_GB2312" w:cs="仿宋_GB2312" w:eastAsia="仿宋_GB2312"/>
                      <w:sz w:val="20"/>
                    </w:rPr>
                    <w:t>2.支持不同分组的分组结果，按照预估结算费用/权重进行倒序排序；</w:t>
                  </w:r>
                </w:p>
              </w:tc>
            </w:tr>
            <w:tr>
              <w:tc>
                <w:tcPr>
                  <w:tcW w:type="dxa" w:w="262"/>
                  <w:vMerge/>
                  <w:tcBorders>
                    <w:top w:val="none" w:color="000000" w:sz="4"/>
                    <w:left w:val="single" w:color="000000" w:sz="4"/>
                    <w:bottom w:val="single" w:color="000000" w:sz="4"/>
                    <w:right w:val="single" w:color="000000" w:sz="4"/>
                  </w:tcBorders>
                </w:tcPr>
                <w:p/>
              </w:tc>
              <w:tc>
                <w:tcPr>
                  <w:tcW w:type="dxa" w:w="361"/>
                  <w:vMerge/>
                  <w:tcBorders>
                    <w:top w:val="none" w:color="000000" w:sz="4"/>
                    <w:left w:val="single" w:color="000000" w:sz="4"/>
                    <w:bottom w:val="single" w:color="000000" w:sz="4"/>
                    <w:right w:val="single" w:color="000000" w:sz="4"/>
                  </w:tcBorders>
                </w:tc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0"/>
                    </w:rPr>
                    <w:t>大数据模拟分组</w:t>
                  </w:r>
                </w:p>
              </w:tc>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1.为医生提供模拟分组小工具，支持医生进行诊断、手术编码的调整/修改，系统通过内在的分组引擎及拨付引擎，显示相应的分组结果与拨付结果；</w:t>
                  </w:r>
                </w:p>
                <w:p>
                  <w:pPr>
                    <w:pStyle w:val="null3"/>
                    <w:jc w:val="both"/>
                  </w:pPr>
                  <w:r>
                    <w:rPr>
                      <w:rFonts w:ascii="仿宋_GB2312" w:hAnsi="仿宋_GB2312" w:cs="仿宋_GB2312" w:eastAsia="仿宋_GB2312"/>
                      <w:sz w:val="20"/>
                    </w:rPr>
                    <w:t>2.支持一键导入当前在院病例的分组信息，并支持增加、删除或调整诊断/手术顺序，重新进行分组预测；</w:t>
                  </w:r>
                </w:p>
              </w:tc>
            </w:tr>
            <w:tr>
              <w:tc>
                <w:tcPr>
                  <w:tcW w:type="dxa" w:w="262"/>
                  <w:vMerge/>
                  <w:tcBorders>
                    <w:top w:val="none" w:color="000000" w:sz="4"/>
                    <w:left w:val="single" w:color="000000" w:sz="4"/>
                    <w:bottom w:val="single" w:color="000000" w:sz="4"/>
                    <w:right w:val="single" w:color="000000" w:sz="4"/>
                  </w:tcBorders>
                </w:tcPr>
                <w:p/>
              </w:tc>
              <w:tc>
                <w:tcPr>
                  <w:tcW w:type="dxa" w:w="361"/>
                  <w:vMerge/>
                  <w:tcBorders>
                    <w:top w:val="none" w:color="000000" w:sz="4"/>
                    <w:left w:val="single" w:color="000000" w:sz="4"/>
                    <w:bottom w:val="single" w:color="000000" w:sz="4"/>
                    <w:right w:val="single" w:color="000000" w:sz="4"/>
                  </w:tcBorders>
                </w:tc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费用明细</w:t>
                  </w:r>
                </w:p>
              </w:tc>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1.支持图表、列表两种形式，查看费用明细大类；支持按照总费用占比倒序排序；</w:t>
                  </w:r>
                </w:p>
                <w:p>
                  <w:pPr>
                    <w:pStyle w:val="null3"/>
                    <w:jc w:val="both"/>
                  </w:pPr>
                  <w:r>
                    <w:rPr>
                      <w:rFonts w:ascii="仿宋_GB2312" w:hAnsi="仿宋_GB2312" w:cs="仿宋_GB2312" w:eastAsia="仿宋_GB2312"/>
                      <w:sz w:val="20"/>
                    </w:rPr>
                    <w:t>2.支持查看费用明细项目详情；</w:t>
                  </w:r>
                </w:p>
              </w:tc>
            </w:tr>
          </w:tbl>
          <w:p>
            <w:pPr>
              <w:pStyle w:val="null3"/>
              <w:jc w:val="both"/>
              <w:outlineLvl w:val="1"/>
            </w:pPr>
            <w:r>
              <w:rPr>
                <w:rFonts w:ascii="仿宋_GB2312" w:hAnsi="仿宋_GB2312" w:cs="仿宋_GB2312" w:eastAsia="仿宋_GB2312"/>
                <w:sz w:val="20"/>
                <w:b/>
              </w:rPr>
              <w:t>DRG医院智能管理系统建设需求</w:t>
            </w:r>
          </w:p>
          <w:tbl>
            <w:tblPr>
              <w:tblInd w:type="dxa" w:w="120"/>
              <w:tblBorders>
                <w:top w:val="none" w:color="000000" w:sz="4"/>
                <w:left w:val="none" w:color="000000" w:sz="4"/>
                <w:bottom w:val="none" w:color="000000" w:sz="4"/>
                <w:right w:val="none" w:color="000000" w:sz="4"/>
                <w:insideH w:val="none"/>
                <w:insideV w:val="none"/>
              </w:tblBorders>
            </w:tblPr>
            <w:tblGrid>
              <w:gridCol w:w="209"/>
              <w:gridCol w:w="279"/>
              <w:gridCol w:w="339"/>
              <w:gridCol w:w="1725"/>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子系统</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功能模块</w:t>
                  </w:r>
                </w:p>
              </w:tc>
              <w:tc>
                <w:tcPr>
                  <w:tcW w:type="dxa" w:w="1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功能描述</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首页</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总体概览</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提供全院</w:t>
                  </w:r>
                  <w:r>
                    <w:rPr>
                      <w:rFonts w:ascii="仿宋_GB2312" w:hAnsi="仿宋_GB2312" w:cs="仿宋_GB2312" w:eastAsia="仿宋_GB2312"/>
                      <w:sz w:val="20"/>
                      <w:color w:val="000000"/>
                    </w:rPr>
                    <w:t>DRG整体运行监控，对分组情况、结算差异、费用差异结构、监控预警、绩效指标等DRG重点指标及维度进行综合展示。</w:t>
                  </w:r>
                </w:p>
                <w:p>
                  <w:pPr>
                    <w:pStyle w:val="null3"/>
                    <w:jc w:val="both"/>
                  </w:pPr>
                  <w:r>
                    <w:rPr>
                      <w:rFonts w:ascii="仿宋_GB2312" w:hAnsi="仿宋_GB2312" w:cs="仿宋_GB2312" w:eastAsia="仿宋_GB2312"/>
                      <w:sz w:val="20"/>
                      <w:color w:val="000000"/>
                    </w:rPr>
                    <w:t>1.可快速定位分组效能，查看入组率，支持入组病例数、未入组病例数下钻展示病例详情；</w:t>
                  </w:r>
                </w:p>
                <w:p>
                  <w:pPr>
                    <w:pStyle w:val="null3"/>
                    <w:jc w:val="both"/>
                  </w:pPr>
                  <w:r>
                    <w:rPr>
                      <w:rFonts w:ascii="仿宋_GB2312" w:hAnsi="仿宋_GB2312" w:cs="仿宋_GB2312" w:eastAsia="仿宋_GB2312"/>
                      <w:sz w:val="20"/>
                      <w:color w:val="000000"/>
                    </w:rPr>
                    <w:t>2.统计全院整体超支结余情况，从科室等维度可视化展示其预估结算差异情况，支持查看医院总体服务质量；</w:t>
                  </w:r>
                </w:p>
                <w:p>
                  <w:pPr>
                    <w:pStyle w:val="null3"/>
                    <w:jc w:val="both"/>
                  </w:pPr>
                  <w:r>
                    <w:rPr>
                      <w:rFonts w:ascii="仿宋_GB2312" w:hAnsi="仿宋_GB2312" w:cs="仿宋_GB2312" w:eastAsia="仿宋_GB2312"/>
                      <w:sz w:val="20"/>
                      <w:color w:val="000000"/>
                    </w:rPr>
                    <w:t>3.统计展示医院的ADRG组数、DRG组数、时间消耗指数、费用消耗指数、CMI、再入院率及指标的同比环比情况。</w:t>
                  </w:r>
                </w:p>
                <w:p>
                  <w:pPr>
                    <w:pStyle w:val="null3"/>
                    <w:jc w:val="both"/>
                  </w:pPr>
                  <w:r>
                    <w:rPr>
                      <w:rFonts w:ascii="仿宋_GB2312" w:hAnsi="仿宋_GB2312" w:cs="仿宋_GB2312" w:eastAsia="仿宋_GB2312"/>
                      <w:sz w:val="20"/>
                      <w:color w:val="000000"/>
                    </w:rPr>
                    <w:t>4.综合性多规则判定违规医疗行为（体检住院、住院配药、分解住院、无治疗住院、超长住院、挂床住院），支持下钻定位具体病例；支持规则灵活配置。</w:t>
                  </w:r>
                </w:p>
                <w:p>
                  <w:pPr>
                    <w:pStyle w:val="null3"/>
                    <w:jc w:val="both"/>
                  </w:pPr>
                  <w:r>
                    <w:rPr>
                      <w:rFonts w:ascii="仿宋_GB2312" w:hAnsi="仿宋_GB2312" w:cs="仿宋_GB2312" w:eastAsia="仿宋_GB2312"/>
                      <w:sz w:val="20"/>
                      <w:color w:val="000000"/>
                    </w:rPr>
                    <w:t>5.支持查看不同病例类型的病例数分布，支持下钻；</w:t>
                  </w:r>
                </w:p>
                <w:p>
                  <w:pPr>
                    <w:pStyle w:val="null3"/>
                    <w:jc w:val="both"/>
                  </w:pPr>
                  <w:r>
                    <w:rPr>
                      <w:rFonts w:ascii="仿宋_GB2312" w:hAnsi="仿宋_GB2312" w:cs="仿宋_GB2312" w:eastAsia="仿宋_GB2312"/>
                      <w:sz w:val="20"/>
                      <w:color w:val="000000"/>
                    </w:rPr>
                    <w:t>6.支持按照科室/医生等维度展示超支结余数量；</w:t>
                  </w:r>
                </w:p>
                <w:p>
                  <w:pPr>
                    <w:pStyle w:val="null3"/>
                    <w:jc w:val="both"/>
                  </w:pPr>
                  <w:r>
                    <w:rPr>
                      <w:rFonts w:ascii="仿宋_GB2312" w:hAnsi="仿宋_GB2312" w:cs="仿宋_GB2312" w:eastAsia="仿宋_GB2312"/>
                      <w:sz w:val="20"/>
                      <w:color w:val="000000"/>
                    </w:rPr>
                    <w:t>7.展示超支、结余科室等维度的top10及其对应的预估结算差异；</w:t>
                  </w:r>
                </w:p>
                <w:p>
                  <w:pPr>
                    <w:pStyle w:val="null3"/>
                    <w:jc w:val="both"/>
                  </w:pPr>
                  <w:r>
                    <w:rPr>
                      <w:rFonts w:ascii="仿宋_GB2312" w:hAnsi="仿宋_GB2312" w:cs="仿宋_GB2312" w:eastAsia="仿宋_GB2312"/>
                      <w:sz w:val="20"/>
                      <w:color w:val="000000"/>
                    </w:rPr>
                    <w:t>8.展示超支/结余病组数量及其占比信息，展示超支/结余病组top10及其对应的预估结算差异；</w:t>
                  </w:r>
                </w:p>
                <w:p>
                  <w:pPr>
                    <w:pStyle w:val="null3"/>
                    <w:jc w:val="both"/>
                  </w:pPr>
                  <w:r>
                    <w:rPr>
                      <w:rFonts w:ascii="仿宋_GB2312" w:hAnsi="仿宋_GB2312" w:cs="仿宋_GB2312" w:eastAsia="仿宋_GB2312"/>
                      <w:sz w:val="20"/>
                      <w:color w:val="000000"/>
                    </w:rPr>
                    <w:t>9.支持查看MDC相对指数、ADRG相对指数、DRG相对指数、CMI、低风险死亡率、时间消耗指数、费用消耗指数多项重点指标。</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病例管理</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病例查询</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1.依据全院及科室账号权限，实现病例在科室/医生等维度下的差异分析，定位差异主因；</w:t>
                  </w:r>
                </w:p>
                <w:p>
                  <w:pPr>
                    <w:pStyle w:val="null3"/>
                    <w:jc w:val="both"/>
                  </w:pPr>
                  <w:r>
                    <w:rPr>
                      <w:rFonts w:ascii="仿宋_GB2312" w:hAnsi="仿宋_GB2312" w:cs="仿宋_GB2312" w:eastAsia="仿宋_GB2312"/>
                      <w:sz w:val="20"/>
                      <w:color w:val="000000"/>
                    </w:rPr>
                    <w:t>2.实现对病例类型、再入院、差异分类、支付方式、DRG编码等进行单项或综合查询；</w:t>
                  </w:r>
                </w:p>
                <w:p>
                  <w:pPr>
                    <w:pStyle w:val="null3"/>
                    <w:jc w:val="both"/>
                  </w:pPr>
                  <w:r>
                    <w:rPr>
                      <w:rFonts w:ascii="仿宋_GB2312" w:hAnsi="仿宋_GB2312" w:cs="仿宋_GB2312" w:eastAsia="仿宋_GB2312"/>
                      <w:sz w:val="20"/>
                      <w:color w:val="000000"/>
                    </w:rPr>
                    <w:t>3.支持检索条件自定义，可控制显示与否及顺序调整；</w:t>
                  </w:r>
                </w:p>
                <w:p>
                  <w:pPr>
                    <w:pStyle w:val="null3"/>
                    <w:jc w:val="both"/>
                  </w:pPr>
                  <w:r>
                    <w:rPr>
                      <w:rFonts w:ascii="仿宋_GB2312" w:hAnsi="仿宋_GB2312" w:cs="仿宋_GB2312" w:eastAsia="仿宋_GB2312"/>
                      <w:sz w:val="20"/>
                      <w:color w:val="000000"/>
                    </w:rPr>
                    <w:t>4.支持表头自定义，可控制表头字段显示与否及顺序调整；</w:t>
                  </w:r>
                </w:p>
                <w:p>
                  <w:pPr>
                    <w:pStyle w:val="null3"/>
                    <w:jc w:val="both"/>
                  </w:pPr>
                  <w:r>
                    <w:rPr>
                      <w:rFonts w:ascii="仿宋_GB2312" w:hAnsi="仿宋_GB2312" w:cs="仿宋_GB2312" w:eastAsia="仿宋_GB2312"/>
                      <w:sz w:val="20"/>
                      <w:color w:val="000000"/>
                    </w:rPr>
                    <w:t>5.支持查看病例费用详情；</w:t>
                  </w:r>
                </w:p>
                <w:p>
                  <w:pPr>
                    <w:pStyle w:val="null3"/>
                    <w:jc w:val="both"/>
                  </w:pPr>
                  <w:r>
                    <w:rPr>
                      <w:rFonts w:ascii="仿宋_GB2312" w:hAnsi="仿宋_GB2312" w:cs="仿宋_GB2312" w:eastAsia="仿宋_GB2312"/>
                      <w:sz w:val="20"/>
                      <w:color w:val="000000"/>
                    </w:rPr>
                    <w:t>6.支持数据下载；</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2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差异分析</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差异汇总</w:t>
                  </w:r>
                  <w:r>
                    <w:rPr>
                      <w:rFonts w:ascii="仿宋_GB2312" w:hAnsi="仿宋_GB2312" w:cs="仿宋_GB2312" w:eastAsia="仿宋_GB2312"/>
                      <w:sz w:val="20"/>
                      <w:color w:val="000000"/>
                    </w:rPr>
                    <w:t>-总体汇总</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1.根据数据口径进行联动筛选，从科室/医生/病组等维度，对其超支结余进行统计分析；</w:t>
                  </w:r>
                </w:p>
                <w:p>
                  <w:pPr>
                    <w:pStyle w:val="null3"/>
                    <w:jc w:val="both"/>
                  </w:pPr>
                  <w:r>
                    <w:rPr>
                      <w:rFonts w:ascii="仿宋_GB2312" w:hAnsi="仿宋_GB2312" w:cs="仿宋_GB2312" w:eastAsia="仿宋_GB2312"/>
                      <w:sz w:val="20"/>
                      <w:color w:val="000000"/>
                    </w:rPr>
                    <w:t>2.统计不同医保细分类型的患者分布情况；</w:t>
                  </w:r>
                </w:p>
                <w:p>
                  <w:pPr>
                    <w:pStyle w:val="null3"/>
                    <w:jc w:val="both"/>
                  </w:pPr>
                  <w:r>
                    <w:rPr>
                      <w:rFonts w:ascii="仿宋_GB2312" w:hAnsi="仿宋_GB2312" w:cs="仿宋_GB2312" w:eastAsia="仿宋_GB2312"/>
                      <w:sz w:val="20"/>
                      <w:color w:val="000000"/>
                    </w:rPr>
                    <w:t>3.展示不同病例类型的病例数，且支持下钻；</w:t>
                  </w:r>
                </w:p>
                <w:p>
                  <w:pPr>
                    <w:pStyle w:val="null3"/>
                    <w:jc w:val="both"/>
                  </w:pPr>
                  <w:r>
                    <w:rPr>
                      <w:rFonts w:ascii="仿宋_GB2312" w:hAnsi="仿宋_GB2312" w:cs="仿宋_GB2312" w:eastAsia="仿宋_GB2312"/>
                      <w:sz w:val="20"/>
                      <w:color w:val="000000"/>
                    </w:rPr>
                    <w:t>4.展示病组统计分析；</w:t>
                  </w:r>
                </w:p>
                <w:p>
                  <w:pPr>
                    <w:pStyle w:val="null3"/>
                    <w:jc w:val="both"/>
                  </w:pPr>
                  <w:r>
                    <w:rPr>
                      <w:rFonts w:ascii="仿宋_GB2312" w:hAnsi="仿宋_GB2312" w:cs="仿宋_GB2312" w:eastAsia="仿宋_GB2312"/>
                      <w:sz w:val="20"/>
                      <w:color w:val="000000"/>
                    </w:rPr>
                    <w:t>5.展示全院整体的预估结算差异及时间变化趋势；</w:t>
                  </w:r>
                </w:p>
                <w:p>
                  <w:pPr>
                    <w:pStyle w:val="null3"/>
                    <w:jc w:val="both"/>
                  </w:pPr>
                  <w:r>
                    <w:rPr>
                      <w:rFonts w:ascii="仿宋_GB2312" w:hAnsi="仿宋_GB2312" w:cs="仿宋_GB2312" w:eastAsia="仿宋_GB2312"/>
                      <w:sz w:val="20"/>
                      <w:color w:val="000000"/>
                    </w:rPr>
                    <w:t>6.展示费用整体情况；</w:t>
                  </w:r>
                </w:p>
                <w:p>
                  <w:pPr>
                    <w:pStyle w:val="null3"/>
                    <w:jc w:val="both"/>
                  </w:pPr>
                  <w:r>
                    <w:rPr>
                      <w:rFonts w:ascii="仿宋_GB2312" w:hAnsi="仿宋_GB2312" w:cs="仿宋_GB2312" w:eastAsia="仿宋_GB2312"/>
                      <w:sz w:val="20"/>
                      <w:color w:val="000000"/>
                    </w:rPr>
                    <w:t>7.展示各类费用结构占比，支持后台配置；</w:t>
                  </w:r>
                </w:p>
                <w:p>
                  <w:pPr>
                    <w:pStyle w:val="null3"/>
                    <w:jc w:val="both"/>
                  </w:pP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差异汇总</w:t>
                  </w:r>
                  <w:r>
                    <w:rPr>
                      <w:rFonts w:ascii="仿宋_GB2312" w:hAnsi="仿宋_GB2312" w:cs="仿宋_GB2312" w:eastAsia="仿宋_GB2312"/>
                      <w:sz w:val="20"/>
                      <w:color w:val="000000"/>
                    </w:rPr>
                    <w:t>-医院科室</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1.从科室维度，统计科室的病例数、预估结算费用、预估结算差异、差异比例、差异分类、差异主因等；</w:t>
                  </w:r>
                </w:p>
                <w:p>
                  <w:pPr>
                    <w:pStyle w:val="null3"/>
                    <w:jc w:val="both"/>
                  </w:pPr>
                  <w:r>
                    <w:rPr>
                      <w:rFonts w:ascii="仿宋_GB2312" w:hAnsi="仿宋_GB2312" w:cs="仿宋_GB2312" w:eastAsia="仿宋_GB2312"/>
                      <w:sz w:val="20"/>
                      <w:color w:val="000000"/>
                    </w:rPr>
                    <w:t>2.支持科室之间的横向对比；支持查看不同科室的预估结算差异随时间序列的变化趋势；</w:t>
                  </w:r>
                </w:p>
                <w:p>
                  <w:pPr>
                    <w:pStyle w:val="null3"/>
                    <w:jc w:val="both"/>
                  </w:pPr>
                  <w:r>
                    <w:rPr>
                      <w:rFonts w:ascii="仿宋_GB2312" w:hAnsi="仿宋_GB2312" w:cs="仿宋_GB2312" w:eastAsia="仿宋_GB2312"/>
                      <w:sz w:val="20"/>
                      <w:color w:val="000000"/>
                    </w:rPr>
                    <w:t>3.支持科室的超支结余占比分析；</w:t>
                  </w:r>
                </w:p>
                <w:p>
                  <w:pPr>
                    <w:pStyle w:val="null3"/>
                    <w:jc w:val="both"/>
                  </w:pPr>
                  <w:r>
                    <w:rPr>
                      <w:rFonts w:ascii="仿宋_GB2312" w:hAnsi="仿宋_GB2312" w:cs="仿宋_GB2312" w:eastAsia="仿宋_GB2312"/>
                      <w:sz w:val="20"/>
                      <w:color w:val="000000"/>
                    </w:rPr>
                    <w:t>4.支持科室服务能力及服务效率的展示分析；</w:t>
                  </w:r>
                </w:p>
                <w:p>
                  <w:pPr>
                    <w:pStyle w:val="null3"/>
                    <w:jc w:val="both"/>
                  </w:pPr>
                  <w:r>
                    <w:rPr>
                      <w:rFonts w:ascii="仿宋_GB2312" w:hAnsi="仿宋_GB2312" w:cs="仿宋_GB2312" w:eastAsia="仿宋_GB2312"/>
                      <w:sz w:val="20"/>
                      <w:color w:val="000000"/>
                    </w:rPr>
                    <w:t>5.支持数据下载；</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差异汇总</w:t>
                  </w:r>
                  <w:r>
                    <w:rPr>
                      <w:rFonts w:ascii="仿宋_GB2312" w:hAnsi="仿宋_GB2312" w:cs="仿宋_GB2312" w:eastAsia="仿宋_GB2312"/>
                      <w:sz w:val="20"/>
                      <w:color w:val="000000"/>
                    </w:rPr>
                    <w:t>-责任医生</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1.从责任医生的维度，统计责任医生的病例数、预估结算费用、预估结算差异、差异比例、差异分类、差异主因等；</w:t>
                  </w:r>
                </w:p>
                <w:p>
                  <w:pPr>
                    <w:pStyle w:val="null3"/>
                    <w:jc w:val="both"/>
                  </w:pPr>
                  <w:r>
                    <w:rPr>
                      <w:rFonts w:ascii="仿宋_GB2312" w:hAnsi="仿宋_GB2312" w:cs="仿宋_GB2312" w:eastAsia="仿宋_GB2312"/>
                      <w:sz w:val="20"/>
                      <w:color w:val="000000"/>
                    </w:rPr>
                    <w:t>2.支持查看不同责任医生的预估结算差异随时间序列的变化趋势；</w:t>
                  </w:r>
                </w:p>
                <w:p>
                  <w:pPr>
                    <w:pStyle w:val="null3"/>
                    <w:jc w:val="both"/>
                  </w:pPr>
                  <w:r>
                    <w:rPr>
                      <w:rFonts w:ascii="仿宋_GB2312" w:hAnsi="仿宋_GB2312" w:cs="仿宋_GB2312" w:eastAsia="仿宋_GB2312"/>
                      <w:sz w:val="20"/>
                      <w:color w:val="000000"/>
                    </w:rPr>
                    <w:t>3.支持数据下载；</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差异汇总</w:t>
                  </w:r>
                  <w:r>
                    <w:rPr>
                      <w:rFonts w:ascii="仿宋_GB2312" w:hAnsi="仿宋_GB2312" w:cs="仿宋_GB2312" w:eastAsia="仿宋_GB2312"/>
                      <w:sz w:val="20"/>
                      <w:color w:val="000000"/>
                    </w:rPr>
                    <w:t>-病例类型</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1.支持不同病例类型的预估结算差异统计及环比展示；</w:t>
                  </w:r>
                </w:p>
                <w:p>
                  <w:pPr>
                    <w:pStyle w:val="null3"/>
                    <w:jc w:val="both"/>
                  </w:pPr>
                  <w:r>
                    <w:rPr>
                      <w:rFonts w:ascii="仿宋_GB2312" w:hAnsi="仿宋_GB2312" w:cs="仿宋_GB2312" w:eastAsia="仿宋_GB2312"/>
                      <w:sz w:val="20"/>
                      <w:color w:val="000000"/>
                    </w:rPr>
                    <w:t>2.支持查看不同病例类型的分布；</w:t>
                  </w:r>
                </w:p>
                <w:p>
                  <w:pPr>
                    <w:pStyle w:val="null3"/>
                    <w:jc w:val="both"/>
                  </w:pPr>
                  <w:r>
                    <w:rPr>
                      <w:rFonts w:ascii="仿宋_GB2312" w:hAnsi="仿宋_GB2312" w:cs="仿宋_GB2312" w:eastAsia="仿宋_GB2312"/>
                      <w:sz w:val="20"/>
                      <w:color w:val="000000"/>
                    </w:rPr>
                    <w:t>3.展示不同病例类型的病例时间变化趋势；</w:t>
                  </w:r>
                </w:p>
                <w:p>
                  <w:pPr>
                    <w:pStyle w:val="null3"/>
                    <w:jc w:val="both"/>
                  </w:pPr>
                  <w:r>
                    <w:rPr>
                      <w:rFonts w:ascii="仿宋_GB2312" w:hAnsi="仿宋_GB2312" w:cs="仿宋_GB2312" w:eastAsia="仿宋_GB2312"/>
                      <w:sz w:val="20"/>
                      <w:color w:val="000000"/>
                    </w:rPr>
                    <w:t>4.展示不同病例类型所对应的病例数、病例数占比、费用指标、差异分类等；</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差异汇总</w:t>
                  </w:r>
                  <w:r>
                    <w:rPr>
                      <w:rFonts w:ascii="仿宋_GB2312" w:hAnsi="仿宋_GB2312" w:cs="仿宋_GB2312" w:eastAsia="仿宋_GB2312"/>
                      <w:sz w:val="20"/>
                      <w:color w:val="000000"/>
                    </w:rPr>
                    <w:t>-权重分析</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1.统计不同权重范围内病例数、病例数占比、病组数、病组数占比、预估结算费用、差异分类等指标；</w:t>
                  </w:r>
                </w:p>
                <w:p>
                  <w:pPr>
                    <w:pStyle w:val="null3"/>
                    <w:jc w:val="both"/>
                  </w:pPr>
                  <w:r>
                    <w:rPr>
                      <w:rFonts w:ascii="仿宋_GB2312" w:hAnsi="仿宋_GB2312" w:cs="仿宋_GB2312" w:eastAsia="仿宋_GB2312"/>
                      <w:sz w:val="20"/>
                    </w:rPr>
                    <w:t>2.支持权重范围阈值的自定义配置；</w:t>
                  </w:r>
                </w:p>
                <w:p>
                  <w:pPr>
                    <w:pStyle w:val="null3"/>
                    <w:jc w:val="both"/>
                  </w:pPr>
                  <w:r>
                    <w:rPr>
                      <w:rFonts w:ascii="仿宋_GB2312" w:hAnsi="仿宋_GB2312" w:cs="仿宋_GB2312" w:eastAsia="仿宋_GB2312"/>
                      <w:sz w:val="20"/>
                    </w:rPr>
                    <w:t>3.支持不同病例权重的分析及不同病组权重的分析；</w:t>
                  </w:r>
                </w:p>
                <w:p>
                  <w:pPr>
                    <w:pStyle w:val="null3"/>
                    <w:jc w:val="both"/>
                  </w:pPr>
                  <w:r>
                    <w:rPr>
                      <w:rFonts w:ascii="仿宋_GB2312" w:hAnsi="仿宋_GB2312" w:cs="仿宋_GB2312" w:eastAsia="仿宋_GB2312"/>
                      <w:sz w:val="20"/>
                    </w:rPr>
                    <w:t>4.支持数据下载；</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病组分析</w:t>
                  </w:r>
                  <w:r>
                    <w:rPr>
                      <w:rFonts w:ascii="仿宋_GB2312" w:hAnsi="仿宋_GB2312" w:cs="仿宋_GB2312" w:eastAsia="仿宋_GB2312"/>
                      <w:sz w:val="20"/>
                    </w:rPr>
                    <w:t>-汇总分析</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对超支结余病组进行指标统计；</w:t>
                  </w:r>
                </w:p>
                <w:p>
                  <w:pPr>
                    <w:pStyle w:val="null3"/>
                    <w:numPr>
                      <w:ilvl w:val="0"/>
                      <w:numId w:val="1"/>
                    </w:numPr>
                    <w:jc w:val="both"/>
                  </w:pPr>
                  <w:r>
                    <w:rPr>
                      <w:rFonts w:ascii="仿宋_GB2312" w:hAnsi="仿宋_GB2312" w:cs="仿宋_GB2312" w:eastAsia="仿宋_GB2312"/>
                      <w:sz w:val="20"/>
                    </w:rPr>
                    <w:t>对</w:t>
                  </w:r>
                  <w:r>
                    <w:rPr>
                      <w:rFonts w:ascii="仿宋_GB2312" w:hAnsi="仿宋_GB2312" w:cs="仿宋_GB2312" w:eastAsia="仿宋_GB2312"/>
                      <w:sz w:val="20"/>
                    </w:rPr>
                    <w:t>MDC、ADRG、DRG的分布，进行统计；</w:t>
                  </w:r>
                </w:p>
                <w:p>
                  <w:pPr>
                    <w:pStyle w:val="null3"/>
                    <w:numPr>
                      <w:ilvl w:val="0"/>
                      <w:numId w:val="1"/>
                    </w:numPr>
                    <w:jc w:val="both"/>
                  </w:pPr>
                  <w:r>
                    <w:rPr>
                      <w:rFonts w:ascii="仿宋_GB2312" w:hAnsi="仿宋_GB2312" w:cs="仿宋_GB2312" w:eastAsia="仿宋_GB2312"/>
                      <w:sz w:val="20"/>
                    </w:rPr>
                    <w:t>提供病组权重</w:t>
                  </w:r>
                  <w:r>
                    <w:rPr>
                      <w:rFonts w:ascii="仿宋_GB2312" w:hAnsi="仿宋_GB2312" w:cs="仿宋_GB2312" w:eastAsia="仿宋_GB2312"/>
                      <w:sz w:val="20"/>
                    </w:rPr>
                    <w:t>-预估结算差异波士顿矩阵分析，将病组划分为优势病种、基础病种、劣势病种、潜力病种，引导医生进行重点病种管理；</w:t>
                  </w:r>
                </w:p>
                <w:p>
                  <w:pPr>
                    <w:pStyle w:val="null3"/>
                    <w:numPr>
                      <w:ilvl w:val="0"/>
                      <w:numId w:val="1"/>
                    </w:numPr>
                    <w:jc w:val="both"/>
                  </w:pPr>
                  <w:r>
                    <w:rPr>
                      <w:rFonts w:ascii="仿宋_GB2312" w:hAnsi="仿宋_GB2312" w:cs="仿宋_GB2312" w:eastAsia="仿宋_GB2312"/>
                      <w:sz w:val="20"/>
                    </w:rPr>
                    <w:t>展示超支结余病组</w:t>
                  </w:r>
                  <w:r>
                    <w:rPr>
                      <w:rFonts w:ascii="仿宋_GB2312" w:hAnsi="仿宋_GB2312" w:cs="仿宋_GB2312" w:eastAsia="仿宋_GB2312"/>
                      <w:sz w:val="20"/>
                    </w:rPr>
                    <w:t>top5;</w:t>
                  </w:r>
                </w:p>
                <w:p>
                  <w:pPr>
                    <w:pStyle w:val="null3"/>
                    <w:numPr>
                      <w:ilvl w:val="0"/>
                      <w:numId w:val="1"/>
                    </w:numPr>
                    <w:jc w:val="both"/>
                  </w:pPr>
                  <w:r>
                    <w:rPr>
                      <w:rFonts w:ascii="仿宋_GB2312" w:hAnsi="仿宋_GB2312" w:cs="仿宋_GB2312" w:eastAsia="仿宋_GB2312"/>
                      <w:sz w:val="20"/>
                    </w:rPr>
                    <w:t>支持从全院</w:t>
                  </w:r>
                  <w:r>
                    <w:rPr>
                      <w:rFonts w:ascii="仿宋_GB2312" w:hAnsi="仿宋_GB2312" w:cs="仿宋_GB2312" w:eastAsia="仿宋_GB2312"/>
                      <w:sz w:val="20"/>
                    </w:rPr>
                    <w:t>/科室/责任医生维度统计入组率、病例数、预估结算费用等核心指标；</w:t>
                  </w:r>
                </w:p>
                <w:p>
                  <w:pPr>
                    <w:pStyle w:val="null3"/>
                    <w:numPr>
                      <w:ilvl w:val="0"/>
                      <w:numId w:val="1"/>
                    </w:numPr>
                    <w:jc w:val="both"/>
                  </w:pPr>
                  <w:r>
                    <w:rPr>
                      <w:rFonts w:ascii="仿宋_GB2312" w:hAnsi="仿宋_GB2312" w:cs="仿宋_GB2312" w:eastAsia="仿宋_GB2312"/>
                      <w:sz w:val="20"/>
                    </w:rPr>
                    <w:t>支持病例、病组数的下钻查询；</w:t>
                  </w:r>
                </w:p>
                <w:p>
                  <w:pPr>
                    <w:pStyle w:val="null3"/>
                    <w:jc w:val="both"/>
                  </w:pP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病组分析</w:t>
                  </w:r>
                  <w:r>
                    <w:rPr>
                      <w:rFonts w:ascii="仿宋_GB2312" w:hAnsi="仿宋_GB2312" w:cs="仿宋_GB2312" w:eastAsia="仿宋_GB2312"/>
                      <w:sz w:val="20"/>
                      <w:color w:val="000000"/>
                    </w:rPr>
                    <w:t>-病组查询</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1.从病组维度展示各个病组的费用信息、差异分类、费用结构分析，支持查看病组所涉及的科室/医生的数量，支持页面联动及交互展示</w:t>
                  </w:r>
                </w:p>
                <w:p>
                  <w:pPr>
                    <w:pStyle w:val="null3"/>
                    <w:jc w:val="both"/>
                  </w:pPr>
                  <w:r>
                    <w:rPr>
                      <w:rFonts w:ascii="仿宋_GB2312" w:hAnsi="仿宋_GB2312" w:cs="仿宋_GB2312" w:eastAsia="仿宋_GB2312"/>
                      <w:sz w:val="20"/>
                      <w:color w:val="000000"/>
                    </w:rPr>
                    <w:t>2.支持DRG编码/名称、差异分类等进行单项或多项综合查询；</w:t>
                  </w:r>
                </w:p>
                <w:p>
                  <w:pPr>
                    <w:pStyle w:val="null3"/>
                    <w:jc w:val="both"/>
                  </w:pPr>
                  <w:r>
                    <w:rPr>
                      <w:rFonts w:ascii="仿宋_GB2312" w:hAnsi="仿宋_GB2312" w:cs="仿宋_GB2312" w:eastAsia="仿宋_GB2312"/>
                      <w:sz w:val="20"/>
                      <w:color w:val="000000"/>
                    </w:rPr>
                    <w:t>3.对病组进行差异分析，快速有效定位病组差异主因；</w:t>
                  </w:r>
                </w:p>
                <w:p>
                  <w:pPr>
                    <w:pStyle w:val="null3"/>
                    <w:jc w:val="both"/>
                  </w:pPr>
                  <w:r>
                    <w:rPr>
                      <w:rFonts w:ascii="仿宋_GB2312" w:hAnsi="仿宋_GB2312" w:cs="仿宋_GB2312" w:eastAsia="仿宋_GB2312"/>
                      <w:sz w:val="20"/>
                      <w:color w:val="000000"/>
                    </w:rPr>
                    <w:t>4.支持数据下载；</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病组分析</w:t>
                  </w:r>
                  <w:r>
                    <w:rPr>
                      <w:rFonts w:ascii="仿宋_GB2312" w:hAnsi="仿宋_GB2312" w:cs="仿宋_GB2312" w:eastAsia="仿宋_GB2312"/>
                      <w:sz w:val="20"/>
                      <w:color w:val="000000"/>
                    </w:rPr>
                    <w:t>-综合查询</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1.在病组层面，支持从科室/医生的维度，进行超支结余、费用结构及DRG重点指标统计分析；</w:t>
                  </w:r>
                </w:p>
                <w:p>
                  <w:pPr>
                    <w:pStyle w:val="null3"/>
                    <w:jc w:val="both"/>
                  </w:pPr>
                  <w:r>
                    <w:rPr>
                      <w:rFonts w:ascii="仿宋_GB2312" w:hAnsi="仿宋_GB2312" w:cs="仿宋_GB2312" w:eastAsia="仿宋_GB2312"/>
                      <w:sz w:val="20"/>
                      <w:color w:val="000000"/>
                    </w:rPr>
                    <w:t>2.支持点击病组病例数，进行下钻展示病例详情；</w:t>
                  </w:r>
                </w:p>
                <w:p>
                  <w:pPr>
                    <w:pStyle w:val="null3"/>
                    <w:jc w:val="both"/>
                  </w:pPr>
                  <w:r>
                    <w:rPr>
                      <w:rFonts w:ascii="仿宋_GB2312" w:hAnsi="仿宋_GB2312" w:cs="仿宋_GB2312" w:eastAsia="仿宋_GB2312"/>
                      <w:sz w:val="20"/>
                      <w:color w:val="000000"/>
                    </w:rPr>
                    <w:t>3.支持对各维度-病组层面进行差异分析，快速有效定位病组差异主因；</w:t>
                  </w:r>
                </w:p>
                <w:p>
                  <w:pPr>
                    <w:pStyle w:val="null3"/>
                    <w:jc w:val="both"/>
                  </w:pPr>
                  <w:r>
                    <w:rPr>
                      <w:rFonts w:ascii="仿宋_GB2312" w:hAnsi="仿宋_GB2312" w:cs="仿宋_GB2312" w:eastAsia="仿宋_GB2312"/>
                      <w:sz w:val="20"/>
                      <w:color w:val="000000"/>
                    </w:rPr>
                    <w:t>4.支持对整体结算差异、科室结算差异、费用结构进行分析；</w:t>
                  </w:r>
                </w:p>
                <w:p>
                  <w:pPr>
                    <w:pStyle w:val="null3"/>
                    <w:jc w:val="both"/>
                  </w:pPr>
                  <w:r>
                    <w:rPr>
                      <w:rFonts w:ascii="仿宋_GB2312" w:hAnsi="仿宋_GB2312" w:cs="仿宋_GB2312" w:eastAsia="仿宋_GB2312"/>
                      <w:sz w:val="20"/>
                      <w:color w:val="000000"/>
                    </w:rPr>
                    <w:t>5.支持数据下载；</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病组分析</w:t>
                  </w:r>
                  <w:r>
                    <w:rPr>
                      <w:rFonts w:ascii="仿宋_GB2312" w:hAnsi="仿宋_GB2312" w:cs="仿宋_GB2312" w:eastAsia="仿宋_GB2312"/>
                      <w:sz w:val="20"/>
                      <w:color w:val="000000"/>
                    </w:rPr>
                    <w:t>-统计分析</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1.支持筛选单个病组分别在科室/责任医生等维度下的对比统计分析;</w:t>
                  </w:r>
                </w:p>
                <w:p>
                  <w:pPr>
                    <w:pStyle w:val="null3"/>
                    <w:jc w:val="both"/>
                  </w:pPr>
                  <w:r>
                    <w:rPr>
                      <w:rFonts w:ascii="仿宋_GB2312" w:hAnsi="仿宋_GB2312" w:cs="仿宋_GB2312" w:eastAsia="仿宋_GB2312"/>
                      <w:sz w:val="20"/>
                      <w:color w:val="000000"/>
                    </w:rPr>
                    <w:t>2.支持费用明细查看，定位差异主因中的最贵的明细和最多的明细；</w:t>
                  </w:r>
                </w:p>
                <w:p>
                  <w:pPr>
                    <w:pStyle w:val="null3"/>
                    <w:jc w:val="both"/>
                  </w:pPr>
                  <w:r>
                    <w:rPr>
                      <w:rFonts w:ascii="仿宋_GB2312" w:hAnsi="仿宋_GB2312" w:cs="仿宋_GB2312" w:eastAsia="仿宋_GB2312"/>
                      <w:sz w:val="20"/>
                      <w:color w:val="000000"/>
                    </w:rPr>
                    <w:t>3.根据选择的维度，可联动显示当前病组在不同科室/责任医生等下预估结算差异及差异比例；</w:t>
                  </w:r>
                </w:p>
                <w:p>
                  <w:pPr>
                    <w:pStyle w:val="null3"/>
                    <w:jc w:val="both"/>
                  </w:pPr>
                  <w:r>
                    <w:rPr>
                      <w:rFonts w:ascii="仿宋_GB2312" w:hAnsi="仿宋_GB2312" w:cs="仿宋_GB2312" w:eastAsia="仿宋_GB2312"/>
                      <w:sz w:val="20"/>
                      <w:color w:val="000000"/>
                    </w:rPr>
                    <w:t>4.根据选择的维度，可联动显示当前病组在不同科室/责任医生等维度的住院总费用及病例数情况，并可与左侧指标联动展示月度趋势。</w:t>
                  </w:r>
                </w:p>
                <w:p>
                  <w:pPr>
                    <w:pStyle w:val="null3"/>
                    <w:jc w:val="both"/>
                  </w:pPr>
                  <w:r>
                    <w:rPr>
                      <w:rFonts w:ascii="仿宋_GB2312" w:hAnsi="仿宋_GB2312" w:cs="仿宋_GB2312" w:eastAsia="仿宋_GB2312"/>
                      <w:sz w:val="20"/>
                      <w:color w:val="000000"/>
                    </w:rPr>
                    <w:t>5.根据选择的维度，可联动显示当前病组的病例类型在不同科室/责任医生等维度的病例占比情况，并可与左侧指标联动展示月度趋势。</w:t>
                  </w:r>
                </w:p>
                <w:p>
                  <w:pPr>
                    <w:pStyle w:val="null3"/>
                    <w:jc w:val="both"/>
                  </w:pPr>
                  <w:r>
                    <w:rPr>
                      <w:rFonts w:ascii="仿宋_GB2312" w:hAnsi="仿宋_GB2312" w:cs="仿宋_GB2312" w:eastAsia="仿宋_GB2312"/>
                      <w:sz w:val="20"/>
                      <w:color w:val="000000"/>
                    </w:rPr>
                    <w:t>6.支持数据下载；</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2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监控预警</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维度选择</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支持选择科室等维度，选定后，页面其他指标可联动显示当前选定维度的相关信息。</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分组结果监控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1.对病例分组情况进行监控，包括总病例数、入组病例、未入组病例信息；</w:t>
                  </w:r>
                </w:p>
                <w:p>
                  <w:pPr>
                    <w:pStyle w:val="null3"/>
                    <w:jc w:val="both"/>
                  </w:pPr>
                  <w:r>
                    <w:rPr>
                      <w:rFonts w:ascii="仿宋_GB2312" w:hAnsi="仿宋_GB2312" w:cs="仿宋_GB2312" w:eastAsia="仿宋_GB2312"/>
                      <w:sz w:val="20"/>
                      <w:color w:val="000000"/>
                    </w:rPr>
                    <w:t>2.对病例入组的病组属性进行监控，包括非手术操作组、内科组、外科手术组的病组数量及占比。</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病案数据</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1.支持病案质量填写结果实时统计预警，对病案手术漏传、手术未入手术组、平均诊断个数、手术占比情况实时汇总分析，并展示同环比信息。</w:t>
                  </w:r>
                </w:p>
                <w:p>
                  <w:pPr>
                    <w:pStyle w:val="null3"/>
                    <w:jc w:val="both"/>
                  </w:pPr>
                  <w:r>
                    <w:rPr>
                      <w:rFonts w:ascii="仿宋_GB2312" w:hAnsi="仿宋_GB2312" w:cs="仿宋_GB2312" w:eastAsia="仿宋_GB2312"/>
                      <w:sz w:val="20"/>
                      <w:color w:val="000000"/>
                    </w:rPr>
                    <w:t>2.支持指标下钻展示。</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费用监控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1.对全院病例的费用结构进行分析对比；</w:t>
                  </w:r>
                </w:p>
                <w:p>
                  <w:pPr>
                    <w:pStyle w:val="null3"/>
                    <w:jc w:val="both"/>
                  </w:pPr>
                  <w:r>
                    <w:rPr>
                      <w:rFonts w:ascii="仿宋_GB2312" w:hAnsi="仿宋_GB2312" w:cs="仿宋_GB2312" w:eastAsia="仿宋_GB2312"/>
                      <w:sz w:val="20"/>
                      <w:color w:val="000000"/>
                    </w:rPr>
                    <w:t>2.展示不同月份的费用结构变化趋势，为医院及时把控费用变动提供支持。</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数据监控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1.对DRG绩效指标进行重点监测，包括ADRG组数、DRG组数、CMI、低风险死亡率、时间消耗指数、费用消耗指数、再入院率、人头人次比等；</w:t>
                  </w:r>
                </w:p>
                <w:p>
                  <w:pPr>
                    <w:pStyle w:val="null3"/>
                    <w:jc w:val="both"/>
                  </w:pPr>
                  <w:r>
                    <w:rPr>
                      <w:rFonts w:ascii="仿宋_GB2312" w:hAnsi="仿宋_GB2312" w:cs="仿宋_GB2312" w:eastAsia="仿宋_GB2312"/>
                      <w:sz w:val="20"/>
                      <w:color w:val="000000"/>
                    </w:rPr>
                    <w:t>2.提供各指标的同比、环比对比，当重点指标有较大异动时，提示医院及时进行管理；</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自费报销比监控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DRG支付要求不加重患者负担，因此对患者负担进行监控，当发现较大变化时，及时进行院内管控。</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行为规范预警</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1.重点监控DRG支付可能存在的违规行为，如分解住院、体检住院、配药住院等异常行为，提供行为预警；</w:t>
                  </w:r>
                </w:p>
                <w:p>
                  <w:pPr>
                    <w:pStyle w:val="null3"/>
                    <w:jc w:val="both"/>
                  </w:pPr>
                  <w:r>
                    <w:rPr>
                      <w:rFonts w:ascii="仿宋_GB2312" w:hAnsi="仿宋_GB2312" w:cs="仿宋_GB2312" w:eastAsia="仿宋_GB2312"/>
                      <w:sz w:val="20"/>
                      <w:color w:val="000000"/>
                    </w:rPr>
                    <w:t>2.支持查看各类异常行为的判定规则，并支持规则自定义配置；</w:t>
                  </w:r>
                </w:p>
                <w:p>
                  <w:pPr>
                    <w:pStyle w:val="null3"/>
                    <w:jc w:val="both"/>
                  </w:pPr>
                  <w:r>
                    <w:rPr>
                      <w:rFonts w:ascii="仿宋_GB2312" w:hAnsi="仿宋_GB2312" w:cs="仿宋_GB2312" w:eastAsia="仿宋_GB2312"/>
                      <w:sz w:val="20"/>
                      <w:color w:val="000000"/>
                    </w:rPr>
                    <w:t>3.支持各类异常行为监控的启用/不启用配置；</w:t>
                  </w:r>
                </w:p>
                <w:p>
                  <w:pPr>
                    <w:pStyle w:val="null3"/>
                    <w:jc w:val="both"/>
                  </w:pPr>
                  <w:r>
                    <w:rPr>
                      <w:rFonts w:ascii="仿宋_GB2312" w:hAnsi="仿宋_GB2312" w:cs="仿宋_GB2312" w:eastAsia="仿宋_GB2312"/>
                      <w:sz w:val="20"/>
                      <w:color w:val="000000"/>
                    </w:rPr>
                    <w:t>4.支持指标下钻，直接定位具体病例；</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MDC挖掘监控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监测</w:t>
                  </w:r>
                  <w:r>
                    <w:rPr>
                      <w:rFonts w:ascii="仿宋_GB2312" w:hAnsi="仿宋_GB2312" w:cs="仿宋_GB2312" w:eastAsia="仿宋_GB2312"/>
                      <w:sz w:val="20"/>
                      <w:color w:val="000000"/>
                    </w:rPr>
                    <w:t>MDC分组，对各MDC组的病例占比、重点病组占比指标进行分析对比。</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服务绩效</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医院总体</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1.从服务能力、服务效率、服务质量等维度，对医院进行绩效指标分析。</w:t>
                  </w:r>
                </w:p>
                <w:p>
                  <w:pPr>
                    <w:pStyle w:val="null3"/>
                    <w:jc w:val="both"/>
                  </w:pPr>
                  <w:r>
                    <w:rPr>
                      <w:rFonts w:ascii="仿宋_GB2312" w:hAnsi="仿宋_GB2312" w:cs="仿宋_GB2312" w:eastAsia="仿宋_GB2312"/>
                      <w:sz w:val="20"/>
                      <w:color w:val="000000"/>
                    </w:rPr>
                    <w:t>2.对不同月份的各个服务绩效指标进行汇总和趋势分析；</w:t>
                  </w:r>
                </w:p>
                <w:p>
                  <w:pPr>
                    <w:pStyle w:val="null3"/>
                    <w:jc w:val="both"/>
                  </w:pPr>
                  <w:r>
                    <w:rPr>
                      <w:rFonts w:ascii="仿宋_GB2312" w:hAnsi="仿宋_GB2312" w:cs="仿宋_GB2312" w:eastAsia="仿宋_GB2312"/>
                      <w:sz w:val="20"/>
                      <w:color w:val="000000"/>
                    </w:rPr>
                    <w:t>3.支持表头自定义及表格下载；</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医院科室</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1.从服务能力、服务效率、服务质量等维度，对各个科室的绩效指标进行分析；</w:t>
                  </w:r>
                </w:p>
                <w:p>
                  <w:pPr>
                    <w:pStyle w:val="null3"/>
                    <w:jc w:val="both"/>
                  </w:pPr>
                  <w:r>
                    <w:rPr>
                      <w:rFonts w:ascii="仿宋_GB2312" w:hAnsi="仿宋_GB2312" w:cs="仿宋_GB2312" w:eastAsia="仿宋_GB2312"/>
                      <w:sz w:val="20"/>
                      <w:color w:val="000000"/>
                    </w:rPr>
                    <w:t>2.对不同科室的服务绩效指标进行汇总，包含但不限于DRG组数、CMI、时间消耗指数、费用消耗指数、再入院率等；</w:t>
                  </w:r>
                </w:p>
                <w:p>
                  <w:pPr>
                    <w:pStyle w:val="null3"/>
                    <w:jc w:val="both"/>
                  </w:pPr>
                  <w:r>
                    <w:rPr>
                      <w:rFonts w:ascii="仿宋_GB2312" w:hAnsi="仿宋_GB2312" w:cs="仿宋_GB2312" w:eastAsia="仿宋_GB2312"/>
                      <w:sz w:val="20"/>
                      <w:color w:val="000000"/>
                    </w:rPr>
                    <w:t>3.对重点绩效指标提供波士顿矩阵分析；</w:t>
                  </w:r>
                </w:p>
                <w:p>
                  <w:pPr>
                    <w:pStyle w:val="null3"/>
                    <w:jc w:val="both"/>
                  </w:pPr>
                  <w:r>
                    <w:rPr>
                      <w:rFonts w:ascii="仿宋_GB2312" w:hAnsi="仿宋_GB2312" w:cs="仿宋_GB2312" w:eastAsia="仿宋_GB2312"/>
                      <w:sz w:val="20"/>
                      <w:color w:val="000000"/>
                    </w:rPr>
                    <w:t>4.支持对同一科室不同月份的服务绩效指标进行对比；</w:t>
                  </w:r>
                </w:p>
                <w:p>
                  <w:pPr>
                    <w:pStyle w:val="null3"/>
                    <w:jc w:val="both"/>
                  </w:pPr>
                  <w:r>
                    <w:rPr>
                      <w:rFonts w:ascii="仿宋_GB2312" w:hAnsi="仿宋_GB2312" w:cs="仿宋_GB2312" w:eastAsia="仿宋_GB2312"/>
                      <w:sz w:val="20"/>
                      <w:color w:val="000000"/>
                    </w:rPr>
                    <w:t>5.支持表头自定义及表格下载；</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责任医生</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1.从服务能力、服务效率、服务质量等维度，对各个责任医生的绩效指标进行分析；</w:t>
                  </w:r>
                </w:p>
                <w:p>
                  <w:pPr>
                    <w:pStyle w:val="null3"/>
                    <w:jc w:val="both"/>
                  </w:pPr>
                  <w:r>
                    <w:rPr>
                      <w:rFonts w:ascii="仿宋_GB2312" w:hAnsi="仿宋_GB2312" w:cs="仿宋_GB2312" w:eastAsia="仿宋_GB2312"/>
                      <w:sz w:val="20"/>
                      <w:color w:val="000000"/>
                    </w:rPr>
                    <w:t>2.对不同责任医生的服务绩效指标进行汇总，包含但不限于DRG组数、CMI、时间消耗指数、费用消耗指数、再入院率等；</w:t>
                  </w:r>
                </w:p>
                <w:p>
                  <w:pPr>
                    <w:pStyle w:val="null3"/>
                    <w:jc w:val="both"/>
                  </w:pPr>
                  <w:r>
                    <w:rPr>
                      <w:rFonts w:ascii="仿宋_GB2312" w:hAnsi="仿宋_GB2312" w:cs="仿宋_GB2312" w:eastAsia="仿宋_GB2312"/>
                      <w:sz w:val="20"/>
                      <w:color w:val="000000"/>
                    </w:rPr>
                    <w:t>3.支持对同一责任医生不同月份的服务绩效指标进行对比；</w:t>
                  </w:r>
                </w:p>
                <w:p>
                  <w:pPr>
                    <w:pStyle w:val="null3"/>
                    <w:jc w:val="both"/>
                  </w:pPr>
                  <w:r>
                    <w:rPr>
                      <w:rFonts w:ascii="仿宋_GB2312" w:hAnsi="仿宋_GB2312" w:cs="仿宋_GB2312" w:eastAsia="仿宋_GB2312"/>
                      <w:sz w:val="20"/>
                      <w:color w:val="000000"/>
                    </w:rPr>
                    <w:t>4.支持表头自定义及表格下载；</w:t>
                  </w:r>
                </w:p>
              </w:tc>
            </w:tr>
            <w:tr>
              <w:tc>
                <w:tcPr>
                  <w:tcW w:type="dxa" w:w="209"/>
                  <w:vMerge/>
                  <w:tcBorders>
                    <w:top w:val="none" w:color="000000" w:sz="4"/>
                    <w:left w:val="singl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医院病组</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1.支持查看各病组的服务能力、服务效率、服务质量指标；</w:t>
                  </w:r>
                </w:p>
                <w:p>
                  <w:pPr>
                    <w:pStyle w:val="null3"/>
                    <w:jc w:val="both"/>
                  </w:pPr>
                  <w:r>
                    <w:rPr>
                      <w:rFonts w:ascii="仿宋_GB2312" w:hAnsi="仿宋_GB2312" w:cs="仿宋_GB2312" w:eastAsia="仿宋_GB2312"/>
                      <w:sz w:val="20"/>
                      <w:color w:val="000000"/>
                    </w:rPr>
                    <w:t>2.支持查看选定病组的病例数、权重、费用结构、时间消耗指数、费用消耗指数等信息；</w:t>
                  </w:r>
                </w:p>
                <w:p>
                  <w:pPr>
                    <w:pStyle w:val="null3"/>
                    <w:jc w:val="both"/>
                  </w:pPr>
                  <w:r>
                    <w:rPr>
                      <w:rFonts w:ascii="仿宋_GB2312" w:hAnsi="仿宋_GB2312" w:cs="仿宋_GB2312" w:eastAsia="仿宋_GB2312"/>
                      <w:sz w:val="20"/>
                      <w:color w:val="000000"/>
                    </w:rPr>
                    <w:t>3.支持查看各病组的不同月份绩效指标对比；</w:t>
                  </w:r>
                </w:p>
                <w:p>
                  <w:pPr>
                    <w:pStyle w:val="null3"/>
                    <w:jc w:val="both"/>
                  </w:pPr>
                  <w:r>
                    <w:rPr>
                      <w:rFonts w:ascii="仿宋_GB2312" w:hAnsi="仿宋_GB2312" w:cs="仿宋_GB2312" w:eastAsia="仿宋_GB2312"/>
                      <w:sz w:val="20"/>
                      <w:color w:val="000000"/>
                    </w:rPr>
                    <w:t>4.支持表头自定义及表格下载；</w:t>
                  </w:r>
                </w:p>
              </w:tc>
            </w:tr>
          </w:tbl>
          <w:p>
            <w:pPr>
              <w:pStyle w:val="null3"/>
              <w:jc w:val="both"/>
              <w:outlineLvl w:val="1"/>
            </w:pPr>
            <w:r>
              <w:rPr>
                <w:rFonts w:ascii="仿宋_GB2312" w:hAnsi="仿宋_GB2312" w:cs="仿宋_GB2312" w:eastAsia="仿宋_GB2312"/>
                <w:sz w:val="20"/>
                <w:b/>
              </w:rPr>
              <w:t>数据平台</w:t>
            </w:r>
          </w:p>
          <w:tbl>
            <w:tblPr>
              <w:tblInd w:type="dxa" w:w="120"/>
              <w:tblBorders>
                <w:top w:val="none" w:color="000000" w:sz="4"/>
                <w:left w:val="none" w:color="000000" w:sz="4"/>
                <w:bottom w:val="none" w:color="000000" w:sz="4"/>
                <w:right w:val="none" w:color="000000" w:sz="4"/>
                <w:insideH w:val="none"/>
                <w:insideV w:val="none"/>
              </w:tblBorders>
            </w:tblPr>
            <w:tblGrid>
              <w:gridCol w:w="432"/>
              <w:gridCol w:w="115"/>
              <w:gridCol w:w="115"/>
              <w:gridCol w:w="115"/>
              <w:gridCol w:w="1660"/>
              <w:gridCol w:w="115"/>
            </w:tblGrid>
            <w:tr>
              <w:tc>
                <w:tcPr>
                  <w:tcW w:type="dxa" w:w="2552"/>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模块</w:t>
                  </w:r>
                </w:p>
              </w:tc>
              <w:tc>
                <w:tcPr>
                  <w:tcW w:type="dxa" w:w="230"/>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75"/>
                    <w:jc w:val="center"/>
                  </w:pPr>
                  <w:r>
                    <w:rPr>
                      <w:rFonts w:ascii="仿宋_GB2312" w:hAnsi="仿宋_GB2312" w:cs="仿宋_GB2312" w:eastAsia="仿宋_GB2312"/>
                      <w:sz w:val="20"/>
                    </w:rPr>
                    <w:t>功</w:t>
                  </w:r>
                  <w:r>
                    <w:rPr>
                      <w:rFonts w:ascii="仿宋_GB2312" w:hAnsi="仿宋_GB2312" w:cs="仿宋_GB2312" w:eastAsia="仿宋_GB2312"/>
                      <w:sz w:val="20"/>
                    </w:rPr>
                    <w:t>能点</w:t>
                  </w:r>
                </w:p>
              </w:tc>
              <w:tc>
                <w:tcPr>
                  <w:tcW w:type="dxa" w:w="189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0"/>
                    </w:rPr>
                    <w:t>功能描述</w:t>
                  </w:r>
                </w:p>
              </w:tc>
            </w:tr>
            <w:tr>
              <w:tc>
                <w:tcPr>
                  <w:tcW w:type="dxa" w:w="43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90"/>
                  </w:pPr>
                  <w:r>
                    <w:rPr>
                      <w:rFonts w:ascii="仿宋_GB2312" w:hAnsi="仿宋_GB2312" w:cs="仿宋_GB2312" w:eastAsia="仿宋_GB2312"/>
                      <w:sz w:val="20"/>
                    </w:rPr>
                    <w:t>数据源</w:t>
                  </w:r>
                  <w:r>
                    <w:rPr>
                      <w:rFonts w:ascii="仿宋_GB2312" w:hAnsi="仿宋_GB2312" w:cs="仿宋_GB2312" w:eastAsia="仿宋_GB2312"/>
                      <w:sz w:val="20"/>
                    </w:rPr>
                    <w:t>/ 数据仓库</w:t>
                  </w:r>
                </w:p>
              </w:tc>
              <w:tc>
                <w:tcPr>
                  <w:tcW w:type="dxa" w:w="230"/>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 w:right="75"/>
                    <w:jc w:val="both"/>
                  </w:pPr>
                  <w:r>
                    <w:rPr>
                      <w:rFonts w:ascii="仿宋_GB2312" w:hAnsi="仿宋_GB2312" w:cs="仿宋_GB2312" w:eastAsia="仿宋_GB2312"/>
                      <w:sz w:val="20"/>
                    </w:rPr>
                    <w:t>对各种异构数据源通过简易可视化配置的方式接入平台并管</w:t>
                  </w:r>
                  <w:r>
                    <w:rPr>
                      <w:rFonts w:ascii="仿宋_GB2312" w:hAnsi="仿宋_GB2312" w:cs="仿宋_GB2312" w:eastAsia="仿宋_GB2312"/>
                      <w:sz w:val="20"/>
                    </w:rPr>
                    <w:t>理</w:t>
                  </w:r>
                </w:p>
              </w:tc>
              <w:tc>
                <w:tcPr>
                  <w:tcW w:type="dxa" w:w="18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0"/>
                    </w:rPr>
                    <w:t>1.支持多种数据源接入，包含Oracle、SqlServer、</w:t>
                  </w:r>
                </w:p>
                <w:p>
                  <w:pPr>
                    <w:pStyle w:val="null3"/>
                    <w:spacing w:before="30"/>
                    <w:ind w:left="90"/>
                  </w:pPr>
                  <w:r>
                    <w:rPr>
                      <w:rFonts w:ascii="仿宋_GB2312" w:hAnsi="仿宋_GB2312" w:cs="仿宋_GB2312" w:eastAsia="仿宋_GB2312"/>
                      <w:sz w:val="20"/>
                    </w:rPr>
                    <w:t>MySql、Tidb、Hive、Clickhouse、Doris等主流OL</w:t>
                  </w:r>
                </w:p>
                <w:p>
                  <w:pPr>
                    <w:pStyle w:val="null3"/>
                    <w:spacing w:before="30"/>
                    <w:ind w:left="90"/>
                  </w:pPr>
                  <w:r>
                    <w:rPr>
                      <w:rFonts w:ascii="仿宋_GB2312" w:hAnsi="仿宋_GB2312" w:cs="仿宋_GB2312" w:eastAsia="仿宋_GB2312"/>
                      <w:sz w:val="20"/>
                    </w:rPr>
                    <w:t>TP、OLAP数据库；</w:t>
                  </w:r>
                </w:p>
              </w:tc>
            </w:tr>
            <w:tr>
              <w:tc>
                <w:tcPr>
                  <w:tcW w:type="dxa" w:w="43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8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0"/>
                    </w:rPr>
                    <w:t>2.数据源接入支持全程页面可视化配置，支持连接池管理；</w:t>
                  </w:r>
                </w:p>
              </w:tc>
            </w:tr>
            <w:tr>
              <w:tc>
                <w:tcPr>
                  <w:tcW w:type="dxa" w:w="43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8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0"/>
                    </w:rPr>
                    <w:t>3.支持对表、视图等元数据的管理；</w:t>
                  </w:r>
                </w:p>
              </w:tc>
            </w:tr>
            <w:tr>
              <w:tc>
                <w:tcPr>
                  <w:tcW w:type="dxa" w:w="43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8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0"/>
                    </w:rPr>
                    <w:t>4.支持对数据的常用操作，支持大文件导入数据；</w:t>
                  </w:r>
                </w:p>
              </w:tc>
            </w:tr>
            <w:tr>
              <w:tc>
                <w:tcPr>
                  <w:tcW w:type="dxa" w:w="43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65"/>
                  </w:pPr>
                  <w:r>
                    <w:rPr>
                      <w:rFonts w:ascii="仿宋_GB2312" w:hAnsi="仿宋_GB2312" w:cs="仿宋_GB2312" w:eastAsia="仿宋_GB2312"/>
                      <w:sz w:val="20"/>
                    </w:rPr>
                    <w:t>离线调度</w:t>
                  </w:r>
                </w:p>
              </w:tc>
              <w:tc>
                <w:tcPr>
                  <w:tcW w:type="dxa" w:w="230"/>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仿宋_GB2312" w:hAnsi="仿宋_GB2312" w:cs="仿宋_GB2312" w:eastAsia="仿宋_GB2312"/>
                      <w:sz w:val="20"/>
                    </w:rPr>
                    <w:t>实现调度计划自助可视化开发</w:t>
                  </w:r>
                  <w:r>
                    <w:rPr>
                      <w:rFonts w:ascii="仿宋_GB2312" w:hAnsi="仿宋_GB2312" w:cs="仿宋_GB2312" w:eastAsia="仿宋_GB2312"/>
                      <w:sz w:val="20"/>
                    </w:rPr>
                    <w:t>，</w:t>
                  </w:r>
                </w:p>
                <w:p>
                  <w:pPr>
                    <w:pStyle w:val="null3"/>
                    <w:spacing w:before="135"/>
                    <w:ind w:left="90" w:right="75"/>
                    <w:jc w:val="both"/>
                  </w:pPr>
                  <w:r>
                    <w:rPr>
                      <w:rFonts w:ascii="仿宋_GB2312" w:hAnsi="仿宋_GB2312" w:cs="仿宋_GB2312" w:eastAsia="仿宋_GB2312"/>
                      <w:sz w:val="20"/>
                    </w:rPr>
                    <w:t>支持众多数据操作组件</w:t>
                  </w:r>
                </w:p>
                <w:p>
                  <w:pPr>
                    <w:pStyle w:val="null3"/>
                    <w:ind w:left="90" w:right="75"/>
                    <w:jc w:val="both"/>
                  </w:pPr>
                  <w:r>
                    <w:rPr>
                      <w:rFonts w:ascii="仿宋_GB2312" w:hAnsi="仿宋_GB2312" w:cs="仿宋_GB2312" w:eastAsia="仿宋_GB2312"/>
                      <w:sz w:val="20"/>
                    </w:rPr>
                    <w:t>，</w:t>
                  </w:r>
                  <w:r>
                    <w:rPr>
                      <w:rFonts w:ascii="仿宋_GB2312" w:hAnsi="仿宋_GB2312" w:cs="仿宋_GB2312" w:eastAsia="仿宋_GB2312"/>
                      <w:sz w:val="20"/>
                    </w:rPr>
                    <w:t>内置</w:t>
                  </w:r>
                </w:p>
                <w:p>
                  <w:pPr>
                    <w:pStyle w:val="null3"/>
                    <w:ind w:left="90"/>
                    <w:jc w:val="both"/>
                  </w:pPr>
                  <w:r>
                    <w:rPr>
                      <w:rFonts w:ascii="仿宋_GB2312" w:hAnsi="仿宋_GB2312" w:cs="仿宋_GB2312" w:eastAsia="仿宋_GB2312"/>
                      <w:sz w:val="20"/>
                    </w:rPr>
                    <w:t>D</w:t>
                  </w:r>
                  <w:r>
                    <w:rPr>
                      <w:rFonts w:ascii="仿宋_GB2312" w:hAnsi="仿宋_GB2312" w:cs="仿宋_GB2312" w:eastAsia="仿宋_GB2312"/>
                      <w:sz w:val="20"/>
                    </w:rPr>
                    <w:t>RG</w:t>
                  </w:r>
                  <w:r>
                    <w:rPr>
                      <w:rFonts w:ascii="仿宋_GB2312" w:hAnsi="仿宋_GB2312" w:cs="仿宋_GB2312" w:eastAsia="仿宋_GB2312"/>
                      <w:sz w:val="20"/>
                    </w:rPr>
                    <w:t>/D</w:t>
                  </w:r>
                  <w:r>
                    <w:rPr>
                      <w:rFonts w:ascii="仿宋_GB2312" w:hAnsi="仿宋_GB2312" w:cs="仿宋_GB2312" w:eastAsia="仿宋_GB2312"/>
                      <w:sz w:val="20"/>
                    </w:rPr>
                    <w:t>IP</w:t>
                  </w:r>
                  <w:r>
                    <w:rPr>
                      <w:rFonts w:ascii="仿宋_GB2312" w:hAnsi="仿宋_GB2312" w:cs="仿宋_GB2312" w:eastAsia="仿宋_GB2312"/>
                      <w:sz w:val="20"/>
                    </w:rPr>
                    <w:t>/A</w:t>
                  </w:r>
                  <w:r>
                    <w:rPr>
                      <w:rFonts w:ascii="仿宋_GB2312" w:hAnsi="仿宋_GB2312" w:cs="仿宋_GB2312" w:eastAsia="仿宋_GB2312"/>
                      <w:sz w:val="20"/>
                    </w:rPr>
                    <w:t>PG</w:t>
                  </w:r>
                </w:p>
                <w:p>
                  <w:pPr>
                    <w:pStyle w:val="null3"/>
                    <w:spacing w:before="75"/>
                    <w:ind w:left="90" w:right="75"/>
                    <w:jc w:val="both"/>
                  </w:pPr>
                  <w:r>
                    <w:rPr>
                      <w:rFonts w:ascii="仿宋_GB2312" w:hAnsi="仿宋_GB2312" w:cs="仿宋_GB2312" w:eastAsia="仿宋_GB2312"/>
                      <w:sz w:val="20"/>
                    </w:rPr>
                    <w:t>分组器节</w:t>
                  </w:r>
                  <w:r>
                    <w:rPr>
                      <w:rFonts w:ascii="仿宋_GB2312" w:hAnsi="仿宋_GB2312" w:cs="仿宋_GB2312" w:eastAsia="仿宋_GB2312"/>
                      <w:sz w:val="20"/>
                    </w:rPr>
                    <w:t>点</w:t>
                  </w:r>
                </w:p>
              </w:tc>
              <w:tc>
                <w:tcPr>
                  <w:tcW w:type="dxa" w:w="18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0"/>
                    </w:rPr>
                    <w:t>1.支持任务集群调度能力，支持每节点最多2000任</w:t>
                  </w:r>
                </w:p>
                <w:p>
                  <w:pPr>
                    <w:pStyle w:val="null3"/>
                    <w:spacing w:before="90"/>
                    <w:ind w:left="90"/>
                  </w:pPr>
                  <w:r>
                    <w:rPr>
                      <w:rFonts w:ascii="仿宋_GB2312" w:hAnsi="仿宋_GB2312" w:cs="仿宋_GB2312" w:eastAsia="仿宋_GB2312"/>
                      <w:sz w:val="20"/>
                    </w:rPr>
                    <w:t>务并行执行；</w:t>
                  </w:r>
                </w:p>
              </w:tc>
            </w:tr>
            <w:tr>
              <w:tc>
                <w:tcPr>
                  <w:tcW w:type="dxa" w:w="43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8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0"/>
                    </w:rPr>
                    <w:t>1.支持通过页面拖拉拽的方式完成整条计划的定义和</w:t>
                  </w:r>
                </w:p>
                <w:p>
                  <w:pPr>
                    <w:pStyle w:val="null3"/>
                    <w:spacing w:before="90"/>
                    <w:ind w:left="90"/>
                  </w:pPr>
                  <w:r>
                    <w:rPr>
                      <w:rFonts w:ascii="仿宋_GB2312" w:hAnsi="仿宋_GB2312" w:cs="仿宋_GB2312" w:eastAsia="仿宋_GB2312"/>
                      <w:sz w:val="20"/>
                    </w:rPr>
                    <w:t>管理；支持并行、串行、等待等基本逻辑配置；</w:t>
                  </w:r>
                </w:p>
              </w:tc>
            </w:tr>
            <w:tr>
              <w:tc>
                <w:tcPr>
                  <w:tcW w:type="dxa" w:w="43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8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0"/>
                    </w:rPr>
                    <w:t>2.内置数据同步、数据映射、数据填充、数据清洗等</w:t>
                  </w:r>
                </w:p>
                <w:p>
                  <w:pPr>
                    <w:pStyle w:val="null3"/>
                    <w:spacing w:before="90"/>
                    <w:ind w:left="90"/>
                  </w:pPr>
                  <w:r>
                    <w:rPr>
                      <w:rFonts w:ascii="仿宋_GB2312" w:hAnsi="仿宋_GB2312" w:cs="仿宋_GB2312" w:eastAsia="仿宋_GB2312"/>
                      <w:sz w:val="20"/>
                    </w:rPr>
                    <w:t>常用数据处理节点；</w:t>
                  </w:r>
                </w:p>
              </w:tc>
            </w:tr>
            <w:tr>
              <w:tc>
                <w:tcPr>
                  <w:tcW w:type="dxa" w:w="43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8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0"/>
                    </w:rPr>
                    <w:t>3.内置SQL脚本、Python脚本、Http请求、Aviator</w:t>
                  </w:r>
                </w:p>
                <w:p>
                  <w:pPr>
                    <w:pStyle w:val="null3"/>
                    <w:spacing w:before="90"/>
                    <w:ind w:left="90"/>
                  </w:pPr>
                  <w:r>
                    <w:rPr>
                      <w:rFonts w:ascii="仿宋_GB2312" w:hAnsi="仿宋_GB2312" w:cs="仿宋_GB2312" w:eastAsia="仿宋_GB2312"/>
                      <w:sz w:val="20"/>
                    </w:rPr>
                    <w:t>脚本等常用脚本处理节点；</w:t>
                  </w:r>
                </w:p>
              </w:tc>
            </w:tr>
            <w:tr>
              <w:tc>
                <w:tcPr>
                  <w:tcW w:type="dxa" w:w="43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8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0"/>
                    </w:rPr>
                    <w:t>4.内置DRG分组核心业务节点；</w:t>
                  </w:r>
                </w:p>
              </w:tc>
            </w:tr>
            <w:tr>
              <w:tc>
                <w:tcPr>
                  <w:tcW w:type="dxa" w:w="43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8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0"/>
                    </w:rPr>
                    <w:t>5.支持可视化自定义计划执行任意频率配置；支持计</w:t>
                  </w:r>
                </w:p>
                <w:p>
                  <w:pPr>
                    <w:pStyle w:val="null3"/>
                    <w:spacing w:before="90"/>
                    <w:ind w:left="90"/>
                  </w:pPr>
                  <w:r>
                    <w:rPr>
                      <w:rFonts w:ascii="仿宋_GB2312" w:hAnsi="仿宋_GB2312" w:cs="仿宋_GB2312" w:eastAsia="仿宋_GB2312"/>
                      <w:sz w:val="20"/>
                    </w:rPr>
                    <w:t>划自定义参数管理；</w:t>
                  </w:r>
                </w:p>
              </w:tc>
            </w:tr>
            <w:tr>
              <w:tc>
                <w:tcPr>
                  <w:tcW w:type="dxa" w:w="43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8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0"/>
                    </w:rPr>
                    <w:t>6.支持计划运行失败重试、状态邮件通知等；支持在</w:t>
                  </w:r>
                </w:p>
                <w:p>
                  <w:pPr>
                    <w:pStyle w:val="null3"/>
                    <w:spacing w:before="90"/>
                    <w:ind w:left="90"/>
                  </w:pPr>
                  <w:r>
                    <w:rPr>
                      <w:rFonts w:ascii="仿宋_GB2312" w:hAnsi="仿宋_GB2312" w:cs="仿宋_GB2312" w:eastAsia="仿宋_GB2312"/>
                      <w:sz w:val="20"/>
                    </w:rPr>
                    <w:t>运行计划的强制取消；</w:t>
                  </w:r>
                </w:p>
              </w:tc>
            </w:tr>
            <w:tr>
              <w:tc>
                <w:tcPr>
                  <w:tcW w:type="dxa" w:w="43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890"/>
                  <w:gridSpan w:val="3"/>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7.支持计划导入及导出；</w:t>
                  </w:r>
                </w:p>
              </w:tc>
            </w:tr>
            <w:tr>
              <w:tc>
                <w:tcPr>
                  <w:tcW w:type="dxa" w:w="43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89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8.支持计划运行全流程监控；</w:t>
                  </w:r>
                </w:p>
              </w:tc>
            </w:tr>
            <w:tr>
              <w:tc>
                <w:tcPr>
                  <w:tcW w:type="dxa" w:w="547"/>
                  <w:gridSpan w:val="2"/>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数据字典</w:t>
                  </w:r>
                  <w:r>
                    <w:rPr>
                      <w:rFonts w:ascii="仿宋_GB2312" w:hAnsi="仿宋_GB2312" w:cs="仿宋_GB2312" w:eastAsia="仿宋_GB2312"/>
                      <w:sz w:val="20"/>
                    </w:rPr>
                    <w:t>/数据映射</w:t>
                  </w:r>
                </w:p>
              </w:tc>
              <w:tc>
                <w:tcPr>
                  <w:tcW w:type="dxa" w:w="230"/>
                  <w:gridSpan w:val="2"/>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支持单层级</w:t>
                  </w:r>
                  <w:r>
                    <w:rPr>
                      <w:rFonts w:ascii="仿宋_GB2312" w:hAnsi="仿宋_GB2312" w:cs="仿宋_GB2312" w:eastAsia="仿宋_GB2312"/>
                      <w:sz w:val="20"/>
                    </w:rPr>
                    <w:t xml:space="preserve">/ </w:t>
                  </w:r>
                  <w:r>
                    <w:rPr>
                      <w:rFonts w:ascii="仿宋_GB2312" w:hAnsi="仿宋_GB2312" w:cs="仿宋_GB2312" w:eastAsia="仿宋_GB2312"/>
                      <w:sz w:val="20"/>
                    </w:rPr>
                    <w:t>多层级数据字典的自定义创</w:t>
                  </w:r>
                  <w:r>
                    <w:rPr>
                      <w:rFonts w:ascii="仿宋_GB2312" w:hAnsi="仿宋_GB2312" w:cs="仿宋_GB2312" w:eastAsia="仿宋_GB2312"/>
                      <w:sz w:val="20"/>
                    </w:rPr>
                    <w:t>建及数据管</w:t>
                  </w:r>
                  <w:r>
                    <w:rPr>
                      <w:rFonts w:ascii="仿宋_GB2312" w:hAnsi="仿宋_GB2312" w:cs="仿宋_GB2312" w:eastAsia="仿宋_GB2312"/>
                      <w:sz w:val="20"/>
                    </w:rPr>
                    <w:t>理；支持映射表的自定义创建及数据管理</w:t>
                  </w:r>
                </w:p>
              </w:tc>
              <w:tc>
                <w:tcPr>
                  <w:tcW w:type="dxa" w:w="16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1.支持定义单层级/多层级数据字典的结构管理、数据维护；支持自定同步至任意数据库；</w:t>
                  </w:r>
                </w:p>
              </w:tc>
            </w:tr>
            <w:tr>
              <w:tc>
                <w:tcPr>
                  <w:tcW w:type="dxa" w:w="547"/>
                  <w:gridSpan w:val="2"/>
                  <w:vMerge/>
                  <w:tcBorders>
                    <w:top w:val="single" w:color="000000" w:sz="4"/>
                    <w:left w:val="single" w:color="000000" w:sz="4"/>
                    <w:bottom w:val="single" w:color="000000" w:sz="4"/>
                    <w:right w:val="single" w:color="000000" w:sz="4"/>
                  </w:tcBorders>
                </w:tcPr>
                <w:p/>
              </w:tc>
              <w:tc>
                <w:tcPr>
                  <w:tcW w:type="dxa" w:w="230"/>
                  <w:gridSpan w:val="2"/>
                  <w:vMerge/>
                  <w:tcBorders>
                    <w:top w:val="singl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2.支持映射表的结构管理、数据维护；支持自定同步至</w:t>
                  </w:r>
                  <w:r>
                    <w:rPr>
                      <w:rFonts w:ascii="仿宋_GB2312" w:hAnsi="仿宋_GB2312" w:cs="仿宋_GB2312" w:eastAsia="仿宋_GB2312"/>
                      <w:sz w:val="20"/>
                    </w:rPr>
                    <w:t>任意数据库；</w:t>
                  </w:r>
                </w:p>
              </w:tc>
            </w:tr>
            <w:tr>
              <w:tc>
                <w:tcPr>
                  <w:tcW w:type="dxa" w:w="547"/>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数据质量</w:t>
                  </w:r>
                </w:p>
              </w:tc>
              <w:tc>
                <w:tcPr>
                  <w:tcW w:type="dxa" w:w="230"/>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对数据仓库或任意数据库中的数据进行自定义的检查规则；支持定时产出数据质量报告</w:t>
                  </w:r>
                </w:p>
              </w:tc>
              <w:tc>
                <w:tcPr>
                  <w:tcW w:type="dxa" w:w="1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1.支持可视化配置数据检查规则、数据检查目标、数据检查范围、数据检查顺序等；</w:t>
                  </w:r>
                </w:p>
              </w:tc>
            </w:tr>
            <w:tr>
              <w:tc>
                <w:tcPr>
                  <w:tcW w:type="dxa" w:w="547"/>
                  <w:gridSpan w:val="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2.支持批量导入导出检查规则；</w:t>
                  </w:r>
                </w:p>
              </w:tc>
            </w:tr>
            <w:tr>
              <w:tc>
                <w:tcPr>
                  <w:tcW w:type="dxa" w:w="547"/>
                  <w:gridSpan w:val="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3.支持手动/自定产出数据质量报告；支持异常原始数据查询；</w:t>
                  </w:r>
                </w:p>
              </w:tc>
            </w:tr>
            <w:tr>
              <w:tc>
                <w:tcPr>
                  <w:tcW w:type="dxa" w:w="547"/>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服务接口</w:t>
                  </w:r>
                </w:p>
              </w:tc>
              <w:tc>
                <w:tcPr>
                  <w:tcW w:type="dxa" w:w="230"/>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支持自定义开</w:t>
                  </w:r>
                  <w:r>
                    <w:rPr>
                      <w:rFonts w:ascii="仿宋_GB2312" w:hAnsi="仿宋_GB2312" w:cs="仿宋_GB2312" w:eastAsia="仿宋_GB2312"/>
                      <w:sz w:val="20"/>
                    </w:rPr>
                    <w:t>放</w:t>
                  </w:r>
                  <w:r>
                    <w:rPr>
                      <w:rFonts w:ascii="仿宋_GB2312" w:hAnsi="仿宋_GB2312" w:cs="仿宋_GB2312" w:eastAsia="仿宋_GB2312"/>
                      <w:sz w:val="20"/>
                    </w:rPr>
                    <w:t>API</w:t>
                  </w:r>
                  <w:r>
                    <w:rPr>
                      <w:rFonts w:ascii="仿宋_GB2312" w:hAnsi="仿宋_GB2312" w:cs="仿宋_GB2312" w:eastAsia="仿宋_GB2312"/>
                      <w:sz w:val="20"/>
                    </w:rPr>
                    <w:t xml:space="preserve"> </w:t>
                  </w:r>
                  <w:r>
                    <w:rPr>
                      <w:rFonts w:ascii="仿宋_GB2312" w:hAnsi="仿宋_GB2312" w:cs="仿宋_GB2312" w:eastAsia="仿宋_GB2312"/>
                      <w:sz w:val="20"/>
                    </w:rPr>
                    <w:t>接口，</w:t>
                  </w:r>
                  <w:r>
                    <w:rPr>
                      <w:rFonts w:ascii="仿宋_GB2312" w:hAnsi="仿宋_GB2312" w:cs="仿宋_GB2312" w:eastAsia="仿宋_GB2312"/>
                      <w:sz w:val="20"/>
                    </w:rPr>
                    <w:t>页面定义接口数据流转流程</w:t>
                  </w:r>
                </w:p>
              </w:tc>
              <w:tc>
                <w:tcPr>
                  <w:tcW w:type="dxa" w:w="1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1.支持页面自定义开放 API 端点地址等信息；</w:t>
                  </w:r>
                </w:p>
              </w:tc>
            </w:tr>
            <w:tr>
              <w:tc>
                <w:tcPr>
                  <w:tcW w:type="dxa" w:w="547"/>
                  <w:gridSpan w:val="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2.支持通过页面拖拉拽的方式完成接口接收数据处理流程的配置；支持并行、串行、等待等基本逻辑配置；</w:t>
                  </w:r>
                </w:p>
              </w:tc>
            </w:tr>
            <w:tr>
              <w:tc>
                <w:tcPr>
                  <w:tcW w:type="dxa" w:w="547"/>
                  <w:gridSpan w:val="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3.支持数据转换脚本、数据映射、查询数据、异步存储数据、DRG 分组等常用节点。</w:t>
                  </w:r>
                </w:p>
              </w:tc>
            </w:tr>
            <w:tr>
              <w:tc>
                <w:tcPr>
                  <w:tcW w:type="dxa" w:w="547"/>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监控中心</w:t>
                  </w:r>
                </w:p>
              </w:tc>
              <w:tc>
                <w:tcPr>
                  <w:tcW w:type="dxa" w:w="230"/>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对各资源服务进行监控和管理，对离线调度、服务接口进行全流程监控记录</w:t>
                  </w:r>
                </w:p>
              </w:tc>
              <w:tc>
                <w:tcPr>
                  <w:tcW w:type="dxa" w:w="1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1.支持平台集群内存、数据源健康状态、线程池、CPU、连接池等使用情况实时展示；</w:t>
                  </w:r>
                </w:p>
              </w:tc>
            </w:tr>
            <w:tr>
              <w:tc>
                <w:tcPr>
                  <w:tcW w:type="dxa" w:w="547"/>
                  <w:gridSpan w:val="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2.支持慢 SQL 监控及展示；</w:t>
                  </w:r>
                </w:p>
              </w:tc>
            </w:tr>
            <w:tr>
              <w:tc>
                <w:tcPr>
                  <w:tcW w:type="dxa" w:w="547"/>
                  <w:gridSpan w:val="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3.支持调度计划执行全过程监控记录，支持查看各节点运行实时状态及日志；</w:t>
                  </w:r>
                </w:p>
              </w:tc>
            </w:tr>
            <w:tr>
              <w:tc>
                <w:tcPr>
                  <w:tcW w:type="dxa" w:w="547"/>
                  <w:gridSpan w:val="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4</w:t>
                  </w:r>
                  <w:r>
                    <w:rPr>
                      <w:rFonts w:ascii="仿宋_GB2312" w:hAnsi="仿宋_GB2312" w:cs="仿宋_GB2312" w:eastAsia="仿宋_GB2312"/>
                      <w:sz w:val="20"/>
                    </w:rPr>
                    <w:t>.支持接口流程执行全过程监控记录，支持查看请求入口、</w:t>
                  </w:r>
                  <w:r>
                    <w:rPr>
                      <w:rFonts w:ascii="仿宋_GB2312" w:hAnsi="仿宋_GB2312" w:cs="仿宋_GB2312" w:eastAsia="仿宋_GB2312"/>
                      <w:sz w:val="20"/>
                    </w:rPr>
                    <w:t>过程、请求返回所有数据日志；</w:t>
                  </w:r>
                </w:p>
              </w:tc>
            </w:tr>
            <w:tr>
              <w:tc>
                <w:tcPr>
                  <w:tcW w:type="dxa" w:w="547"/>
                  <w:gridSpan w:val="2"/>
                  <w:vMerge/>
                  <w:tcBorders>
                    <w:top w:val="none" w:color="000000" w:sz="4"/>
                    <w:left w:val="single" w:color="000000" w:sz="4"/>
                    <w:bottom w:val="single" w:color="000000" w:sz="4"/>
                    <w:right w:val="single" w:color="000000" w:sz="4"/>
                  </w:tcBorders>
                </w:tcPr>
                <w:p/>
              </w:tc>
              <w:tc>
                <w:tcPr>
                  <w:tcW w:type="dxa" w:w="230"/>
                  <w:gridSpan w:val="2"/>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5.支持邮件等通知结果监控及重发；</w:t>
                  </w:r>
                </w:p>
              </w:tc>
            </w:tr>
          </w:tbl>
          <w:p>
            <w:pPr>
              <w:pStyle w:val="null3"/>
              <w:jc w:val="left"/>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标的名称：智能审核平台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医院医保费用智能监管系统</w:t>
            </w:r>
          </w:p>
          <w:tbl>
            <w:tblPr>
              <w:tblInd w:type="dxa" w:w="120"/>
              <w:tblBorders>
                <w:top w:val="none" w:color="000000" w:sz="4"/>
                <w:left w:val="none" w:color="000000" w:sz="4"/>
                <w:bottom w:val="none" w:color="000000" w:sz="4"/>
                <w:right w:val="none" w:color="000000" w:sz="4"/>
                <w:insideH w:val="none"/>
                <w:insideV w:val="none"/>
              </w:tblBorders>
            </w:tblPr>
            <w:tblGrid>
              <w:gridCol w:w="177"/>
              <w:gridCol w:w="289"/>
              <w:gridCol w:w="2076"/>
            </w:tblGrid>
            <w:tr>
              <w:tc>
                <w:tcPr>
                  <w:tcW w:type="dxa" w:w="4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功能描述</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知识库系统</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知识库规则内容</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基于本地医保管理、医保报销、卫生、药监、物价等政策，结合本地医保标准的诊断编码、本地收费项目等基础数据建立知识库，总结更新知识库内容，以解决医保政策的多变性、医疗费用真实性、合规性等问题。</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规则启停控制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提供规则查询并实时启停控制，针对不同业务运行场景，系统支持从不同维度进行规则查询并启停规则，如启停单个项目，或启停单个规则大类；支持批量操作。</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引导操作配置</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支持配置审核提醒时对医生提供的提醒内容及备选操作，支持从不同维度进行配置，如配置单个项目或配置单个规则大类；支持按不同审核业务做不同配置；支持批量配置。</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操作理由配置</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支持配置强制使用备案理由模板，可配置全院模板、个人模板，在系统拦截可疑审核结果时，医护人员可选择模板快速填写使用理由。支持新增、编辑、删除、启停模板。</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智能费用审核</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门诊处方实时审核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提供门诊处方实时审核功能。在医师开具门诊处方自动对处方进行实时审核，筛查出可疑违规项目后及时提醒医师进行处理，并提供多种处理方式，系统提供包括继续（须填写理由，为违规申诉提供依据）、自费（患者同意并签署自费同意书）、补充诊断和取消（使用替代方案）等几种处理方式，在不干预医师医疗服务行为的前提下，从源头上避免违规行为的产生。</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门特处方实时审核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医师在开具门特处方时，</w:t>
                  </w:r>
                  <w:r>
                    <w:rPr>
                      <w:rFonts w:ascii="仿宋_GB2312" w:hAnsi="仿宋_GB2312" w:cs="仿宋_GB2312" w:eastAsia="仿宋_GB2312"/>
                      <w:sz w:val="20"/>
                    </w:rPr>
                    <w:t>HIS系统自动调用门特处方实时审核服务进行审核，筛查出处方明细中存在的违规疑点并实时提醒医师。同时，系统提供包括继续（须填写理由，为违规申诉提供依据）、自费（患者同意并签署自费同意书）、补充诊断和取消（使用替代方案）等几种处理方式，在不干预医师医疗服务行为的前提下，从源头上避免违规行为的产生，加快医保门特管理政策的推广和落地。</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门特医保办实时审核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门特患者在进行结算前，医保办对患者本次就诊产生的门特处方进行整体审核，</w:t>
                  </w:r>
                  <w:r>
                    <w:rPr>
                      <w:rFonts w:ascii="仿宋_GB2312" w:hAnsi="仿宋_GB2312" w:cs="仿宋_GB2312" w:eastAsia="仿宋_GB2312"/>
                      <w:sz w:val="20"/>
                    </w:rPr>
                    <w:t>HIS调用门特医保办实时审核服务后，系统自动筛查出处方明细中存在的违规疑点并提示医保办审核人员，医保办审核人员确认后，系统将不符合报销规则的费用自动处理为不纳入报销。</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0"/>
                    </w:rPr>
                    <w:t>住院医嘱实时审核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医师开具医嘱并提交保存时，</w:t>
                  </w:r>
                  <w:r>
                    <w:rPr>
                      <w:rFonts w:ascii="仿宋_GB2312" w:hAnsi="仿宋_GB2312" w:cs="仿宋_GB2312" w:eastAsia="仿宋_GB2312"/>
                      <w:sz w:val="20"/>
                    </w:rPr>
                    <w:t>HIS系统自动调用医嘱智能监管服务并利用临床合理类规则和医保报销类规则对医嘱明细进行实时审核，一方面在发现不合理项目后即时提醒医师，解放医师记忆相关知识的压力，更好地规范医师的医疗服务行为；另一方面在发现不符合医保报销政策的项目后，系统将即时提醒医师，医师可取消医嘱或继续执行并备案。（提供相关功能界面截图）</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0"/>
                    </w:rPr>
                    <w:t>住院计费实时审核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各科室将计费项目录入</w:t>
                  </w:r>
                  <w:r>
                    <w:rPr>
                      <w:rFonts w:ascii="仿宋_GB2312" w:hAnsi="仿宋_GB2312" w:cs="仿宋_GB2312" w:eastAsia="仿宋_GB2312"/>
                      <w:sz w:val="20"/>
                    </w:rPr>
                    <w:t>HIS系统并提交保存时，HIS系统自动调用住院费用实时审核服务对待保存的收费项目进行实时审核，如有违规项目则进行实时提醒，从而解放医务人员记忆规则的压力，从源头避免违规行为的发生。（提供相关功能界面截图）</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住院每晚审核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针对事中环节，实现对在院医保患者的全部费用明细每晚定时预审，筛查出疑点数据及时反馈给医师进行纠正，做到事中实时监控，将违规行为控制在风险发生之前。</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0"/>
                    </w:rPr>
                    <w:t>住院医生站出院实时审核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在患者出院前，医师可对参保患者在院期间产生的所有费用进行审核，如有违规项目进行实时提醒，医师可及时完善《出院病情证明》和其它相关医疗文书，避免病人到医保办出院审核时才发现问题后再返回科室处理，让患者少跑冤枉路的同时提高患者就医体验。</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住院护士站出院实时审核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临床科室护士在为病人办理出院手续时，系统基于物价、收费规则和医保报销规则对患者本次就诊的所有费用进行审核，提醒操作人员对错记、漏记、不符合规定的费用进行修正，尤其是出院当天将补记费用均记到一天导致的问题。同时提供项目可报销与不可报销的分割详情查看，护士可根据机审结果结合患者实际情况进行自费标注。</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住院医保办出院实时审核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病人出院结算前，患者出院结算前，系统基于医保报销规则对患者本次就医进行整体审核，辅助医保办审核人员对诊断、医疗文书的规范性做最后的把关，并且对美容整形、不孕不育等不符合基本医疗保险支付范围和需履行医保要求的特定手续的情形（如外伤）进行重点提醒，协助医保办对患者住院费用的合理性和合规性进行最后的把关，最后，系统将不符合报销规则的费用自动处理为不纳入报销，保证报销政策的精准执行，提高医保办的审核效率。</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智能诊疗监测</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异常诊疗监测</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异常诊疗监测功能，系统依据医保局医保管理政策、医保管理专家经验等方面，可配置医保政策管理相关的审核规则，对异常就诊行为进行监测预警，例如：分解住院、频繁就诊、查体式住院、超长住院、诊断与年龄性别不符等就医行为。（提供相关功能界面截图）</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智能医保助手</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消息通知</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实时发送系统消息、操作消息提醒等。可将住院每晚预审的违规结果，依托消息通知系统定向推送到审核科室工作站或审核医生工作站、审核护士工作站。支持将医保办管理人员对每晚预审中选取的重点问题数据定向推送给对应开单人。</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每晚预审处置</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支持医师或护士在小助手中预览每晚预审待处理数据条数的消息，查询每晚预审中的违规结果，支持医护人员对筛查出的违规项目进行操作处理。</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诊断匹配查询</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提供诊断匹配查询功能，支持医师在小助手中查询规则诊断包与诊断编码明细的匹配关系，支持使用诊断包查询诊断编码明细，同时支持使用诊断编码或诊断名称查询其所属诊断包。</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智能申诉管理</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0"/>
                    </w:rPr>
                    <w:t>初审扣款管理</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系统支持对医保中心每月下发的初审扣款疑点数据进行管理，包含初审扣款数据导入、初审扣款数据分析。（提供相关功能界面截图）</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0"/>
                    </w:rPr>
                    <w:t>申诉材料生成</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医院导入的医保局扣款项目数据可以与医院审核系统审核出来的项目数据进行关联，临床医护备案的继续使用理由信息自动关联生成申述理由依据参考，医院可对申述理由进行补充，处理好扣款数据后可导出形成申述材料。（提供相关功能界面截图）</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0"/>
                    </w:rPr>
                    <w:t>申诉任务管理</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提供申请任务管理，根据导入的申诉数据，自动关联生成申诉材料，并支持下发任务到科室或医生对申诉进行处理，完成后导出申诉材料，提高申诉效率，减少申诉工作量。申诉任务管理包括申诉材料生成、申诉任务下发、申诉材料导出等。（提供相关功能界面截图）</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智能辅助决策</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智能审核查询</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全面记录了审核过程数据，针对重要场景（医保办出院审核）支持按时间、项目、科室、医师等各种条件查询，随时复现审核过程数据，查询审核时从院内业务系统中获取的患者原始诊疗数据以及审核过程中机审结果与人审结果，查询详细的审核过程数据，辅助管理人员做追溯和监管管理。</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审核预警分析</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支持通过时间、审核场景、医保类型、规则等级等对预警项目做分析。从项目、规则、科室、医师多维度展示审核预警提醒情况及医师操作情况。并通过图表形式直观展示。</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审核违规排名</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系统对监控数据进行统计，对审核违规进行排名，支持从项目、科室、医师等维度统计违规统计疑点数据，定位院内重点管理项目，为医院整体运营提供帮助。</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医保拒付分析</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系统通过医保拒付管理，实现医院最终扣款数据的导入导出、查询，以及终审扣款数据的相关统计。支持按照科室、医师、项目、规则等维度对医保拒付情况进行排名分析。</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审核效果分析</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根据医保中心下发的扣款数据分析事前事中提醒及审核效果，系统将医保的实际扣款明细与明细在事前事中事后的提醒审核结果、医师操作结果等进行后台对比，将对比的结果按系统未识别、系统已配置未提醒、系统已配置已提醒等类别进行分析统计，支持结果导出。</w:t>
                  </w:r>
                </w:p>
              </w:tc>
            </w:tr>
            <w:tr>
              <w:tc>
                <w:tcPr>
                  <w:tcW w:type="dxa" w:w="177"/>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医疗费用分析</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提供医疗费用统计分析功能，支持对一段时间内按医疗类型、科室角度对医院产生的医疗费用情况进行分析，分析结果包括费用结构、费用占比、费用发生趋势、费用发生的排名等。</w:t>
                  </w:r>
                </w:p>
              </w:tc>
            </w:tr>
            <w:tr>
              <w:tc>
                <w:tcPr>
                  <w:tcW w:type="dxa" w:w="4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系统维护管理要求</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支持对系统的知识库管理、系统维护功能，支持对医院、科室、医护信息维护、相关参数配置和用户权限管理。</w:t>
                  </w:r>
                </w:p>
                <w:p>
                  <w:pPr>
                    <w:pStyle w:val="null3"/>
                    <w:jc w:val="both"/>
                  </w:pPr>
                  <w:r>
                    <w:rPr>
                      <w:rFonts w:ascii="仿宋_GB2312" w:hAnsi="仿宋_GB2312" w:cs="仿宋_GB2312" w:eastAsia="仿宋_GB2312"/>
                      <w:sz w:val="20"/>
                    </w:rPr>
                    <w:t>信息维护：支持从</w:t>
                  </w:r>
                  <w:r>
                    <w:rPr>
                      <w:rFonts w:ascii="仿宋_GB2312" w:hAnsi="仿宋_GB2312" w:cs="仿宋_GB2312" w:eastAsia="仿宋_GB2312"/>
                      <w:sz w:val="20"/>
                    </w:rPr>
                    <w:t>HIS中采集医院实时的科室、医护人员信息，并支持在系统中进行补充修改。</w:t>
                  </w:r>
                </w:p>
                <w:p>
                  <w:pPr>
                    <w:pStyle w:val="null3"/>
                    <w:jc w:val="both"/>
                  </w:pPr>
                  <w:r>
                    <w:rPr>
                      <w:rFonts w:ascii="仿宋_GB2312" w:hAnsi="仿宋_GB2312" w:cs="仿宋_GB2312" w:eastAsia="仿宋_GB2312"/>
                      <w:sz w:val="20"/>
                    </w:rPr>
                    <w:t>权限管理：支持用户权限管理，实现不同角色查看不同业务场景数据，满足医院按需分配权限的管理需求。权限管理包括对组织人员管理、经办用户权限管理、管理员权限管理等功能。</w:t>
                  </w:r>
                </w:p>
                <w:p>
                  <w:pPr>
                    <w:pStyle w:val="null3"/>
                    <w:jc w:val="both"/>
                  </w:pPr>
                  <w:r>
                    <w:rPr>
                      <w:rFonts w:ascii="仿宋_GB2312" w:hAnsi="仿宋_GB2312" w:cs="仿宋_GB2312" w:eastAsia="仿宋_GB2312"/>
                      <w:sz w:val="20"/>
                    </w:rPr>
                    <w:t>参数配置：支持对系统参数配置的功能，实现院内审核场景和业务流程的配置。包括场景启停配置、科室出院审核流程配置、医保办出院审核流程配置、每晚定时任务时间配置、违规信息引导方式配置等。</w:t>
                  </w:r>
                </w:p>
              </w:tc>
            </w:tr>
            <w:tr>
              <w:tc>
                <w:tcPr>
                  <w:tcW w:type="dxa" w:w="4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质保服务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质保</w:t>
                  </w:r>
                  <w:r>
                    <w:rPr>
                      <w:rFonts w:ascii="仿宋_GB2312" w:hAnsi="仿宋_GB2312" w:cs="仿宋_GB2312" w:eastAsia="仿宋_GB2312"/>
                      <w:sz w:val="20"/>
                    </w:rPr>
                    <w:t>2</w:t>
                  </w:r>
                  <w:r>
                    <w:rPr>
                      <w:rFonts w:ascii="仿宋_GB2312" w:hAnsi="仿宋_GB2312" w:cs="仿宋_GB2312" w:eastAsia="仿宋_GB2312"/>
                      <w:sz w:val="20"/>
                    </w:rPr>
                    <w:t>年。软件厂商提供医保相关政策同步专项服务；通过附加的服务满足医院对内的管理提升和对外的监管预查，如扣款分析报告服务、运维巡检工具服务等。软件提供</w:t>
                  </w:r>
                  <w:r>
                    <w:rPr>
                      <w:rFonts w:ascii="仿宋_GB2312" w:hAnsi="仿宋_GB2312" w:cs="仿宋_GB2312" w:eastAsia="仿宋_GB2312"/>
                      <w:sz w:val="20"/>
                    </w:rPr>
                    <w:t>7x24小时技术支持服务。必须保证1小时之内响应、24小时之内解决问题。</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供应商根据项目采购需求配备相关人员。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供应商根据项目采购需求配备相关设施设备。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质保期：自验收合格之日起质保2年。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质保期：自验收合格之日起质保2年。</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项目完工期：合同签订后90个日历日内完成。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项目完工期：合同签订后90个日历日内完成。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西安市临潼区人民医院指定地点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西安市临潼区人民医院指定地点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进度款，项目完工后，达到付款条件起30个工作日内，支付合同总金额的50.0%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进度款，项目通过验收合格后，达到付款条件起30个工作日内，支付合同总金额的20.0%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进度款，项目完工后，达到付款条件起30个工作日内，支付合同总金额的50.0%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进度款，项目通过验收合格后，达到付款条件起30个工作日内，支付合同总金额的20.0%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满足本磋商文件中的实质性条款（项目完工期、质保期、服务地点、付款方式）要求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满足本磋商文件中的实质性条款（项目完工期、质保期、服务地点、付款方式）要求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系统功能</w:t>
            </w:r>
          </w:p>
        </w:tc>
        <w:tc>
          <w:tcPr>
            <w:tcW w:type="dxa" w:w="2492"/>
          </w:tcPr>
          <w:p>
            <w:pPr>
              <w:pStyle w:val="null3"/>
            </w:pPr>
            <w:r>
              <w:rPr>
                <w:rFonts w:ascii="仿宋_GB2312" w:hAnsi="仿宋_GB2312" w:cs="仿宋_GB2312" w:eastAsia="仿宋_GB2312"/>
              </w:rPr>
              <w:t>系统功能完全符合、满足磋商文件第三章“磋商项目技术、服务要求”全部内容及用户实际使用需求，没有负偏离计20分。其中加“▲”项参数为重要参数，每负偏离一项扣2分；非“▲”项参数每负偏离一项扣1分，扣完为止。 备注：加“▲”项参数须提供相应的佐证材料，可为软件功能截图或检测报告或技术白皮书，加盖供应商公章，未提供佐证材料或证明材料不足以证明的由评委确认后不予认可。</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针对本项目采购需求提供技术方案，至少包括：①需求理解；②系统总体技术架构；③总体技术设计和关键路线；④服务流程；⑤系统部署。 二、评审标准：方案内容专门针对本项目编制，切合本项目实际情况及实施要求，内容与要点相符、每个要点均有展开详细的阐述且能够适用于本项目的计15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本表评分标准下述所有对于“缺陷”内容的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针对本项目采购需求提供具体实施方案，至少包括：①项目实施进度计划安排；②项目整体实施方案；③项目管理计划；④系统测试方案；⑤接口设计方案；⑥系统验收方案。 二、评审标准：方案内容专门针对本项目编制，切合本项目实际情况及实施要求，内容与要点相符、每个要点均有展开详细的阐述且能够适用于本项目的计12分；评审内容每缺一项扣2分，扣完为止；评审内容有缺陷的每任意一项缺陷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针对本项目提供质量保证措施，至少包括：①整体质量把控措施；②系统运行稳定的保障措施；③系统安全性保障措施。 二、评审标准：方案内容专门针对本项目编制，切合本项目实际情况及实施要求，内容与要点相符、每个要点均有展开详细的阐述且能够适用于本项目的计6分；评审内容每缺一项扣2分，扣完为止；评审内容有缺陷的每任意一项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一、供应商或产品厂商拟派驻本项目的项目经理(1人)具有计算机相关专业本科或以上学历，具有信息系统项目管理师、数据库系统工程师证书、PMP证书，以上证书满足一项计1分，同时满足计3分。 二、供应商或产品厂商拟投入本项目信息技术人员配置，要求团队人员配置合理，包括:具有软件设计师、系统架构设计师、系统集成项目管理工程师、注册信息安全专业人员(CISP)证书的人员)。以上内容满足一项计2分，此项共计8分。一人同时满足多项要求不重复计分。 三、供应商或产品厂商拟投入本项目业务类人员配置，包括: （1）具有医学类高级（含副高级）职称的，每1人计2分，中级职称的每1人计1分，此项最高2分； （2）具有医师资格且经国际疾病分类与手术操作分类编码技能水平考试合格的，每1人计0.5分，最高计1分。 备注:以上人员需提供相关资质证书复印件及投标截止时间前半年内任意一个月在投标人(含分公司)的社保缴纳证明等资料，未提供或资料不全的不计分；同一人员拥有多证件的不重复计算。</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项目保障能力</w:t>
            </w:r>
          </w:p>
        </w:tc>
        <w:tc>
          <w:tcPr>
            <w:tcW w:type="dxa" w:w="2492"/>
          </w:tcPr>
          <w:p>
            <w:pPr>
              <w:pStyle w:val="null3"/>
            </w:pPr>
            <w:r>
              <w:rPr>
                <w:rFonts w:ascii="仿宋_GB2312" w:hAnsi="仿宋_GB2312" w:cs="仿宋_GB2312" w:eastAsia="仿宋_GB2312"/>
              </w:rPr>
              <w:t>1、供应商或产品厂商提供有效的产品软件著作权证书，每提供一份与本项目相关的计1分，最高计3分。 2、供应商或产品厂商具备本地化服务的能力，提供本地办事机构的证明资料计2分，具备本地化服务能力，但未提供本地办事机构证明计0分。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针对本项目提供售后服务方案，至少包括：①售后服务承诺；②服务方式、售后服务人员安排；③故障响应及处理时限；④售后服务内容。 二、评审标准：方案内容专门针对本项目编制，切合本项目实际情况及实施要求，内容与要点相符、每个要点均有展开详细的阐述且能够适用于本项目的计4分；评审内容每缺一项扣1分，扣完为止；评审内容有缺陷的每任意一项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根据本项目需求制定培训方案，要求使用人员能掌握系统操作方法，并熟练运用。至少包括：①培训计划安排及培训方式；②培训内容设置。 二、评审标准：方案内容专门针对本项目编制，切合本项目实际情况及实施要求，内容与要点相符、每个要点均有展开详细的阐述且能够适用于本项目的计3分；评审内容每缺一项扣1.5分，扣完为止；评审内容有缺陷的每任意一项缺陷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供应商提供（2023年1月1日起至今）同类项目业绩，业绩评审以合同为依据，每份业绩计2分，满分6分。（注：响应文件中提供合同复印件加盖供应商公章）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系统功能</w:t>
            </w:r>
          </w:p>
        </w:tc>
        <w:tc>
          <w:tcPr>
            <w:tcW w:type="dxa" w:w="2492"/>
          </w:tcPr>
          <w:p>
            <w:pPr>
              <w:pStyle w:val="null3"/>
            </w:pPr>
            <w:r>
              <w:rPr>
                <w:rFonts w:ascii="仿宋_GB2312" w:hAnsi="仿宋_GB2312" w:cs="仿宋_GB2312" w:eastAsia="仿宋_GB2312"/>
              </w:rPr>
              <w:t>系统功能完全符合、满足磋商文件第三章“磋商项目技术、服务要求”全部内容及用户实际使用需求，没有负偏离计20分。其中加“▲”项参数为重要参数，每负偏离一项扣2分；非“▲”项参数每负偏离一项扣1分，扣完为止。 备注：加“▲”项参数须提供相应的佐证材料，可为软件功能截图或检测报告或技术白皮书，加盖供应商公章，未提供佐证材料或证明材料不足以证明的由评委确认后不予认可。</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针对本项目采购需求提供技术方案，至少包括：①需求理解；②系统总体技术架构；③总体技术设计和关键路线；④服务流程；⑤系统部署。 二、评审标准：方案内容专门针对本项目编制，切合本项目实际情况及实施要求，内容与要点相符、每个要点均有展开详细的阐述且能够适用于本项目的计15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本表评分标准下述所有对于“缺陷”内容的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针对本项目采购需求提供具体实施方案，至少包括：①项目实施进度计划安排；②项目整体实施方案；③项目管理计划；④系统测试方案；⑤接口设计方案；⑥系统验收方案。 二、评审标准：方案内容专门针对本项目编制，切合本项目实际情况及实施要求，内容与要点相符、每个要点均有展开详细的阐述且能够适用于本项目的计12分；评审内容每缺一项扣2分，扣完为止；评审内容有缺陷的每任意一项缺陷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针对本项目提供质量保证措施，至少包括：①整体质量把控措施；②系统运行稳定的保障措施；③系统安全性保障措施。 二、评审标准：方案内容专门针对本项目编制，切合本项目实际情况及实施要求，内容与要点相符、每个要点均有展开详细的阐述且能够适用于本项目的计6分；评审内容每缺一项扣2分，扣完为止；评审内容有缺陷的每任意一项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一、供应商或产品厂商拟派驻本项目的项目经理（1人）同时具有信息系统项目管理师证书、省级及以上软件评测机构认定的软件测试工程师证书、ITSS颁发的IT服务项目经理证书的计3分，每提供一个证书计1分，满分3分。 二、供应商或产品厂商拟投入本项目信息技术人员配置，要求团队人员配置合理，包括:具有软件设计师、系统架构设计师、系统集成项目管理工程师、注册信息安全专业人员(CISP)证书的人员)。以上内容满足一项计2分，此项共计8分。一人同时满足多项要求不重复计分。 三、供应商或产品厂商拟投入本项目业务类人员配置，包括: （1）具有医学类高级（含副高级）职称的，每1人计2分，中级职称的每1人计1分，此项最高2分； （2）具有ICD编码专业证书，每1人计0.5分，最高计1分。 备注:以上人员需提供相关资质证书复印件及投标截止时间前半年内任意一个月在投标人(含分公司)的社保缴纳证明等资料，未提供或资料不全的不计分；同一人员拥有多证件的不重复计算。</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项目保障能力</w:t>
            </w:r>
          </w:p>
        </w:tc>
        <w:tc>
          <w:tcPr>
            <w:tcW w:type="dxa" w:w="2492"/>
          </w:tcPr>
          <w:p>
            <w:pPr>
              <w:pStyle w:val="null3"/>
            </w:pPr>
            <w:r>
              <w:rPr>
                <w:rFonts w:ascii="仿宋_GB2312" w:hAnsi="仿宋_GB2312" w:cs="仿宋_GB2312" w:eastAsia="仿宋_GB2312"/>
              </w:rPr>
              <w:t>1、供应商或产品厂商提供有效的产品软件著作权证书，每提供一份与本项目相关的计1分，最高计3分。 2、供应商或产品厂商具备本地化服务的能力，提供本地办事机构的证明资料计2分，具备本地化服务能力，但未提供本地办事机构证明计0分。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针对本项目提供售后服务方案，至少包括：①售后服务承诺；②服务方式、售后服务人员安排；③故障响应及处理时限；④售后服务内容。 二、评审标准：方案内容专门针对本项目编制，切合本项目实际情况及实施要求，内容与要点相符、每个要点均有展开详细的阐述且能够适用于本项目的计4分；评审内容每缺一项扣1分，扣完为止；评审内容有缺陷的每任意一项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根据本项目需求制定培训方案，要求使用人员能掌握系统操作方法，并熟练运用。至少包括：①培训计划安排及培训方式；②培训内容设置。 二、评审标准：方案内容专门针对本项目编制，切合本项目实际情况及实施要求，内容与要点相符、每个要点均有展开详细的阐述且能够适用于本项目的计3分；评审内容每缺一项扣1.5分，扣完为止；评审内容有缺陷的每任意一项缺陷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供应商提供（2023年1月1日起至今）同类项目业绩，业绩评审以合同为依据，每份业绩计2分，满分6分。（注：响应文件中提供合同复印件加盖供应商公章）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