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B0336">
      <w:pPr>
        <w:spacing w:line="360" w:lineRule="auto"/>
        <w:ind w:firstLine="0" w:firstLineChars="0"/>
        <w:jc w:val="center"/>
        <w:rPr>
          <w:rFonts w:hint="default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 w14:paraId="5C3F70F1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（本格式合同条款供双方签订合同参考，采购人可根据项目的实际情况增减条款和内容）</w:t>
      </w:r>
    </w:p>
    <w:p w14:paraId="360B77FE">
      <w:pPr>
        <w:pStyle w:val="5"/>
        <w:rPr>
          <w:highlight w:val="none"/>
        </w:rPr>
      </w:pPr>
    </w:p>
    <w:p w14:paraId="20AAE4DB">
      <w:pPr>
        <w:pStyle w:val="5"/>
        <w:rPr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 xml:space="preserve"> </w:t>
      </w:r>
      <w:r>
        <w:rPr>
          <w:rFonts w:ascii="仿宋_GB2312" w:hAnsi="仿宋_GB2312" w:eastAsia="仿宋_GB2312" w:cs="仿宋_GB2312"/>
          <w:highlight w:val="none"/>
        </w:rPr>
        <w:br w:type="textWrapping"/>
      </w:r>
      <w:r>
        <w:rPr>
          <w:rFonts w:ascii="仿宋_GB2312" w:hAnsi="仿宋_GB2312" w:eastAsia="仿宋_GB2312" w:cs="仿宋_GB2312"/>
          <w:highlight w:val="none"/>
        </w:rPr>
        <w:br w:type="page"/>
      </w:r>
    </w:p>
    <w:p w14:paraId="39C333D4">
      <w:pPr>
        <w:keepNext/>
        <w:keepLines/>
        <w:spacing w:after="120" w:line="360" w:lineRule="auto"/>
        <w:jc w:val="both"/>
        <w:outlineLvl w:val="0"/>
        <w:rPr>
          <w:rFonts w:hint="eastAsia" w:ascii="仿宋" w:hAnsi="仿宋" w:eastAsia="仿宋" w:cs="仿宋"/>
          <w:sz w:val="58"/>
          <w:szCs w:val="58"/>
          <w:highlight w:val="none"/>
          <w:lang w:bidi="en-US"/>
        </w:rPr>
      </w:pPr>
    </w:p>
    <w:p w14:paraId="2A15138E">
      <w:pPr>
        <w:keepNext/>
        <w:keepLines/>
        <w:spacing w:after="120" w:line="360" w:lineRule="auto"/>
        <w:jc w:val="both"/>
        <w:outlineLvl w:val="0"/>
        <w:rPr>
          <w:rFonts w:hint="eastAsia" w:ascii="仿宋" w:hAnsi="仿宋" w:eastAsia="仿宋" w:cs="仿宋"/>
          <w:sz w:val="58"/>
          <w:szCs w:val="58"/>
          <w:highlight w:val="none"/>
          <w:lang w:bidi="en-US"/>
        </w:rPr>
      </w:pPr>
    </w:p>
    <w:p w14:paraId="11197D9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仿宋_GB2312" w:hAnsi="仿宋_GB2312" w:eastAsia="仿宋_GB2312" w:cs="仿宋_GB2312"/>
          <w:b/>
          <w:sz w:val="40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0"/>
          <w:szCs w:val="24"/>
          <w:highlight w:val="none"/>
          <w:lang w:eastAsia="zh-CN"/>
        </w:rPr>
        <w:t>西安市临潼区人民医院DRG综合管理系统及</w:t>
      </w:r>
    </w:p>
    <w:p w14:paraId="5EBF5803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仿宋" w:hAnsi="仿宋" w:eastAsia="仿宋" w:cs="仿宋"/>
          <w:sz w:val="28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sz w:val="40"/>
          <w:szCs w:val="24"/>
          <w:highlight w:val="none"/>
          <w:lang w:eastAsia="zh-CN"/>
        </w:rPr>
        <w:t>智能审核</w:t>
      </w:r>
      <w:r>
        <w:rPr>
          <w:rFonts w:hint="eastAsia" w:ascii="仿宋_GB2312" w:hAnsi="仿宋_GB2312" w:eastAsia="仿宋_GB2312" w:cs="仿宋_GB2312"/>
          <w:b/>
          <w:sz w:val="40"/>
          <w:szCs w:val="36"/>
          <w:highlight w:val="none"/>
          <w:lang w:eastAsia="zh-CN"/>
        </w:rPr>
        <w:t>平台建设项目</w:t>
      </w:r>
    </w:p>
    <w:p w14:paraId="5B5CAD15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val="zh-TW" w:eastAsia="zh-TW" w:bidi="zh-TW"/>
        </w:rPr>
      </w:pPr>
    </w:p>
    <w:p w14:paraId="54E39A72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val="zh-TW" w:eastAsia="zh-TW" w:bidi="zh-TW"/>
        </w:rPr>
      </w:pPr>
    </w:p>
    <w:p w14:paraId="41E474E1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000000"/>
          <w:sz w:val="72"/>
          <w:szCs w:val="72"/>
          <w:highlight w:val="none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sz w:val="72"/>
          <w:szCs w:val="72"/>
          <w:highlight w:val="none"/>
          <w:lang w:val="zh-TW" w:eastAsia="zh-TW" w:bidi="zh-TW"/>
        </w:rPr>
        <w:t>服务合同</w:t>
      </w:r>
      <w:bookmarkEnd w:id="0"/>
    </w:p>
    <w:p w14:paraId="0DD7F0F2">
      <w:pPr>
        <w:spacing w:after="120" w:line="360" w:lineRule="auto"/>
        <w:jc w:val="center"/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  <w:t>（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 w:bidi="zh-TW"/>
        </w:rPr>
        <w:t>项目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  <w:t>编号：HYTF-202606041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CN" w:bidi="zh-TW"/>
        </w:rPr>
        <w:t>、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 w:bidi="zh-TW"/>
        </w:rPr>
        <w:t>采购包1/2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  <w:t>）</w:t>
      </w:r>
    </w:p>
    <w:p w14:paraId="76EAA2E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</w:pPr>
    </w:p>
    <w:p w14:paraId="585D754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</w:pPr>
    </w:p>
    <w:p w14:paraId="01271E6D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highlight w:val="none"/>
          <w:lang w:bidi="zh-TW"/>
        </w:rPr>
      </w:pPr>
      <w:bookmarkStart w:id="1" w:name="bookmark4"/>
      <w:bookmarkStart w:id="2" w:name="bookmark5"/>
      <w:bookmarkStart w:id="3" w:name="bookmark3"/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甲方：西安市临潼区人民医院</w:t>
      </w:r>
    </w:p>
    <w:p w14:paraId="38E99470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highlight w:val="none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 w:bidi="zh-TW"/>
        </w:rPr>
        <w:t xml:space="preserve">  </w:t>
      </w:r>
    </w:p>
    <w:p w14:paraId="7471ED09">
      <w:pPr>
        <w:spacing w:after="480" w:line="360" w:lineRule="auto"/>
        <w:ind w:left="200" w:firstLine="3015" w:firstLineChars="1005"/>
        <w:jc w:val="left"/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bidi="en-US"/>
        </w:rPr>
        <w:t>202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 w:bidi="en-US"/>
        </w:rPr>
        <w:t>6</w:t>
      </w: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highlight w:val="none"/>
          <w:u w:val="single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 xml:space="preserve">月 </w:t>
      </w:r>
    </w:p>
    <w:p w14:paraId="1C377816">
      <w:pPr>
        <w:spacing w:line="360" w:lineRule="auto"/>
        <w:ind w:left="1571" w:leftChars="748" w:firstLine="1776" w:firstLineChars="592"/>
        <w:jc w:val="left"/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中国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西安</w:t>
      </w:r>
    </w:p>
    <w:p w14:paraId="02BF01A7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bidi="en-US"/>
        </w:rPr>
        <w:br w:type="page"/>
      </w:r>
    </w:p>
    <w:bookmarkEnd w:id="1"/>
    <w:bookmarkEnd w:id="2"/>
    <w:bookmarkEnd w:id="3"/>
    <w:p w14:paraId="3588A986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甲方（采购人名称全称）：</w:t>
      </w:r>
    </w:p>
    <w:p w14:paraId="004D2BC0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乙方（供应商名称全称）：</w:t>
      </w:r>
    </w:p>
    <w:p w14:paraId="32AC3481">
      <w:pPr>
        <w:spacing w:line="360" w:lineRule="auto"/>
        <w:outlineLvl w:val="2"/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项目，项目编号：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           包号：    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在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政府采购监管部门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的监督管理下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CN" w:bidi="zh-TW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按照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政府采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购程序组织竞争性磋商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确定乙方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为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成交供应商。依据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《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中华人民共和国政府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采购法》、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《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中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华人民共和国民法典》以及竞争性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磋商文件、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成交通知书，经甲、乙双方协商，达成如下合同条款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。</w:t>
      </w:r>
    </w:p>
    <w:p w14:paraId="0FC14C64">
      <w:pPr>
        <w:spacing w:after="100" w:line="360" w:lineRule="auto"/>
        <w:ind w:firstLine="442" w:firstLineChars="2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  <w:t>一、服务范围及工作内容</w:t>
      </w:r>
    </w:p>
    <w:p w14:paraId="6B0CA15D">
      <w:pPr>
        <w:spacing w:after="80" w:line="360" w:lineRule="auto"/>
        <w:ind w:firstLine="440" w:firstLineChars="200"/>
        <w:jc w:val="left"/>
        <w:rPr>
          <w:rFonts w:hint="eastAsia" w:ascii="仿宋" w:hAnsi="仿宋" w:eastAsia="仿宋" w:cs="仿宋"/>
          <w:sz w:val="22"/>
          <w:szCs w:val="22"/>
          <w:highlight w:val="none"/>
          <w:lang w:val="zh-TW" w:eastAsia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详见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采购内容及需求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。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工作内容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与响应文件内容一致。</w:t>
      </w:r>
    </w:p>
    <w:p w14:paraId="65B63BEB">
      <w:pPr>
        <w:spacing w:after="80" w:line="360" w:lineRule="auto"/>
        <w:ind w:firstLine="442" w:firstLineChars="200"/>
        <w:jc w:val="left"/>
        <w:rPr>
          <w:rFonts w:hint="eastAsia" w:ascii="仿宋" w:hAnsi="仿宋" w:eastAsia="仿宋" w:cs="仿宋"/>
          <w:sz w:val="22"/>
          <w:szCs w:val="22"/>
          <w:highlight w:val="none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  <w:t>二、服务条件</w:t>
      </w:r>
    </w:p>
    <w:p w14:paraId="5780AB81">
      <w:pPr>
        <w:spacing w:line="360" w:lineRule="auto"/>
        <w:ind w:firstLine="220" w:firstLineChars="100"/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一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项目完工期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                </w:t>
      </w:r>
    </w:p>
    <w:p w14:paraId="2EFCF710">
      <w:pPr>
        <w:spacing w:line="360" w:lineRule="auto"/>
        <w:ind w:firstLine="220" w:firstLineChars="100"/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（二）项目实施地点：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                </w:t>
      </w:r>
    </w:p>
    <w:p w14:paraId="2795DC02">
      <w:pPr>
        <w:spacing w:line="360" w:lineRule="auto"/>
        <w:ind w:firstLine="221" w:firstLineChars="1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  <w:t>三、合同价款</w:t>
      </w:r>
    </w:p>
    <w:p w14:paraId="206AE062">
      <w:pPr>
        <w:tabs>
          <w:tab w:val="left" w:pos="6015"/>
          <w:tab w:val="left" w:pos="7407"/>
        </w:tabs>
        <w:spacing w:line="360" w:lineRule="auto"/>
        <w:ind w:firstLine="440" w:firstLineChars="200"/>
        <w:jc w:val="left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        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元）。</w:t>
      </w:r>
    </w:p>
    <w:p w14:paraId="71BAF779">
      <w:pPr>
        <w:tabs>
          <w:tab w:val="left" w:pos="6015"/>
          <w:tab w:val="left" w:pos="7407"/>
        </w:tabs>
        <w:spacing w:line="360" w:lineRule="auto"/>
        <w:ind w:firstLine="440" w:firstLineChars="200"/>
        <w:jc w:val="left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273A3AFD">
      <w:pPr>
        <w:tabs>
          <w:tab w:val="left" w:pos="6015"/>
          <w:tab w:val="left" w:pos="7407"/>
        </w:tabs>
        <w:spacing w:line="360" w:lineRule="auto"/>
        <w:ind w:firstLine="440" w:firstLineChars="200"/>
        <w:jc w:val="left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（三）合同总价不受市场价格变化因素的影响，一次性包死。</w:t>
      </w:r>
    </w:p>
    <w:p w14:paraId="0963A5F2">
      <w:pPr>
        <w:tabs>
          <w:tab w:val="left" w:pos="6015"/>
          <w:tab w:val="left" w:pos="7407"/>
        </w:tabs>
        <w:spacing w:line="360" w:lineRule="auto"/>
        <w:ind w:firstLine="442" w:firstLineChars="200"/>
        <w:jc w:val="left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  <w:t>四、款项结算</w:t>
      </w:r>
    </w:p>
    <w:p w14:paraId="09CC4238">
      <w:pPr>
        <w:pStyle w:val="5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一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/>
        </w:rPr>
        <w:t>合同款的支付：</w:t>
      </w:r>
    </w:p>
    <w:p w14:paraId="4AF3E24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highlight w:val="none"/>
          <w:lang w:val="en-US" w:eastAsia="zh-CN"/>
        </w:rPr>
        <w:t>合同签订后，支付合同总价款的30%，项目完工后支付合同总价款的50%，项目通过验收合格后30个工作日内支付剩余的20%。</w:t>
      </w:r>
    </w:p>
    <w:p w14:paraId="70644E3C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支付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方式：银行转账。</w:t>
      </w:r>
    </w:p>
    <w:p w14:paraId="535095F1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结算方式：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甲方支付款项前，乙方应向甲方开具等额的增值税发票。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乙方持成交通知书、服务合同、发票，与甲方结算。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 xml:space="preserve"> </w:t>
      </w:r>
    </w:p>
    <w:p w14:paraId="25480532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  <w:t>五、双方的权利和义务</w:t>
      </w:r>
    </w:p>
    <w:p w14:paraId="71BF8B79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一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甲方的权利和义务</w:t>
      </w:r>
    </w:p>
    <w:p w14:paraId="31728962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1、提供项目所需的资料，并对所提供资料的真实性、合法性和完整性负责。</w:t>
      </w:r>
    </w:p>
    <w:p w14:paraId="6C712C5B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2、有权了解项目实施情况，随时检查乙方工作并对其审查监督，有权要求乙方就工作内容作出详细的书面说明。</w:t>
      </w:r>
    </w:p>
    <w:p w14:paraId="06DD5B33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3、对乙方的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项目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质量、工作效率、工作纪律、廉政纪律等情况进行审核验收以及工作考核。有权根据考核结果要求乙方对不符合要求的工作无偿返工，有权调整乙方的工作内容及重点方向。</w:t>
      </w:r>
    </w:p>
    <w:p w14:paraId="066F8BD6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4、有权要求乙方针对项目执行中的特定问题开展专项服务，乙方需无偿配合。</w:t>
      </w:r>
    </w:p>
    <w:p w14:paraId="071A1EE8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5、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根据本合同规定，按时向乙方支付应付服务费用。</w:t>
      </w:r>
    </w:p>
    <w:p w14:paraId="51497451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（二）乙方的权利和义务</w:t>
      </w:r>
    </w:p>
    <w:p w14:paraId="78B7BE5B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1、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在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本合同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约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定的委托服务范围内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完成项目要求的服务内容，并达到相关质量验收标准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。</w:t>
      </w:r>
    </w:p>
    <w:p w14:paraId="3C32F604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2、获取必要的工作场所和条件。</w:t>
      </w:r>
    </w:p>
    <w:p w14:paraId="5CAFD3A1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3、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根据本合同的规定向甲方收取相关服务费用。</w:t>
      </w:r>
    </w:p>
    <w:p w14:paraId="206DB958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4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、组建由具备相应资质、经验丰富的专业人员组成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服务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团队，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按照本项目的技术要求完成系统建设工作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；不得将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服务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事项转包、分包给任何第三方实施完成。</w:t>
      </w:r>
    </w:p>
    <w:p w14:paraId="7FD12D02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5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、按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合同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约定的时间节点及甲方要求及时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完成系统建设工作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，对甲方提出的异议需在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  <w:lang w:val="en-US" w:eastAsia="zh-CN" w:bidi="zh-TW"/>
        </w:rPr>
        <w:t>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个工作日内进行复核并出具书面复核意见，对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完成的工作内容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独立承担法律责任。</w:t>
      </w:r>
    </w:p>
    <w:p w14:paraId="6E14F87B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6、严格遵循职业道德准则和行为规范，严格按照法律法规及有关标准和本合同履行职责，高质量完成项目工作内容，并对项目成果负责。不得向任何第三方泄露甲方的商业秘密、项目信息及工作中获取的全部资料，保密期限永久，除非法律另有强制性规定或甲方书面同意。</w:t>
      </w:r>
    </w:p>
    <w:p w14:paraId="7D02AE71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7、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在服务过程中接受项目行业管理部门及政府有关部门的指导，接受甲方的监督。</w:t>
      </w:r>
    </w:p>
    <w:p w14:paraId="0A222D8A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8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、乙方应按国家技术规范、标准、规程和甲方的需求展开工作。</w:t>
      </w:r>
    </w:p>
    <w:p w14:paraId="7493C5CC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9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、乙方在进行服务过程中，需遵守甲方的规章制度，接受甲方的安排与协调。</w:t>
      </w:r>
    </w:p>
    <w:p w14:paraId="45984424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10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、如因乙方原因导致服务工作无法开展，乙方应承担相应的责任，并采取积极的补救措施。</w:t>
      </w:r>
    </w:p>
    <w:p w14:paraId="64F59E3D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11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、在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项目实施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工作开展过程中，如出现意外事故，由乙方自行承担。</w:t>
      </w:r>
    </w:p>
    <w:p w14:paraId="0B2120C8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 w:bidi="zh-TW"/>
        </w:rPr>
        <w:t>六、知识产权</w:t>
      </w:r>
    </w:p>
    <w:p w14:paraId="4BB977C0">
      <w:pPr>
        <w:spacing w:line="360" w:lineRule="auto"/>
        <w:ind w:firstLine="44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 xml:space="preserve">（一）乙方应保证在本项目中使用的任何技术、产品和服务（包括部分使用），不会产生因第三方提出侵犯其专利权、商标权或其它知识产权而引起的法律和经济纠纷，如存在前述情形，由乙方承担所有相关责任。甲方享有本项目实施过程中产生的知识成果及知识产权。 </w:t>
      </w:r>
    </w:p>
    <w:p w14:paraId="661C7846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 xml:space="preserve">（二）乙方将在采购项目实施过程中采用自有或者第三方知识成果的，使用该知识成果后，乙方需提供开发接口和开发手册等技术资料，并承诺提供无限期支持，甲方享有使用权（含甲方委托第三方在该项目后续开发的使用权）。 </w:t>
      </w:r>
    </w:p>
    <w:p w14:paraId="46EE2A49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 xml:space="preserve">（三）如采用乙方所不拥有的知识产权，则在报价中必须包括合法使用该知识产权的相关费用。 </w:t>
      </w:r>
    </w:p>
    <w:p w14:paraId="2520715B">
      <w:pPr>
        <w:spacing w:line="360" w:lineRule="auto"/>
        <w:ind w:firstLine="440" w:firstLineChars="2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（四）构成本磋商文件的各组成部分，未经甲方书面同意，乙方不得擅自复印或用于非本磋商项目所需的其他目的。</w:t>
      </w:r>
    </w:p>
    <w:p w14:paraId="4DE000DF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 w:bidi="zh-TW"/>
        </w:rPr>
        <w:t>七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  <w:t>、质量保证</w:t>
      </w:r>
    </w:p>
    <w:p w14:paraId="167D7EB5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乙方所供服务必须执行下列条款：</w:t>
      </w:r>
    </w:p>
    <w:p w14:paraId="37DE29EA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（一）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项目实施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方案和方式科学、可行，人员配置合理，全面满足要求。</w:t>
      </w:r>
    </w:p>
    <w:p w14:paraId="68FB3500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（二）符合国家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 w:bidi="zh-TW"/>
        </w:rPr>
        <w:t>、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行业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有关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技术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规范要求，确保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系统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各项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功能运行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达到最佳效果。</w:t>
      </w:r>
    </w:p>
    <w:p w14:paraId="6680AA36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（三）乙方提供的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软件系统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，若发生侵权而产生的一切后果，由乙方负责。甲方保留索赔权。</w:t>
      </w:r>
    </w:p>
    <w:p w14:paraId="20CF1A95">
      <w:pPr>
        <w:spacing w:line="360" w:lineRule="auto"/>
        <w:ind w:firstLine="440" w:firstLineChars="200"/>
        <w:rPr>
          <w:rFonts w:hint="default" w:ascii="仿宋" w:hAnsi="仿宋" w:eastAsia="仿宋" w:cs="仿宋"/>
          <w:sz w:val="22"/>
          <w:szCs w:val="2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四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质保期：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  <w:lang w:val="en-US" w:eastAsia="zh-CN" w:bidi="zh-TW"/>
        </w:rPr>
        <w:t>年。</w:t>
      </w:r>
    </w:p>
    <w:p w14:paraId="0D350934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 w:bidi="zh-TW"/>
        </w:rPr>
        <w:t>八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  <w:t>、验收</w:t>
      </w:r>
    </w:p>
    <w:p w14:paraId="6632DAF3">
      <w:pPr>
        <w:tabs>
          <w:tab w:val="left" w:pos="1438"/>
        </w:tabs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（一）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系统平台建设完成后，先由乙方进行自检，自检合格后由甲方组织验收，必要时邀请专家共同验收，并出具项目验收报告。</w:t>
      </w:r>
    </w:p>
    <w:p w14:paraId="026A6A33">
      <w:pPr>
        <w:tabs>
          <w:tab w:val="left" w:pos="1438"/>
        </w:tabs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（二）乙方向甲方提交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项目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实施过程中的所有资料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 w:bidi="zh-TW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以便甲方日后管理。</w:t>
      </w:r>
    </w:p>
    <w:p w14:paraId="0CAD52E0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（三）验收依据：</w:t>
      </w:r>
    </w:p>
    <w:p w14:paraId="66195941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1、竞争性磋商文件、响应文件、澄清表（函）；</w:t>
      </w:r>
    </w:p>
    <w:p w14:paraId="7202512C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 xml:space="preserve">2、本合同及附件文本； </w:t>
      </w:r>
    </w:p>
    <w:p w14:paraId="1CAB5F5C">
      <w:pPr>
        <w:tabs>
          <w:tab w:val="left" w:pos="1438"/>
        </w:tabs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3、国家相应的标准、规范。</w:t>
      </w:r>
    </w:p>
    <w:p w14:paraId="77A152BB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 w:bidi="zh-TW"/>
        </w:rPr>
        <w:t>九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  <w:t>、违约责任</w:t>
      </w:r>
    </w:p>
    <w:p w14:paraId="3B3E0969">
      <w:pPr>
        <w:tabs>
          <w:tab w:val="left" w:pos="1438"/>
        </w:tabs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（一）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合同中未约定的，按《民法典》中的相关条款执行。</w:t>
      </w:r>
      <w:bookmarkStart w:id="4" w:name="bookmark15"/>
    </w:p>
    <w:p w14:paraId="10B4F106">
      <w:pPr>
        <w:tabs>
          <w:tab w:val="left" w:pos="1438"/>
        </w:tabs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（</w:t>
      </w:r>
      <w:bookmarkEnd w:id="4"/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二）未按合同要求提供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软件系统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或质量不能满足合同要求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甲方应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当将乙方违约的情况以及拟釆取的措施以书面形式报政府釆购监管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部门，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根据政府采购监管部门的处理意见，甲方有权依据《民法典》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有关条款及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合同约定解除合同，乙方应向甲方支付合同总价款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%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的违约金。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同时，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政府釆购监管部门有权依据《政府釆购法》及相关法律法规对乙方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的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违法行为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进行相应的处罚。</w:t>
      </w:r>
    </w:p>
    <w:p w14:paraId="06000373">
      <w:pPr>
        <w:tabs>
          <w:tab w:val="left" w:pos="1438"/>
        </w:tabs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bookmarkStart w:id="5" w:name="bookmark16"/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（</w:t>
      </w:r>
      <w:bookmarkEnd w:id="5"/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三）在本合同履行过程中，双方因违约或造成对方经济、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社会效益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等损失的应当赔偿。</w:t>
      </w:r>
    </w:p>
    <w:p w14:paraId="22151561">
      <w:pPr>
        <w:tabs>
          <w:tab w:val="left" w:pos="1438"/>
        </w:tabs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CN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四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CN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乙方未能按照本合同约定时间完成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系统平台建设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从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逾期之日起每日按本合同总价款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%的数额向甲方支付违约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金；逾期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日以上的，甲方有权终止合同，由此造成的甲方经济损失由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乙方承担。</w:t>
      </w:r>
    </w:p>
    <w:p w14:paraId="1580B862">
      <w:pPr>
        <w:tabs>
          <w:tab w:val="left" w:pos="1438"/>
        </w:tabs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五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未经甲方同意，乙方不得擅自将本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项目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分包或转包第三方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承担。</w:t>
      </w:r>
    </w:p>
    <w:p w14:paraId="61CC92AE">
      <w:pPr>
        <w:tabs>
          <w:tab w:val="left" w:pos="1438"/>
        </w:tabs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六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本合同中各条款约定的违约金可自甲方未支付款项中直接扣除，违约金若不能弥补甲方损失的，乙方还应赔偿甲方超出部分的损失。</w:t>
      </w:r>
    </w:p>
    <w:p w14:paraId="790F16C5">
      <w:pPr>
        <w:spacing w:line="360" w:lineRule="auto"/>
        <w:ind w:firstLine="442" w:firstLineChars="200"/>
        <w:jc w:val="left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 w:bidi="zh-TW"/>
        </w:rPr>
        <w:t>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  <w:t>、保密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  <w:t>条款</w:t>
      </w:r>
    </w:p>
    <w:p w14:paraId="6C66355B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一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政府、公民个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情况，甲方有权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索赔。</w:t>
      </w:r>
    </w:p>
    <w:p w14:paraId="186EE243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甲方有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交付的具有知识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外的项目。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外公开的除外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。</w:t>
      </w:r>
    </w:p>
    <w:p w14:paraId="77E49A81">
      <w:pPr>
        <w:spacing w:line="360" w:lineRule="auto"/>
        <w:ind w:firstLine="440" w:firstLineChars="2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本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影响本条款的效力。</w:t>
      </w:r>
    </w:p>
    <w:p w14:paraId="5E7E6A35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  <w:t>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 w:bidi="zh-TW"/>
        </w:rPr>
        <w:t>一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zh-TW"/>
        </w:rPr>
        <w:t>、争议解决</w:t>
      </w:r>
    </w:p>
    <w:p w14:paraId="4B835292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一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本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解决，协商不成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种方式解决：</w:t>
      </w:r>
    </w:p>
    <w:p w14:paraId="6CE16FA9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1、提交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西安仲裁委员会仲裁；</w:t>
      </w:r>
    </w:p>
    <w:p w14:paraId="57A4F1BC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2、依法向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甲方所在地人民法院起诉。</w:t>
      </w:r>
    </w:p>
    <w:p w14:paraId="2D24360F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本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影响本条款的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效力。</w:t>
      </w:r>
    </w:p>
    <w:p w14:paraId="2A6E3749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 w:bidi="zh-TW"/>
        </w:rPr>
        <w:t>二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  <w:t>、合同变更</w:t>
      </w:r>
    </w:p>
    <w:p w14:paraId="1A0B0B82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需求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后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行，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否则视为违约）。</w:t>
      </w:r>
    </w:p>
    <w:p w14:paraId="162533E9">
      <w:pPr>
        <w:spacing w:line="360" w:lineRule="auto"/>
        <w:ind w:firstLine="442" w:firstLineChars="200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 w:bidi="zh-TW"/>
        </w:rPr>
        <w:t>三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zh-TW" w:eastAsia="zh-TW" w:bidi="zh-TW"/>
        </w:rPr>
        <w:t>、合同生效</w:t>
      </w:r>
    </w:p>
    <w:p w14:paraId="6BA3419F">
      <w:pPr>
        <w:spacing w:after="10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 w:bidi="zh-TW"/>
        </w:rPr>
        <w:t>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方签字并盖章后生效，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合同执行完毕后，自动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失效（合同的服务承诺则长期有效）。</w:t>
      </w:r>
    </w:p>
    <w:p w14:paraId="02D51DBF">
      <w:pPr>
        <w:spacing w:line="360" w:lineRule="auto"/>
        <w:ind w:firstLine="442" w:firstLineChars="200"/>
        <w:jc w:val="left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en-US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en-US"/>
        </w:rPr>
        <w:t>十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 w:bidi="en-US"/>
        </w:rPr>
        <w:t>四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bidi="en-US"/>
        </w:rPr>
        <w:t>、其他事项</w:t>
      </w:r>
    </w:p>
    <w:p w14:paraId="4724F13D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（一）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>采购监管部门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在合同的履行期间以及履行期后，可以随时检查项目的执行情况，对采购标准、釆购内容进行调查核实，并对发现的问题进行处理。</w:t>
      </w:r>
    </w:p>
    <w:p w14:paraId="690F8F48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竞争性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附件均为合同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不可分割的部分。</w:t>
      </w:r>
    </w:p>
    <w:p w14:paraId="1C2EF1A1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甲乙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不可抗力的一方应当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在不可抗力发生后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 w:bidi="zh-TW"/>
        </w:rPr>
        <w:t xml:space="preserve">  5  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天内书面通知对方，以减轻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可能给对方造成的损失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、损害。</w:t>
      </w:r>
    </w:p>
    <w:p w14:paraId="66D4AE5E">
      <w:pPr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四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合同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2"/>
          <w:szCs w:val="22"/>
          <w:highlight w:val="none"/>
          <w:lang w:bidi="zh-TW"/>
        </w:rPr>
        <w:t>采购补充合同，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zh-TW" w:eastAsia="zh-TW" w:bidi="zh-TW"/>
        </w:rPr>
        <w:t>与原合同具有同等法律效力。</w:t>
      </w:r>
    </w:p>
    <w:p w14:paraId="4B2F78FD">
      <w:pP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TW" w:bidi="zh-TW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TW" w:bidi="zh-TW"/>
        </w:rPr>
        <w:br w:type="page"/>
      </w:r>
    </w:p>
    <w:p w14:paraId="23766A19">
      <w:pPr>
        <w:pStyle w:val="2"/>
        <w:rPr>
          <w:rFonts w:hint="eastAsia"/>
          <w:highlight w:val="none"/>
          <w:lang w:val="zh-TW"/>
        </w:rPr>
      </w:pPr>
    </w:p>
    <w:tbl>
      <w:tblPr>
        <w:tblStyle w:val="3"/>
        <w:tblpPr w:leftFromText="181" w:rightFromText="181" w:vertAnchor="text" w:horzAnchor="margin" w:tblpXSpec="center" w:tblpY="24"/>
        <w:tblOverlap w:val="never"/>
        <w:tblW w:w="50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9"/>
        <w:gridCol w:w="4207"/>
      </w:tblGrid>
      <w:tr w14:paraId="2817F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578" w:type="pct"/>
          </w:tcPr>
          <w:p w14:paraId="19FE737C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甲  方</w:t>
            </w:r>
          </w:p>
        </w:tc>
        <w:tc>
          <w:tcPr>
            <w:tcW w:w="2421" w:type="pct"/>
          </w:tcPr>
          <w:p w14:paraId="722583E3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乙  方</w:t>
            </w:r>
          </w:p>
        </w:tc>
      </w:tr>
      <w:tr w14:paraId="23FB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578" w:type="pct"/>
            <w:vAlign w:val="center"/>
          </w:tcPr>
          <w:p w14:paraId="0E291FF9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采购人全称</w:t>
            </w:r>
          </w:p>
          <w:p w14:paraId="54382780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（公章）</w:t>
            </w:r>
          </w:p>
        </w:tc>
        <w:tc>
          <w:tcPr>
            <w:tcW w:w="2421" w:type="pct"/>
            <w:vAlign w:val="center"/>
          </w:tcPr>
          <w:p w14:paraId="7127F247">
            <w:pPr>
              <w:overflowPunct w:val="0"/>
              <w:topLinePunct/>
              <w:spacing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成交供应商全称</w:t>
            </w:r>
          </w:p>
          <w:p w14:paraId="3D707EDC">
            <w:pPr>
              <w:overflowPunct w:val="0"/>
              <w:topLinePunct/>
              <w:spacing w:line="360" w:lineRule="auto"/>
              <w:ind w:firstLine="440" w:firstLineChars="20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（公章）</w:t>
            </w:r>
          </w:p>
        </w:tc>
      </w:tr>
      <w:tr w14:paraId="3284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578" w:type="pct"/>
          </w:tcPr>
          <w:p w14:paraId="0C758F97">
            <w:pPr>
              <w:overflowPunct w:val="0"/>
              <w:topLinePunct/>
              <w:spacing w:line="360" w:lineRule="auto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 xml:space="preserve">地址： </w:t>
            </w:r>
          </w:p>
        </w:tc>
        <w:tc>
          <w:tcPr>
            <w:tcW w:w="2421" w:type="pct"/>
          </w:tcPr>
          <w:p w14:paraId="7A49BE70">
            <w:pPr>
              <w:overflowPunct w:val="0"/>
              <w:topLinePunct/>
              <w:spacing w:line="360" w:lineRule="auto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地址：</w:t>
            </w:r>
          </w:p>
        </w:tc>
      </w:tr>
      <w:tr w14:paraId="1901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578" w:type="pct"/>
          </w:tcPr>
          <w:p w14:paraId="6B965A2C">
            <w:pPr>
              <w:overflowPunct w:val="0"/>
              <w:topLinePunct/>
              <w:spacing w:line="360" w:lineRule="auto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邮编：</w:t>
            </w:r>
          </w:p>
        </w:tc>
        <w:tc>
          <w:tcPr>
            <w:tcW w:w="2421" w:type="pct"/>
          </w:tcPr>
          <w:p w14:paraId="253C2904">
            <w:pPr>
              <w:overflowPunct w:val="0"/>
              <w:topLinePunct/>
              <w:spacing w:line="360" w:lineRule="auto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邮编：</w:t>
            </w:r>
          </w:p>
        </w:tc>
      </w:tr>
      <w:tr w14:paraId="70D6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2578" w:type="pct"/>
          </w:tcPr>
          <w:p w14:paraId="4FFCE38F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 xml:space="preserve">法定代表人或被授权人（签字或盖章）： </w:t>
            </w:r>
          </w:p>
        </w:tc>
        <w:tc>
          <w:tcPr>
            <w:tcW w:w="2421" w:type="pct"/>
          </w:tcPr>
          <w:p w14:paraId="244BA363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法定代表人或被授权人（签字或盖章）：</w:t>
            </w:r>
          </w:p>
        </w:tc>
      </w:tr>
      <w:tr w14:paraId="0A19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578" w:type="pct"/>
          </w:tcPr>
          <w:p w14:paraId="769D2B64">
            <w:pPr>
              <w:overflowPunct w:val="0"/>
              <w:topLinePunct/>
              <w:spacing w:line="360" w:lineRule="auto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电话：</w:t>
            </w:r>
          </w:p>
        </w:tc>
        <w:tc>
          <w:tcPr>
            <w:tcW w:w="2421" w:type="pct"/>
          </w:tcPr>
          <w:p w14:paraId="1E3E6981">
            <w:pPr>
              <w:overflowPunct w:val="0"/>
              <w:topLinePunct/>
              <w:spacing w:line="360" w:lineRule="auto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电话：</w:t>
            </w:r>
          </w:p>
        </w:tc>
      </w:tr>
      <w:tr w14:paraId="331B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578" w:type="pct"/>
          </w:tcPr>
          <w:p w14:paraId="330C553C">
            <w:pPr>
              <w:overflowPunct w:val="0"/>
              <w:topLinePunct/>
              <w:spacing w:line="360" w:lineRule="auto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传真：</w:t>
            </w:r>
          </w:p>
        </w:tc>
        <w:tc>
          <w:tcPr>
            <w:tcW w:w="2421" w:type="pct"/>
          </w:tcPr>
          <w:p w14:paraId="0716A386">
            <w:pPr>
              <w:overflowPunct w:val="0"/>
              <w:topLinePunct/>
              <w:spacing w:line="360" w:lineRule="auto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传真：</w:t>
            </w:r>
          </w:p>
        </w:tc>
      </w:tr>
      <w:tr w14:paraId="1769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578" w:type="pct"/>
          </w:tcPr>
          <w:p w14:paraId="181A4844">
            <w:pPr>
              <w:overflowPunct w:val="0"/>
              <w:topLinePunct/>
              <w:spacing w:line="360" w:lineRule="auto"/>
              <w:ind w:firstLine="440" w:firstLineChars="200"/>
              <w:jc w:val="left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开户银行：</w:t>
            </w:r>
          </w:p>
        </w:tc>
        <w:tc>
          <w:tcPr>
            <w:tcW w:w="2421" w:type="pct"/>
          </w:tcPr>
          <w:p w14:paraId="1763D159">
            <w:pPr>
              <w:overflowPunct w:val="0"/>
              <w:topLinePunct/>
              <w:spacing w:line="360" w:lineRule="auto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开户银行：</w:t>
            </w:r>
          </w:p>
        </w:tc>
      </w:tr>
      <w:tr w14:paraId="7F97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578" w:type="pct"/>
          </w:tcPr>
          <w:p w14:paraId="3215F2AF">
            <w:pPr>
              <w:overflowPunct w:val="0"/>
              <w:topLinePunct/>
              <w:spacing w:line="360" w:lineRule="auto"/>
              <w:ind w:firstLine="440" w:firstLineChars="200"/>
              <w:jc w:val="left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账号：</w:t>
            </w:r>
          </w:p>
        </w:tc>
        <w:tc>
          <w:tcPr>
            <w:tcW w:w="2421" w:type="pct"/>
          </w:tcPr>
          <w:p w14:paraId="4CB78D0A">
            <w:pPr>
              <w:overflowPunct w:val="0"/>
              <w:topLinePunct/>
              <w:spacing w:line="360" w:lineRule="auto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账号：</w:t>
            </w:r>
          </w:p>
        </w:tc>
      </w:tr>
      <w:tr w14:paraId="46AF7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578" w:type="pct"/>
          </w:tcPr>
          <w:p w14:paraId="1916B2B5">
            <w:pPr>
              <w:overflowPunct w:val="0"/>
              <w:topLinePunct/>
              <w:spacing w:line="360" w:lineRule="auto"/>
              <w:ind w:firstLine="440" w:firstLineChars="200"/>
              <w:jc w:val="left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日期：   年   月    日</w:t>
            </w:r>
          </w:p>
        </w:tc>
        <w:tc>
          <w:tcPr>
            <w:tcW w:w="2421" w:type="pct"/>
          </w:tcPr>
          <w:p w14:paraId="74B16A0E">
            <w:pPr>
              <w:overflowPunct w:val="0"/>
              <w:topLinePunct/>
              <w:spacing w:line="360" w:lineRule="auto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日期：   年   月    日</w:t>
            </w:r>
          </w:p>
        </w:tc>
      </w:tr>
    </w:tbl>
    <w:p w14:paraId="18CAC386">
      <w:pPr>
        <w:pStyle w:val="5"/>
        <w:rPr>
          <w:rFonts w:hint="eastAsia" w:ascii="仿宋" w:hAnsi="仿宋" w:eastAsia="仿宋" w:cs="仿宋"/>
          <w:sz w:val="22"/>
          <w:szCs w:val="22"/>
          <w:highlight w:val="none"/>
          <w:lang w:val="en-US" w:eastAsia="zh-Hans"/>
        </w:rPr>
      </w:pPr>
    </w:p>
    <w:p w14:paraId="0EC586CE">
      <w:pPr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63344CC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sz w:val="22"/>
          <w:szCs w:val="22"/>
          <w:highlight w:val="none"/>
          <w:lang w:val="en-US" w:eastAsia="zh-Hans"/>
        </w:rPr>
      </w:pPr>
    </w:p>
    <w:p w14:paraId="7501A2FD">
      <w:bookmarkStart w:id="6" w:name="_GoBack"/>
      <w:bookmarkEnd w:id="6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44489"/>
    <w:rsid w:val="1CA4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cs="宋体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2026-07-08T07:06:00Z</dcterms:created>
  <dc:creator>四方衡裕</dc:creator>
  <cp:lastModifiedBy>四方衡裕</cp:lastModifiedBy>
  <dcterms:modified xsi:type="dcterms:W3CDTF">2026-07-08T07:06:55Z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B77FAFD576FC426D97AD47185D43AE35_11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