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DC624">
      <w:pPr>
        <w:pStyle w:val="19"/>
        <w:jc w:val="center"/>
        <w:outlineLvl w:val="0"/>
        <w:rPr>
          <w:rFonts w:ascii="宋体" w:hAnsi="宋体" w:eastAsia="宋体" w:cs="宋体"/>
        </w:rPr>
      </w:pPr>
      <w:bookmarkStart w:id="0" w:name="_Toc26687"/>
      <w:r>
        <w:rPr>
          <w:rFonts w:ascii="宋体" w:hAnsi="宋体" w:eastAsia="宋体" w:cs="宋体"/>
          <w:b/>
          <w:sz w:val="36"/>
        </w:rPr>
        <w:t>合同文本</w:t>
      </w:r>
      <w:bookmarkEnd w:id="0"/>
    </w:p>
    <w:p w14:paraId="664E3972">
      <w:pPr>
        <w:wordWrap/>
        <w:autoSpaceDE/>
        <w:autoSpaceDN/>
        <w:snapToGrid w:val="0"/>
        <w:spacing w:before="156" w:beforeLines="50" w:line="360" w:lineRule="auto"/>
        <w:ind w:firstLine="5431" w:firstLineChars="2576"/>
        <w:rPr>
          <w:rFonts w:hint="eastAsia" w:ascii="宋体" w:hAnsi="宋体" w:eastAsia="宋体" w:cs="宋体"/>
          <w:b/>
          <w:color w:val="000000"/>
          <w:sz w:val="21"/>
          <w:szCs w:val="21"/>
          <w:lang w:eastAsia="zh-CN"/>
        </w:rPr>
      </w:pPr>
    </w:p>
    <w:p w14:paraId="46C789B3">
      <w:pPr>
        <w:wordWrap/>
        <w:autoSpaceDE/>
        <w:autoSpaceDN/>
        <w:adjustRightInd w:val="0"/>
        <w:snapToGrid w:val="0"/>
        <w:jc w:val="center"/>
        <w:outlineLvl w:val="9"/>
        <w:rPr>
          <w:rFonts w:hint="eastAsia" w:ascii="宋体" w:hAnsi="宋体" w:eastAsia="宋体" w:cs="宋体"/>
          <w:color w:val="auto"/>
          <w:sz w:val="36"/>
          <w:szCs w:val="36"/>
          <w:lang w:eastAsia="zh-CN"/>
        </w:rPr>
      </w:pPr>
      <w:r>
        <w:rPr>
          <w:rFonts w:hint="eastAsia" w:ascii="宋体" w:hAnsi="宋体" w:eastAsia="宋体" w:cs="宋体"/>
          <w:color w:val="auto"/>
          <w:sz w:val="36"/>
          <w:szCs w:val="36"/>
          <w:lang w:eastAsia="zh-CN"/>
        </w:rPr>
        <w:t>仪器设备类采购合同示范文本</w:t>
      </w:r>
    </w:p>
    <w:p w14:paraId="5BD01458">
      <w:pPr>
        <w:wordWrap/>
        <w:autoSpaceDE/>
        <w:autoSpaceDN/>
        <w:spacing w:line="480" w:lineRule="exact"/>
        <w:ind w:firstLine="480" w:firstLineChars="200"/>
        <w:outlineLvl w:val="9"/>
        <w:rPr>
          <w:rFonts w:hint="eastAsia" w:ascii="宋体" w:hAnsi="宋体" w:eastAsia="宋体" w:cs="宋体"/>
          <w:color w:val="auto"/>
          <w:sz w:val="24"/>
          <w:szCs w:val="22"/>
          <w:lang w:eastAsia="zh-CN"/>
        </w:rPr>
      </w:pPr>
    </w:p>
    <w:p w14:paraId="3CF0FB4C">
      <w:pPr>
        <w:wordWrap/>
        <w:autoSpaceDE/>
        <w:autoSpaceDN/>
        <w:spacing w:line="48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u w:val="single"/>
          <w:lang w:eastAsia="zh-CN"/>
        </w:rPr>
        <w:t xml:space="preserve">  西安建筑科技大学   </w:t>
      </w:r>
    </w:p>
    <w:p w14:paraId="1E99E305">
      <w:pPr>
        <w:wordWrap/>
        <w:autoSpaceDE/>
        <w:autoSpaceDN/>
        <w:spacing w:line="48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u w:val="single"/>
          <w:lang w:eastAsia="zh-CN"/>
        </w:rPr>
        <w:t xml:space="preserve">                     </w:t>
      </w:r>
    </w:p>
    <w:p w14:paraId="673E088E">
      <w:pPr>
        <w:wordWrap/>
        <w:autoSpaceDE/>
        <w:autoSpaceDN/>
        <w:spacing w:line="480" w:lineRule="exact"/>
        <w:ind w:firstLine="480" w:firstLineChars="200"/>
        <w:outlineLvl w:val="9"/>
        <w:rPr>
          <w:rFonts w:hint="eastAsia" w:ascii="宋体" w:hAnsi="宋体" w:eastAsia="宋体" w:cs="宋体"/>
          <w:color w:val="auto"/>
          <w:sz w:val="24"/>
          <w:szCs w:val="22"/>
          <w:lang w:eastAsia="zh-CN"/>
        </w:rPr>
      </w:pPr>
    </w:p>
    <w:p w14:paraId="00665E2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依据《中华人民共和国政府采购法》《中华人民共和国民法典》等相关法律法规，以及</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7B8FE0FE">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一、合同标的</w:t>
      </w:r>
    </w:p>
    <w:p w14:paraId="66D7065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1.标的明细清单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29F3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41F30D3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序号</w:t>
            </w:r>
          </w:p>
        </w:tc>
        <w:tc>
          <w:tcPr>
            <w:tcW w:w="1805" w:type="dxa"/>
            <w:noWrap/>
            <w:tcMar>
              <w:top w:w="20" w:type="dxa"/>
              <w:left w:w="20" w:type="dxa"/>
              <w:bottom w:w="0" w:type="dxa"/>
              <w:right w:w="20" w:type="dxa"/>
            </w:tcMar>
            <w:vAlign w:val="center"/>
          </w:tcPr>
          <w:p w14:paraId="6B17DC28">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设备名称</w:t>
            </w:r>
          </w:p>
        </w:tc>
        <w:tc>
          <w:tcPr>
            <w:tcW w:w="1980" w:type="dxa"/>
            <w:noWrap/>
            <w:tcMar>
              <w:top w:w="20" w:type="dxa"/>
              <w:left w:w="20" w:type="dxa"/>
              <w:bottom w:w="0" w:type="dxa"/>
              <w:right w:w="20" w:type="dxa"/>
            </w:tcMar>
            <w:vAlign w:val="center"/>
          </w:tcPr>
          <w:p w14:paraId="445562C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品牌、规格、型号</w:t>
            </w:r>
          </w:p>
        </w:tc>
        <w:tc>
          <w:tcPr>
            <w:tcW w:w="886" w:type="dxa"/>
            <w:noWrap/>
            <w:tcMar>
              <w:top w:w="20" w:type="dxa"/>
              <w:left w:w="20" w:type="dxa"/>
              <w:bottom w:w="0" w:type="dxa"/>
              <w:right w:w="20" w:type="dxa"/>
            </w:tcMar>
            <w:vAlign w:val="center"/>
          </w:tcPr>
          <w:p w14:paraId="391CCC9D">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数量</w:t>
            </w:r>
          </w:p>
          <w:p w14:paraId="7EC7710B">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（台、套）</w:t>
            </w:r>
          </w:p>
        </w:tc>
        <w:tc>
          <w:tcPr>
            <w:tcW w:w="985" w:type="dxa"/>
            <w:noWrap/>
            <w:tcMar>
              <w:top w:w="20" w:type="dxa"/>
              <w:left w:w="20" w:type="dxa"/>
              <w:bottom w:w="0" w:type="dxa"/>
              <w:right w:w="20" w:type="dxa"/>
            </w:tcMar>
            <w:vAlign w:val="center"/>
          </w:tcPr>
          <w:p w14:paraId="049F29DF">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单价</w:t>
            </w:r>
          </w:p>
          <w:p w14:paraId="01FF9285">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(万元)</w:t>
            </w:r>
          </w:p>
        </w:tc>
        <w:tc>
          <w:tcPr>
            <w:tcW w:w="984" w:type="dxa"/>
            <w:noWrap/>
            <w:tcMar>
              <w:top w:w="20" w:type="dxa"/>
              <w:left w:w="20" w:type="dxa"/>
              <w:bottom w:w="0" w:type="dxa"/>
              <w:right w:w="20" w:type="dxa"/>
            </w:tcMar>
            <w:vAlign w:val="center"/>
          </w:tcPr>
          <w:p w14:paraId="35373C6B">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合计</w:t>
            </w:r>
          </w:p>
          <w:p w14:paraId="44330E68">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（万元）</w:t>
            </w:r>
          </w:p>
        </w:tc>
        <w:tc>
          <w:tcPr>
            <w:tcW w:w="978" w:type="dxa"/>
            <w:noWrap/>
            <w:vAlign w:val="center"/>
          </w:tcPr>
          <w:p w14:paraId="16D5F406">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生产商</w:t>
            </w:r>
          </w:p>
        </w:tc>
        <w:tc>
          <w:tcPr>
            <w:tcW w:w="580" w:type="dxa"/>
            <w:noWrap/>
            <w:tcMar>
              <w:top w:w="20" w:type="dxa"/>
              <w:left w:w="20" w:type="dxa"/>
              <w:bottom w:w="0" w:type="dxa"/>
              <w:right w:w="20" w:type="dxa"/>
            </w:tcMar>
            <w:vAlign w:val="center"/>
          </w:tcPr>
          <w:p w14:paraId="55F00C92">
            <w:pPr>
              <w:wordWrap/>
              <w:autoSpaceDE/>
              <w:autoSpaceDN/>
              <w:spacing w:line="360" w:lineRule="auto"/>
              <w:jc w:val="center"/>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备注</w:t>
            </w:r>
          </w:p>
        </w:tc>
      </w:tr>
      <w:tr w14:paraId="4778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0A3586B6">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1</w:t>
            </w:r>
          </w:p>
        </w:tc>
        <w:tc>
          <w:tcPr>
            <w:tcW w:w="1805" w:type="dxa"/>
            <w:noWrap/>
            <w:tcMar>
              <w:top w:w="20" w:type="dxa"/>
              <w:left w:w="20" w:type="dxa"/>
              <w:bottom w:w="0" w:type="dxa"/>
              <w:right w:w="20" w:type="dxa"/>
            </w:tcMar>
            <w:vAlign w:val="center"/>
          </w:tcPr>
          <w:p w14:paraId="5602A21A">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41E78247">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64B56D4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6AF714C6">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2BEDA27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2635BC1E">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580" w:type="dxa"/>
            <w:noWrap/>
            <w:tcMar>
              <w:top w:w="20" w:type="dxa"/>
              <w:left w:w="20" w:type="dxa"/>
              <w:bottom w:w="0" w:type="dxa"/>
              <w:right w:w="20" w:type="dxa"/>
            </w:tcMar>
            <w:vAlign w:val="center"/>
          </w:tcPr>
          <w:p w14:paraId="277513B2">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4C5C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04CF0DCF">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p>
        </w:tc>
        <w:tc>
          <w:tcPr>
            <w:tcW w:w="1805" w:type="dxa"/>
            <w:noWrap/>
            <w:tcMar>
              <w:top w:w="20" w:type="dxa"/>
              <w:left w:w="20" w:type="dxa"/>
              <w:bottom w:w="0" w:type="dxa"/>
              <w:right w:w="20" w:type="dxa"/>
            </w:tcMar>
            <w:vAlign w:val="center"/>
          </w:tcPr>
          <w:p w14:paraId="324E6344">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58A53A19">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1540C2C1">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108FA9D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64F1C913">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252A6A87">
            <w:pPr>
              <w:wordWrap/>
              <w:autoSpaceDE/>
              <w:autoSpaceDN/>
              <w:spacing w:line="360" w:lineRule="auto"/>
              <w:jc w:val="center"/>
              <w:outlineLvl w:val="9"/>
              <w:rPr>
                <w:rFonts w:hint="eastAsia" w:ascii="宋体" w:hAnsi="宋体" w:eastAsia="宋体" w:cs="宋体"/>
                <w:color w:val="auto"/>
                <w:kern w:val="0"/>
                <w:sz w:val="21"/>
                <w:szCs w:val="21"/>
                <w:lang w:eastAsia="zh-CN"/>
              </w:rPr>
            </w:pPr>
          </w:p>
        </w:tc>
        <w:tc>
          <w:tcPr>
            <w:tcW w:w="580" w:type="dxa"/>
            <w:noWrap/>
            <w:tcMar>
              <w:top w:w="20" w:type="dxa"/>
              <w:left w:w="20" w:type="dxa"/>
              <w:bottom w:w="0" w:type="dxa"/>
              <w:right w:w="20" w:type="dxa"/>
            </w:tcMar>
            <w:vAlign w:val="center"/>
          </w:tcPr>
          <w:p w14:paraId="1975D536">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35CE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6D0BCFAB">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3</w:t>
            </w:r>
          </w:p>
        </w:tc>
        <w:tc>
          <w:tcPr>
            <w:tcW w:w="1805" w:type="dxa"/>
            <w:noWrap/>
            <w:tcMar>
              <w:top w:w="20" w:type="dxa"/>
              <w:left w:w="20" w:type="dxa"/>
              <w:bottom w:w="0" w:type="dxa"/>
              <w:right w:w="20" w:type="dxa"/>
            </w:tcMar>
            <w:vAlign w:val="center"/>
          </w:tcPr>
          <w:p w14:paraId="33B44464">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1980" w:type="dxa"/>
            <w:noWrap/>
            <w:tcMar>
              <w:top w:w="20" w:type="dxa"/>
              <w:left w:w="20" w:type="dxa"/>
              <w:bottom w:w="0" w:type="dxa"/>
              <w:right w:w="20" w:type="dxa"/>
            </w:tcMar>
            <w:vAlign w:val="center"/>
          </w:tcPr>
          <w:p w14:paraId="0ABA9D9C">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886" w:type="dxa"/>
            <w:noWrap/>
            <w:tcMar>
              <w:top w:w="20" w:type="dxa"/>
              <w:left w:w="20" w:type="dxa"/>
              <w:bottom w:w="0" w:type="dxa"/>
              <w:right w:w="20" w:type="dxa"/>
            </w:tcMar>
            <w:vAlign w:val="center"/>
          </w:tcPr>
          <w:p w14:paraId="40A32995">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5" w:type="dxa"/>
            <w:noWrap/>
            <w:tcMar>
              <w:top w:w="20" w:type="dxa"/>
              <w:left w:w="20" w:type="dxa"/>
              <w:bottom w:w="0" w:type="dxa"/>
              <w:right w:w="20" w:type="dxa"/>
            </w:tcMar>
            <w:vAlign w:val="center"/>
          </w:tcPr>
          <w:p w14:paraId="1919F7A2">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84" w:type="dxa"/>
            <w:noWrap/>
            <w:tcMar>
              <w:top w:w="20" w:type="dxa"/>
              <w:left w:w="20" w:type="dxa"/>
              <w:bottom w:w="0" w:type="dxa"/>
              <w:right w:w="20" w:type="dxa"/>
            </w:tcMar>
            <w:vAlign w:val="center"/>
          </w:tcPr>
          <w:p w14:paraId="3B8D1CBF">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978" w:type="dxa"/>
            <w:noWrap/>
            <w:vAlign w:val="center"/>
          </w:tcPr>
          <w:p w14:paraId="7F313579">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580" w:type="dxa"/>
            <w:noWrap/>
            <w:tcMar>
              <w:top w:w="20" w:type="dxa"/>
              <w:left w:w="20" w:type="dxa"/>
              <w:bottom w:w="0" w:type="dxa"/>
              <w:right w:w="20" w:type="dxa"/>
            </w:tcMar>
            <w:vAlign w:val="center"/>
          </w:tcPr>
          <w:p w14:paraId="1258F43E">
            <w:pPr>
              <w:wordWrap/>
              <w:autoSpaceDE/>
              <w:autoSpaceDN/>
              <w:spacing w:line="360" w:lineRule="auto"/>
              <w:jc w:val="center"/>
              <w:outlineLvl w:val="9"/>
              <w:rPr>
                <w:rFonts w:hint="eastAsia" w:ascii="宋体" w:hAnsi="宋体" w:eastAsia="宋体" w:cs="宋体"/>
                <w:color w:val="auto"/>
                <w:sz w:val="21"/>
                <w:szCs w:val="21"/>
                <w:lang w:eastAsia="zh-CN"/>
              </w:rPr>
            </w:pPr>
          </w:p>
        </w:tc>
      </w:tr>
      <w:tr w14:paraId="02C0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351B2A2B">
            <w:pPr>
              <w:wordWrap/>
              <w:autoSpaceDE/>
              <w:autoSpaceDN/>
              <w:spacing w:line="360" w:lineRule="auto"/>
              <w:jc w:val="center"/>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合同金额(元)</w:t>
            </w:r>
          </w:p>
        </w:tc>
        <w:tc>
          <w:tcPr>
            <w:tcW w:w="4413" w:type="dxa"/>
            <w:gridSpan w:val="5"/>
            <w:noWrap/>
            <w:tcMar>
              <w:top w:w="20" w:type="dxa"/>
              <w:left w:w="20" w:type="dxa"/>
              <w:bottom w:w="0" w:type="dxa"/>
              <w:right w:w="20" w:type="dxa"/>
            </w:tcMar>
            <w:vAlign w:val="center"/>
          </w:tcPr>
          <w:p w14:paraId="2154CC27">
            <w:pPr>
              <w:wordWrap/>
              <w:autoSpaceDE/>
              <w:autoSpaceDN/>
              <w:spacing w:line="360" w:lineRule="auto"/>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 xml:space="preserve">大写： </w:t>
            </w:r>
          </w:p>
        </w:tc>
      </w:tr>
      <w:tr w14:paraId="04B2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766D9383">
            <w:pPr>
              <w:wordWrap/>
              <w:autoSpaceDE/>
              <w:autoSpaceDN/>
              <w:spacing w:line="360" w:lineRule="auto"/>
              <w:jc w:val="center"/>
              <w:outlineLvl w:val="9"/>
              <w:rPr>
                <w:rFonts w:hint="eastAsia" w:ascii="宋体" w:hAnsi="宋体" w:eastAsia="宋体" w:cs="宋体"/>
                <w:color w:val="auto"/>
                <w:sz w:val="21"/>
                <w:szCs w:val="21"/>
                <w:lang w:eastAsia="zh-CN"/>
              </w:rPr>
            </w:pPr>
          </w:p>
        </w:tc>
        <w:tc>
          <w:tcPr>
            <w:tcW w:w="4413" w:type="dxa"/>
            <w:gridSpan w:val="5"/>
            <w:noWrap/>
            <w:tcMar>
              <w:top w:w="20" w:type="dxa"/>
              <w:left w:w="20" w:type="dxa"/>
              <w:bottom w:w="0" w:type="dxa"/>
              <w:right w:w="20" w:type="dxa"/>
            </w:tcMar>
            <w:vAlign w:val="center"/>
          </w:tcPr>
          <w:p w14:paraId="0A9E4EE8">
            <w:pPr>
              <w:wordWrap/>
              <w:autoSpaceDE/>
              <w:autoSpaceDN/>
              <w:spacing w:line="360" w:lineRule="auto"/>
              <w:jc w:val="left"/>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小写：   元</w:t>
            </w:r>
          </w:p>
        </w:tc>
      </w:tr>
    </w:tbl>
    <w:p w14:paraId="399660E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2.上述合同金额为一次性包干总价，不受市场价格的变化和影响，在合同不发生变更时作为付款结算的依据。</w:t>
      </w:r>
    </w:p>
    <w:p w14:paraId="10DFBCB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2BE0931C">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4.在实际合同履行过程中，如果乙方未完全履行合同义务或履行的合同义务不符合约定的，则未履行或履行不符合合同约定的内容所对应的价款由甲方直接从上述约定的包干价中扣除。</w:t>
      </w:r>
    </w:p>
    <w:p w14:paraId="5EDE1D13">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二、货物质量</w:t>
      </w:r>
    </w:p>
    <w:p w14:paraId="403DB34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2A4B436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2.乙方提供的设备及配套产品须</w:t>
      </w:r>
      <w:r>
        <w:rPr>
          <w:rFonts w:hint="eastAsia" w:ascii="宋体" w:hAnsi="宋体" w:eastAsia="宋体" w:cs="宋体"/>
          <w:color w:val="auto"/>
          <w:sz w:val="24"/>
          <w:szCs w:val="24"/>
          <w:lang w:eastAsia="zh-CN"/>
        </w:rPr>
        <w:t>符合国家有关质量标准、规范和环保要求。</w:t>
      </w:r>
    </w:p>
    <w:p w14:paraId="60214D61">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1D1DE87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4.乙方提供的设备及配套产品必须能按国家标准供应、检测、调试，确保产品技术指标满足使用要求。</w:t>
      </w:r>
    </w:p>
    <w:p w14:paraId="6A4B42B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5.除非技术规范中另有规定，计量单位均采用中华人民共和国法定计量单位。</w:t>
      </w:r>
    </w:p>
    <w:p w14:paraId="6CE02874">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三、交货时间及交货地点</w:t>
      </w:r>
    </w:p>
    <w:p w14:paraId="4184837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1.交货（安装）地点：</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sz w:val="24"/>
          <w:szCs w:val="24"/>
          <w:lang w:eastAsia="zh-CN"/>
        </w:rPr>
        <w:t>（具体到房间）。乙方要提供整套合格产品，切实做好安全防护相关工作，并负责安排卸货和安装所需工具以及人员。</w:t>
      </w:r>
    </w:p>
    <w:p w14:paraId="197FC3F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2.交货日期：20</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年</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月</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日前或合同签订后</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个工作日内，乙方负责将产品运输到交货（安装）地点，并按照验收标准和验收程序完成设备的安装、调试和验收工作。乙方交货时须保证产品包装完好，安装调试及验收时设备外观无划痕，设备质量完好。</w:t>
      </w:r>
    </w:p>
    <w:p w14:paraId="41DFBFD3">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四、货物交付及验收</w:t>
      </w:r>
    </w:p>
    <w:p w14:paraId="442164F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b/>
          <w:bCs/>
          <w:color w:val="auto"/>
          <w:kern w:val="0"/>
          <w:sz w:val="24"/>
          <w:szCs w:val="24"/>
          <w:lang w:eastAsia="zh-CN"/>
        </w:rPr>
        <w:t>1.货物交付</w:t>
      </w:r>
    </w:p>
    <w:p w14:paraId="3D6174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79FEE3E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1.2乙方负责提供货物（设备）相应的技术资料，包括产品合格证、产品保修单、安装使用及维护说明书以及运输装箱清单等,并对所有技术材料的真实性、准确性、先进性、完整性负责。</w:t>
      </w:r>
    </w:p>
    <w:p w14:paraId="60B6846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40248AD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458F6A6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40F8E53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1965BFF4">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1.6乙方应向甲方提供有关标准的中文文本。</w:t>
      </w:r>
    </w:p>
    <w:p w14:paraId="17D363D3">
      <w:pPr>
        <w:widowControl/>
        <w:wordWrap/>
        <w:autoSpaceDE/>
        <w:autoSpaceDN/>
        <w:spacing w:line="480" w:lineRule="exact"/>
        <w:ind w:firstLine="482"/>
        <w:jc w:val="left"/>
        <w:outlineLvl w:val="9"/>
        <w:rPr>
          <w:rFonts w:hint="eastAsia" w:ascii="宋体" w:hAnsi="宋体" w:eastAsia="宋体" w:cs="宋体"/>
          <w:b/>
          <w:bCs/>
          <w:color w:val="auto"/>
          <w:kern w:val="0"/>
          <w:sz w:val="24"/>
          <w:szCs w:val="24"/>
          <w:lang w:eastAsia="zh-CN"/>
        </w:rPr>
      </w:pPr>
      <w:r>
        <w:rPr>
          <w:rFonts w:hint="eastAsia" w:ascii="宋体" w:hAnsi="宋体" w:eastAsia="宋体" w:cs="宋体"/>
          <w:b/>
          <w:bCs/>
          <w:color w:val="auto"/>
          <w:kern w:val="0"/>
          <w:sz w:val="24"/>
          <w:szCs w:val="24"/>
          <w:lang w:eastAsia="zh-CN"/>
        </w:rPr>
        <w:t>2.验收</w:t>
      </w:r>
    </w:p>
    <w:p w14:paraId="1C32B6C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2.1验收方法及标准：</w:t>
      </w:r>
      <w:r>
        <w:rPr>
          <w:rFonts w:hint="eastAsia" w:ascii="宋体" w:hAnsi="宋体" w:eastAsia="宋体" w:cs="宋体"/>
          <w:color w:val="auto"/>
          <w:kern w:val="0"/>
          <w:sz w:val="24"/>
          <w:szCs w:val="24"/>
          <w:u w:val="single"/>
          <w:lang w:eastAsia="zh-CN"/>
        </w:rPr>
        <w:t xml:space="preserve"> 具体详见附件2 </w:t>
      </w:r>
      <w:r>
        <w:rPr>
          <w:rFonts w:hint="eastAsia" w:ascii="宋体" w:hAnsi="宋体" w:eastAsia="宋体" w:cs="宋体"/>
          <w:color w:val="auto"/>
          <w:kern w:val="0"/>
          <w:sz w:val="24"/>
          <w:szCs w:val="24"/>
          <w:lang w:eastAsia="zh-CN"/>
        </w:rPr>
        <w:t>。</w:t>
      </w:r>
    </w:p>
    <w:p w14:paraId="1B381389">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五、合同价款支付及履约保证金</w:t>
      </w:r>
    </w:p>
    <w:p w14:paraId="399D94F4">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 合同价款支付</w:t>
      </w:r>
    </w:p>
    <w:p w14:paraId="491E0D8D">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1.1合同价款支付方式</w:t>
      </w:r>
    </w:p>
    <w:p w14:paraId="5D79A350">
      <w:pPr>
        <w:wordWrap/>
        <w:autoSpaceDE/>
        <w:autoSpaceDN/>
        <w:snapToGrid w:val="0"/>
        <w:spacing w:line="480" w:lineRule="exact"/>
        <w:ind w:firstLine="482" w:firstLineChars="200"/>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签订合同后15日内，乙方提供经甲方认可的合同金额100%的预付款保函或双方认可的其他担保措施，支付合同金额的100%。</w:t>
      </w:r>
    </w:p>
    <w:p w14:paraId="4C87F882">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1.2甲方向乙方付款时，乙方须向甲方出具合同总价款的增值税专用发票。</w:t>
      </w:r>
    </w:p>
    <w:p w14:paraId="2EF161D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2.履约保证金</w:t>
      </w:r>
    </w:p>
    <w:p w14:paraId="5C4AD1D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2.1乙方应在收到中标（成交）通知书后3个工作日内，向甲方提交合同总价5%的履约保证金；</w:t>
      </w:r>
    </w:p>
    <w:p w14:paraId="7B6D8DE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2.2履约保证金应使用人民币，按</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方式提交；</w:t>
      </w:r>
    </w:p>
    <w:p w14:paraId="2127401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2.3项目全部完成并由甲方验收合格后，乙方申请，甲方应把履约保证金（无息）退还乙方。</w:t>
      </w:r>
    </w:p>
    <w:p w14:paraId="735D7D45">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六、质量保证期及售后服务</w:t>
      </w:r>
    </w:p>
    <w:p w14:paraId="5DDC1BD9">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kern w:val="0"/>
          <w:sz w:val="24"/>
          <w:szCs w:val="24"/>
          <w:lang w:eastAsia="zh-CN"/>
        </w:rPr>
        <w:t>1.</w:t>
      </w:r>
      <w:r>
        <w:rPr>
          <w:rFonts w:hint="eastAsia" w:ascii="宋体" w:hAnsi="宋体" w:eastAsia="宋体" w:cs="宋体"/>
          <w:color w:val="auto"/>
          <w:sz w:val="24"/>
          <w:szCs w:val="24"/>
          <w:lang w:eastAsia="zh-CN"/>
        </w:rPr>
        <w:t>产品质量保证期为甲方最终设备验收合格后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3E60281B">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2.质保期内乙方对甲方提出的服务响应不得超出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小时。</w:t>
      </w:r>
    </w:p>
    <w:p w14:paraId="7D5D857D">
      <w:pPr>
        <w:widowControl/>
        <w:wordWrap/>
        <w:autoSpaceDE/>
        <w:autoSpaceDN/>
        <w:spacing w:line="480" w:lineRule="exact"/>
        <w:ind w:firstLine="482"/>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3.售后服务：具体服务详见乙方投标文件中乙方的承诺书。</w:t>
      </w:r>
    </w:p>
    <w:p w14:paraId="1192E19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sz w:val="24"/>
          <w:szCs w:val="24"/>
          <w:lang w:eastAsia="zh-CN"/>
        </w:rPr>
        <w:t>4.人员培训：乙方终身免费为甲方培训设备使用人员，培训内容包括：设备操作、维护、简单维修等。</w:t>
      </w:r>
    </w:p>
    <w:p w14:paraId="3B661781">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七、违约责任</w:t>
      </w:r>
    </w:p>
    <w:p w14:paraId="725495B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1.合同生效后，甲乙双方应按合同规定认真履约。合同履约责任只涉及合同甲乙双方，不考虑第三方因素。</w:t>
      </w:r>
    </w:p>
    <w:p w14:paraId="1551386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2.除不可抗力原因外，如遇下列情况之一者，乙方所缴纳的履约保证金、产品质量保证金甲方有权不予退还，作为对甲方的赔偿，且甲方有权解除本合同：</w:t>
      </w:r>
    </w:p>
    <w:p w14:paraId="7F13CE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（1）合同签订后不能按合同时限要求供货或安装调试；</w:t>
      </w:r>
    </w:p>
    <w:p w14:paraId="515B09E0">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（2）所供设备不合格、与合同不符；</w:t>
      </w:r>
    </w:p>
    <w:p w14:paraId="52AAEE9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（3）不能按合同履约；</w:t>
      </w:r>
    </w:p>
    <w:p w14:paraId="121A771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（4）因产品质量原因，不能通过验收。</w:t>
      </w:r>
    </w:p>
    <w:p w14:paraId="09C294F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3.如乙方产品质量不符合国家标准、行业内控标准或本合同技术附件要求的，甲方有权退货，乙方应退还全部货款，并承担甲方合同总价款10％的违约金及其他损失。</w:t>
      </w:r>
    </w:p>
    <w:p w14:paraId="53F2102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4.在合同规定的供货期内乙方未全部交货，除应在</w:t>
      </w:r>
      <w:r>
        <w:rPr>
          <w:rFonts w:hint="eastAsia" w:ascii="宋体" w:hAnsi="宋体" w:eastAsia="宋体" w:cs="宋体"/>
          <w:color w:val="auto"/>
          <w:kern w:val="0"/>
          <w:sz w:val="24"/>
          <w:szCs w:val="24"/>
          <w:u w:val="single"/>
          <w:lang w:eastAsia="zh-CN"/>
        </w:rPr>
        <w:t xml:space="preserve">     </w:t>
      </w:r>
      <w:r>
        <w:rPr>
          <w:rFonts w:hint="eastAsia" w:ascii="宋体" w:hAnsi="宋体" w:eastAsia="宋体" w:cs="宋体"/>
          <w:color w:val="auto"/>
          <w:kern w:val="0"/>
          <w:sz w:val="24"/>
          <w:szCs w:val="24"/>
          <w:lang w:eastAsia="zh-CN"/>
        </w:rPr>
        <w:t>天内如数补齐外，还应承担合同总款的10％违约金。</w:t>
      </w:r>
    </w:p>
    <w:p w14:paraId="22C5562C">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5.乙方对货物不按招标文件要求，擅自更换，除恢复原招标产品外，应承担更换部分价款10%的违约金；乙方如对产品材质、随机配品以次充好，除全部按要求恢复外，应承担此部分价款10%的违约金。</w:t>
      </w:r>
    </w:p>
    <w:p w14:paraId="29B5137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501A6AB0">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005AE87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8.出现下列情形之一的，视为乙方违约。甲方可向乙方发出书面通知，部分或全部终止合同，同时保留向乙方索赔的权利，具体情形如下：</w:t>
      </w:r>
    </w:p>
    <w:p w14:paraId="4252AEDE">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 xml:space="preserve">（1）乙方未能在合同规定的限期或甲方同意延长的限期内，提供全部或部分货物的； </w:t>
      </w:r>
    </w:p>
    <w:p w14:paraId="0585DA4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（2）乙方未能履行合同规定的其它主要义务的；</w:t>
      </w:r>
    </w:p>
    <w:p w14:paraId="5A380C4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（3）乙方在本合同履行过程中有欺诈行为的。</w:t>
      </w:r>
    </w:p>
    <w:p w14:paraId="334EFAF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9.索赔：</w:t>
      </w:r>
      <w:r>
        <w:rPr>
          <w:rFonts w:hint="eastAsia" w:ascii="宋体" w:hAnsi="宋体" w:eastAsia="宋体" w:cs="宋体"/>
          <w:color w:val="auto"/>
          <w:kern w:val="0"/>
          <w:sz w:val="24"/>
          <w:szCs w:val="24"/>
          <w:u w:val="single"/>
          <w:lang w:eastAsia="zh-CN"/>
        </w:rPr>
        <w:t xml:space="preserve"> 具体详见附件3 </w:t>
      </w:r>
      <w:r>
        <w:rPr>
          <w:rFonts w:hint="eastAsia" w:ascii="宋体" w:hAnsi="宋体" w:eastAsia="宋体" w:cs="宋体"/>
          <w:color w:val="auto"/>
          <w:kern w:val="0"/>
          <w:sz w:val="24"/>
          <w:szCs w:val="24"/>
          <w:lang w:eastAsia="zh-CN"/>
        </w:rPr>
        <w:t>。</w:t>
      </w:r>
    </w:p>
    <w:p w14:paraId="24145C77">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3C3E0B84">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八、合同争议的解决：</w:t>
      </w:r>
    </w:p>
    <w:p w14:paraId="20337E8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1.甲乙双方由于本合同的履行而发生任何争议时，双方可先通过协商解决。</w:t>
      </w:r>
    </w:p>
    <w:p w14:paraId="1A89A71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2.任何一方不愿通过协商或通过协商仍不能解决争议，则双方中任何一方均应向甲方所在地人民法院起诉。</w:t>
      </w:r>
    </w:p>
    <w:p w14:paraId="398F553F">
      <w:pPr>
        <w:widowControl/>
        <w:wordWrap/>
        <w:autoSpaceDE/>
        <w:autoSpaceDN/>
        <w:spacing w:line="480" w:lineRule="exact"/>
        <w:ind w:firstLine="482"/>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九、其他：</w:t>
      </w:r>
    </w:p>
    <w:p w14:paraId="006E1EC3">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1.合同经双方签字盖章后生效。本合同一式五份，甲方执四份，乙方执一份，执行完毕后自行失效。</w:t>
      </w:r>
    </w:p>
    <w:p w14:paraId="75511A0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3.合同的附件、投标文件均作为本合同不可分割的内容，且具有同等法律效力。合同的附件由甲方使用单位负责审核并签章。</w:t>
      </w:r>
    </w:p>
    <w:p w14:paraId="5CF79435">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4.在本合同执行过程中，甲、乙双方协商签订的补充合同与原合同具有同等法律效力。</w:t>
      </w:r>
    </w:p>
    <w:p w14:paraId="48613EC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5.未尽事宜，双方协商解决。</w:t>
      </w:r>
    </w:p>
    <w:p w14:paraId="1A161163">
      <w:pPr>
        <w:wordWrap/>
        <w:autoSpaceDE/>
        <w:autoSpaceDN/>
        <w:snapToGrid w:val="0"/>
        <w:spacing w:line="440" w:lineRule="exact"/>
        <w:ind w:firstLine="420" w:firstLineChars="200"/>
        <w:outlineLvl w:val="9"/>
        <w:rPr>
          <w:rFonts w:hint="eastAsia" w:ascii="宋体" w:hAnsi="宋体" w:eastAsia="宋体" w:cs="宋体"/>
          <w:color w:val="auto"/>
          <w:sz w:val="21"/>
          <w:szCs w:val="21"/>
          <w:lang w:eastAsia="zh-CN"/>
        </w:rPr>
      </w:pPr>
    </w:p>
    <w:p w14:paraId="008DC8BF">
      <w:pPr>
        <w:wordWrap/>
        <w:autoSpaceDE/>
        <w:autoSpaceDN/>
        <w:snapToGrid w:val="0"/>
        <w:spacing w:line="480" w:lineRule="exact"/>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合同签订地点：西安建筑科技大学</w:t>
      </w:r>
    </w:p>
    <w:p w14:paraId="35C8AD56">
      <w:pPr>
        <w:wordWrap/>
        <w:autoSpaceDE/>
        <w:autoSpaceDN/>
        <w:snapToGrid w:val="0"/>
        <w:spacing w:line="480" w:lineRule="exact"/>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合同签订时间：      年    月    日</w:t>
      </w:r>
    </w:p>
    <w:p w14:paraId="5770CE3D">
      <w:pPr>
        <w:wordWrap/>
        <w:autoSpaceDE/>
        <w:autoSpaceDN/>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br w:type="page"/>
      </w:r>
    </w:p>
    <w:p w14:paraId="0252422E">
      <w:pPr>
        <w:wordWrap/>
        <w:autoSpaceDE/>
        <w:autoSpaceDN/>
        <w:snapToGrid w:val="0"/>
        <w:spacing w:line="480" w:lineRule="exact"/>
        <w:outlineLvl w:val="9"/>
        <w:rPr>
          <w:rFonts w:hint="eastAsia" w:ascii="宋体" w:hAnsi="宋体" w:eastAsia="宋体" w:cs="宋体"/>
          <w:b/>
          <w:color w:val="auto"/>
          <w:sz w:val="21"/>
          <w:szCs w:val="21"/>
          <w:lang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7AF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3ECB6BB">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甲  方（盖章）：西安建筑科技大学</w:t>
            </w:r>
          </w:p>
        </w:tc>
        <w:tc>
          <w:tcPr>
            <w:tcW w:w="4503" w:type="dxa"/>
            <w:vAlign w:val="center"/>
          </w:tcPr>
          <w:p w14:paraId="3E9D166A">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乙  方（盖章）：</w:t>
            </w:r>
          </w:p>
        </w:tc>
      </w:tr>
      <w:tr w14:paraId="339C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36371D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地  址：西安市雁塔路13号</w:t>
            </w:r>
          </w:p>
        </w:tc>
        <w:tc>
          <w:tcPr>
            <w:tcW w:w="4503" w:type="dxa"/>
            <w:vAlign w:val="center"/>
          </w:tcPr>
          <w:p w14:paraId="5B7E6397">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地  址：</w:t>
            </w:r>
          </w:p>
        </w:tc>
      </w:tr>
      <w:tr w14:paraId="4A95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C96B6F3">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法定代表人（签字）：</w:t>
            </w:r>
          </w:p>
        </w:tc>
        <w:tc>
          <w:tcPr>
            <w:tcW w:w="4503" w:type="dxa"/>
            <w:vAlign w:val="center"/>
          </w:tcPr>
          <w:p w14:paraId="7C772E6F">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法定代表人（签字）：</w:t>
            </w:r>
          </w:p>
        </w:tc>
      </w:tr>
      <w:tr w14:paraId="2AC6E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8ED12EC">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委托代理人（签字）：</w:t>
            </w:r>
          </w:p>
        </w:tc>
        <w:tc>
          <w:tcPr>
            <w:tcW w:w="4503" w:type="dxa"/>
            <w:vAlign w:val="center"/>
          </w:tcPr>
          <w:p w14:paraId="5BC26FF3">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委托代理人（签字）：</w:t>
            </w:r>
          </w:p>
        </w:tc>
      </w:tr>
      <w:tr w14:paraId="52CA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A039C1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开户名：西安建筑科技大学</w:t>
            </w:r>
          </w:p>
        </w:tc>
        <w:tc>
          <w:tcPr>
            <w:tcW w:w="4503" w:type="dxa"/>
            <w:vAlign w:val="center"/>
          </w:tcPr>
          <w:p w14:paraId="5378935C">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开户名：</w:t>
            </w:r>
          </w:p>
        </w:tc>
      </w:tr>
      <w:tr w14:paraId="7265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718E739">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开户行：工行雁塔路支行</w:t>
            </w:r>
          </w:p>
          <w:p w14:paraId="346F87DC">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行  号: 102791000242</w:t>
            </w:r>
          </w:p>
          <w:p w14:paraId="58A2BD8A">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税  号: 1261000043523106XB</w:t>
            </w:r>
          </w:p>
        </w:tc>
        <w:tc>
          <w:tcPr>
            <w:tcW w:w="4503" w:type="dxa"/>
            <w:vAlign w:val="center"/>
          </w:tcPr>
          <w:p w14:paraId="139CDFE5">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开户行：</w:t>
            </w:r>
          </w:p>
        </w:tc>
      </w:tr>
      <w:tr w14:paraId="1FB5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D658E46">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帐  号：3700023009026400639</w:t>
            </w:r>
          </w:p>
        </w:tc>
        <w:tc>
          <w:tcPr>
            <w:tcW w:w="4503" w:type="dxa"/>
            <w:vAlign w:val="center"/>
          </w:tcPr>
          <w:p w14:paraId="64D30D5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帐  号：</w:t>
            </w:r>
          </w:p>
        </w:tc>
      </w:tr>
      <w:tr w14:paraId="7188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0ECF1CD">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联系人： 梁武</w:t>
            </w:r>
          </w:p>
        </w:tc>
        <w:tc>
          <w:tcPr>
            <w:tcW w:w="4503" w:type="dxa"/>
            <w:vAlign w:val="center"/>
          </w:tcPr>
          <w:p w14:paraId="4B8BB57B">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联系人：</w:t>
            </w:r>
          </w:p>
        </w:tc>
      </w:tr>
      <w:tr w14:paraId="1E80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42A9FF1">
            <w:pPr>
              <w:wordWrap/>
              <w:autoSpaceDE/>
              <w:autoSpaceDN/>
              <w:outlineLvl w:val="9"/>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联系电话：029-82202312</w:t>
            </w:r>
          </w:p>
        </w:tc>
        <w:tc>
          <w:tcPr>
            <w:tcW w:w="4503" w:type="dxa"/>
            <w:vAlign w:val="center"/>
          </w:tcPr>
          <w:p w14:paraId="4F1BD327">
            <w:pPr>
              <w:wordWrap/>
              <w:autoSpaceDE/>
              <w:autoSpaceDN/>
              <w:outlineLvl w:val="9"/>
              <w:rPr>
                <w:rFonts w:hint="eastAsia" w:ascii="宋体" w:hAnsi="宋体" w:eastAsia="宋体" w:cs="宋体"/>
                <w:color w:val="auto"/>
                <w:sz w:val="21"/>
                <w:szCs w:val="21"/>
                <w:lang w:eastAsia="zh-CN"/>
              </w:rPr>
            </w:pPr>
            <w:r>
              <w:rPr>
                <w:rFonts w:hint="eastAsia" w:ascii="宋体" w:hAnsi="宋体" w:eastAsia="宋体" w:cs="宋体"/>
                <w:b/>
                <w:color w:val="auto"/>
                <w:sz w:val="21"/>
                <w:szCs w:val="21"/>
                <w:lang w:eastAsia="zh-CN"/>
              </w:rPr>
              <w:t>联系电话：</w:t>
            </w:r>
          </w:p>
        </w:tc>
      </w:tr>
    </w:tbl>
    <w:p w14:paraId="0A596B88">
      <w:pPr>
        <w:widowControl/>
        <w:wordWrap/>
        <w:autoSpaceDE/>
        <w:autoSpaceDN/>
        <w:spacing w:line="360" w:lineRule="auto"/>
        <w:ind w:firstLine="482"/>
        <w:jc w:val="left"/>
        <w:outlineLvl w:val="9"/>
        <w:rPr>
          <w:rFonts w:hint="eastAsia" w:ascii="宋体" w:hAnsi="宋体" w:eastAsia="宋体" w:cs="宋体"/>
          <w:b/>
          <w:color w:val="auto"/>
          <w:kern w:val="0"/>
          <w:sz w:val="28"/>
          <w:szCs w:val="28"/>
          <w:lang w:eastAsia="zh-CN"/>
        </w:rPr>
      </w:pPr>
    </w:p>
    <w:p w14:paraId="7078B51B">
      <w:pPr>
        <w:widowControl/>
        <w:wordWrap/>
        <w:autoSpaceDE/>
        <w:autoSpaceDN/>
        <w:spacing w:line="360" w:lineRule="auto"/>
        <w:ind w:firstLine="482"/>
        <w:jc w:val="left"/>
        <w:outlineLvl w:val="9"/>
        <w:rPr>
          <w:rFonts w:hint="eastAsia" w:ascii="宋体" w:hAnsi="宋体" w:eastAsia="宋体" w:cs="宋体"/>
          <w:b/>
          <w:color w:val="auto"/>
          <w:kern w:val="0"/>
          <w:sz w:val="28"/>
          <w:szCs w:val="28"/>
          <w:lang w:eastAsia="zh-CN"/>
        </w:rPr>
      </w:pPr>
    </w:p>
    <w:p w14:paraId="7E40C1BA">
      <w:pPr>
        <w:widowControl/>
        <w:wordWrap/>
        <w:autoSpaceDE/>
        <w:autoSpaceDN/>
        <w:spacing w:line="360" w:lineRule="auto"/>
        <w:jc w:val="left"/>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附件：</w:t>
      </w:r>
    </w:p>
    <w:p w14:paraId="4B4CC09C">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附件1：技术协议</w:t>
      </w:r>
    </w:p>
    <w:p w14:paraId="12E1FE50">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附件2：验收方法及标准</w:t>
      </w:r>
    </w:p>
    <w:p w14:paraId="393640C4">
      <w:pPr>
        <w:widowControl/>
        <w:wordWrap/>
        <w:autoSpaceDE/>
        <w:autoSpaceDN/>
        <w:spacing w:line="52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附件3：索赔</w:t>
      </w:r>
    </w:p>
    <w:p w14:paraId="0B84661C">
      <w:pPr>
        <w:widowControl/>
        <w:spacing w:line="360" w:lineRule="auto"/>
        <w:jc w:val="left"/>
        <w:outlineLvl w:val="9"/>
        <w:rPr>
          <w:rFonts w:hint="eastAsia" w:ascii="宋体" w:hAnsi="宋体" w:eastAsia="宋体" w:cs="宋体"/>
          <w:color w:val="auto"/>
          <w:kern w:val="0"/>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C3A6BBC">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附件1：技术协议</w:t>
      </w:r>
    </w:p>
    <w:p w14:paraId="25241D16">
      <w:pPr>
        <w:wordWrap/>
        <w:autoSpaceDE/>
        <w:autoSpaceDN/>
        <w:spacing w:line="440" w:lineRule="exact"/>
        <w:outlineLvl w:val="9"/>
        <w:rPr>
          <w:rFonts w:hint="eastAsia" w:ascii="宋体" w:hAnsi="宋体" w:eastAsia="宋体" w:cs="宋体"/>
          <w:b/>
          <w:color w:val="auto"/>
          <w:sz w:val="30"/>
          <w:szCs w:val="30"/>
          <w:lang w:eastAsia="zh-CN"/>
        </w:rPr>
      </w:pPr>
      <w:bookmarkStart w:id="1" w:name="_Toc390373038"/>
      <w:bookmarkStart w:id="2" w:name="_Toc390360542"/>
      <w:r>
        <w:rPr>
          <w:rFonts w:hint="eastAsia" w:ascii="宋体" w:hAnsi="宋体" w:eastAsia="宋体" w:cs="宋体"/>
          <w:b/>
          <w:color w:val="auto"/>
          <w:sz w:val="32"/>
          <w:szCs w:val="32"/>
          <w:lang w:eastAsia="zh-CN"/>
        </w:rPr>
        <w:t>1.</w:t>
      </w:r>
      <w:r>
        <w:rPr>
          <w:rFonts w:hint="eastAsia" w:ascii="宋体" w:hAnsi="宋体" w:eastAsia="宋体" w:cs="宋体"/>
          <w:b/>
          <w:color w:val="auto"/>
          <w:sz w:val="30"/>
          <w:szCs w:val="30"/>
          <w:lang w:eastAsia="zh-CN"/>
        </w:rPr>
        <w:t>中标产品技术参数明细</w:t>
      </w:r>
    </w:p>
    <w:p w14:paraId="71E82790">
      <w:pPr>
        <w:wordWrap/>
        <w:autoSpaceDE/>
        <w:autoSpaceDN/>
        <w:spacing w:line="440" w:lineRule="exac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我公司承诺：合同中数列产品均满足标书及使用要求，无任何负偏离。并与所供产品完全一致。</w:t>
      </w:r>
    </w:p>
    <w:bookmarkEnd w:id="1"/>
    <w:bookmarkEnd w:id="2"/>
    <w:p w14:paraId="3E47D4FC">
      <w:pPr>
        <w:wordWrap/>
        <w:autoSpaceDE/>
        <w:autoSpaceDN/>
        <w:spacing w:line="440" w:lineRule="exact"/>
        <w:outlineLvl w:val="9"/>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1.1设备特性</w:t>
      </w:r>
    </w:p>
    <w:p w14:paraId="11C29499">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bCs/>
          <w:color w:val="auto"/>
          <w:sz w:val="24"/>
          <w:szCs w:val="24"/>
          <w:lang w:eastAsia="zh-CN"/>
        </w:rPr>
        <w:t>1.2</w:t>
      </w:r>
      <w:r>
        <w:rPr>
          <w:rFonts w:hint="eastAsia" w:ascii="宋体" w:hAnsi="宋体" w:eastAsia="宋体" w:cs="宋体"/>
          <w:b/>
          <w:color w:val="auto"/>
          <w:sz w:val="24"/>
          <w:szCs w:val="24"/>
          <w:lang w:eastAsia="zh-CN"/>
        </w:rPr>
        <w:t>设备用途</w:t>
      </w:r>
    </w:p>
    <w:p w14:paraId="5927595F">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1.3设备主要参数指标</w:t>
      </w:r>
    </w:p>
    <w:p w14:paraId="0F4D6C1B">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 xml:space="preserve">1.4质量要求与安全要求 </w:t>
      </w:r>
    </w:p>
    <w:p w14:paraId="278365FA">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1.5设备运行一般流程图</w:t>
      </w:r>
    </w:p>
    <w:p w14:paraId="1D6AE6FF">
      <w:pPr>
        <w:wordWrap/>
        <w:autoSpaceDE/>
        <w:autoSpaceDN/>
        <w:spacing w:line="440" w:lineRule="exact"/>
        <w:outlineLvl w:val="9"/>
        <w:rPr>
          <w:rFonts w:hint="eastAsia" w:ascii="宋体" w:hAnsi="宋体" w:eastAsia="宋体" w:cs="宋体"/>
          <w:color w:val="auto"/>
          <w:sz w:val="21"/>
          <w:szCs w:val="21"/>
          <w:lang w:eastAsia="zh-CN"/>
        </w:rPr>
      </w:pPr>
      <w:r>
        <w:rPr>
          <w:rFonts w:hint="eastAsia" w:ascii="宋体" w:hAnsi="宋体" w:eastAsia="宋体" w:cs="宋体"/>
          <w:b w:val="0"/>
          <w:bCs w:val="0"/>
          <w:color w:val="auto"/>
          <w:sz w:val="21"/>
          <w:szCs w:val="21"/>
          <w:lang w:eastAsia="zh-CN"/>
        </w:rPr>
        <w:t xml:space="preserve"> </w:t>
      </w:r>
    </w:p>
    <w:p w14:paraId="43C99BB9">
      <w:pPr>
        <w:wordWrap/>
        <w:autoSpaceDE/>
        <w:autoSpaceDN/>
        <w:spacing w:line="440" w:lineRule="exact"/>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t>2售后服务内容</w:t>
      </w:r>
      <w:bookmarkStart w:id="3" w:name="_Toc390360557"/>
      <w:bookmarkStart w:id="4" w:name="_Toc373263358"/>
      <w:bookmarkStart w:id="5" w:name="_Toc390373053"/>
    </w:p>
    <w:p w14:paraId="52CE5ADB">
      <w:pPr>
        <w:wordWrap/>
        <w:autoSpaceDE/>
        <w:autoSpaceDN/>
        <w:spacing w:line="440" w:lineRule="exact"/>
        <w:outlineLvl w:val="9"/>
        <w:rPr>
          <w:rFonts w:hint="eastAsia" w:ascii="宋体" w:hAnsi="宋体" w:eastAsia="宋体" w:cs="宋体"/>
          <w:b/>
          <w:color w:val="auto"/>
          <w:sz w:val="24"/>
          <w:szCs w:val="24"/>
          <w:lang w:eastAsia="zh-CN"/>
        </w:rPr>
      </w:pPr>
      <w:bookmarkStart w:id="6" w:name="_Toc390360558"/>
      <w:bookmarkStart w:id="7" w:name="_Toc390373054"/>
      <w:bookmarkStart w:id="8" w:name="_Toc373263359"/>
      <w:r>
        <w:rPr>
          <w:rFonts w:hint="eastAsia" w:ascii="宋体" w:hAnsi="宋体" w:eastAsia="宋体" w:cs="宋体"/>
          <w:b/>
          <w:color w:val="auto"/>
          <w:sz w:val="24"/>
          <w:szCs w:val="24"/>
          <w:lang w:eastAsia="zh-CN"/>
        </w:rPr>
        <w:t>2.1技术服务、售后服务体系、故障响应时间、应急维修措施</w:t>
      </w:r>
      <w:bookmarkEnd w:id="6"/>
      <w:bookmarkEnd w:id="7"/>
      <w:bookmarkEnd w:id="8"/>
    </w:p>
    <w:p w14:paraId="122B240D">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2.1.1技术服务措施</w:t>
      </w:r>
    </w:p>
    <w:p w14:paraId="58E60976">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2.1.2售后服务体系</w:t>
      </w:r>
    </w:p>
    <w:p w14:paraId="1BE4E53D">
      <w:pPr>
        <w:wordWrap/>
        <w:autoSpaceDE/>
        <w:autoSpaceDN/>
        <w:spacing w:line="440" w:lineRule="exact"/>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质保期内服务</w:t>
      </w:r>
    </w:p>
    <w:p w14:paraId="771A3DC4">
      <w:pPr>
        <w:wordWrap/>
        <w:autoSpaceDE/>
        <w:autoSpaceDN/>
        <w:spacing w:line="440" w:lineRule="exact"/>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质保期外服务</w:t>
      </w:r>
    </w:p>
    <w:p w14:paraId="5287AFCB">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2.1.3故障响应时间</w:t>
      </w:r>
    </w:p>
    <w:p w14:paraId="76C0FF87">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2.1.4应急维修措施</w:t>
      </w:r>
    </w:p>
    <w:p w14:paraId="61DD3ACF">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2.1.5易损件、备件的供应</w:t>
      </w:r>
    </w:p>
    <w:p w14:paraId="0564EF10">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2.1.6质保期以外技术支持或技术服务</w:t>
      </w:r>
    </w:p>
    <w:p w14:paraId="269BBAE7">
      <w:pPr>
        <w:wordWrap/>
        <w:autoSpaceDE/>
        <w:autoSpaceDN/>
        <w:spacing w:line="440" w:lineRule="exact"/>
        <w:ind w:right="200" w:rightChars="100"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2.1.7制定切实可行的操作规程和使用指南</w:t>
      </w:r>
    </w:p>
    <w:p w14:paraId="0C315907">
      <w:pPr>
        <w:wordWrap/>
        <w:autoSpaceDE/>
        <w:autoSpaceDN/>
        <w:spacing w:line="440" w:lineRule="exact"/>
        <w:outlineLvl w:val="9"/>
        <w:rPr>
          <w:rFonts w:hint="eastAsia" w:ascii="宋体" w:hAnsi="宋体" w:eastAsia="宋体" w:cs="宋体"/>
          <w:b/>
          <w:color w:val="auto"/>
          <w:sz w:val="24"/>
          <w:szCs w:val="24"/>
          <w:lang w:eastAsia="zh-CN"/>
        </w:rPr>
      </w:pPr>
    </w:p>
    <w:p w14:paraId="620EF212">
      <w:pPr>
        <w:wordWrap/>
        <w:autoSpaceDE/>
        <w:autoSpaceDN/>
        <w:spacing w:line="440" w:lineRule="exact"/>
        <w:outlineLvl w:val="9"/>
        <w:rPr>
          <w:rFonts w:hint="eastAsia" w:ascii="宋体" w:hAnsi="宋体" w:eastAsia="宋体" w:cs="宋体"/>
          <w:b/>
          <w:color w:val="auto"/>
          <w:sz w:val="30"/>
          <w:szCs w:val="30"/>
          <w:lang w:eastAsia="zh-CN"/>
        </w:rPr>
      </w:pPr>
      <w:r>
        <w:rPr>
          <w:rFonts w:hint="eastAsia" w:ascii="宋体" w:hAnsi="宋体" w:eastAsia="宋体" w:cs="宋体"/>
          <w:b/>
          <w:color w:val="auto"/>
          <w:sz w:val="30"/>
          <w:szCs w:val="30"/>
          <w:lang w:eastAsia="zh-CN"/>
        </w:rPr>
        <w:t>3 培训服务内容</w:t>
      </w:r>
    </w:p>
    <w:bookmarkEnd w:id="3"/>
    <w:bookmarkEnd w:id="4"/>
    <w:bookmarkEnd w:id="5"/>
    <w:p w14:paraId="2DB6CE64">
      <w:pPr>
        <w:wordWrap/>
        <w:autoSpaceDE/>
        <w:autoSpaceDN/>
        <w:spacing w:line="440" w:lineRule="exact"/>
        <w:ind w:right="200" w:rightChars="100"/>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3.1培训方案</w:t>
      </w:r>
    </w:p>
    <w:p w14:paraId="37FF82C0">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培训目标和要求</w:t>
      </w:r>
    </w:p>
    <w:p w14:paraId="549C9439">
      <w:pPr>
        <w:wordWrap/>
        <w:autoSpaceDE/>
        <w:autoSpaceDN/>
        <w:spacing w:line="440" w:lineRule="exact"/>
        <w:jc w:val="lef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3.2培训对象</w:t>
      </w:r>
    </w:p>
    <w:p w14:paraId="3C976566">
      <w:pPr>
        <w:wordWrap/>
        <w:autoSpaceDE/>
        <w:autoSpaceDN/>
        <w:spacing w:line="440" w:lineRule="exac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3.3培训方式</w:t>
      </w:r>
    </w:p>
    <w:p w14:paraId="6D2ED87A">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3.3.1系统使用培训：</w:t>
      </w:r>
    </w:p>
    <w:p w14:paraId="03F90D9F">
      <w:pPr>
        <w:wordWrap/>
        <w:autoSpaceDE/>
        <w:autoSpaceDN/>
        <w:spacing w:line="440" w:lineRule="exact"/>
        <w:ind w:firstLine="480" w:firstLineChars="200"/>
        <w:outlineLvl w:val="9"/>
        <w:rPr>
          <w:rFonts w:hint="eastAsia" w:ascii="宋体" w:hAnsi="宋体" w:eastAsia="宋体" w:cs="宋体"/>
          <w:bCs/>
          <w:color w:val="auto"/>
          <w:sz w:val="24"/>
          <w:szCs w:val="24"/>
          <w:lang w:eastAsia="zh-CN"/>
        </w:rPr>
      </w:pPr>
      <w:bookmarkStart w:id="9" w:name="_Toc317944561"/>
      <w:bookmarkStart w:id="10" w:name="_Toc333266004"/>
      <w:bookmarkStart w:id="11" w:name="_Toc343188540"/>
      <w:bookmarkStart w:id="12" w:name="_Toc312502614"/>
      <w:bookmarkStart w:id="13" w:name="_Toc301613871"/>
      <w:bookmarkStart w:id="14" w:name="_Toc302460939"/>
      <w:bookmarkStart w:id="15" w:name="_Toc304629018"/>
      <w:bookmarkStart w:id="16" w:name="_Toc313387932"/>
      <w:bookmarkStart w:id="17" w:name="_Toc316311443"/>
      <w:bookmarkStart w:id="18" w:name="_Toc301812591"/>
      <w:bookmarkStart w:id="19" w:name="_Toc301634428"/>
      <w:r>
        <w:rPr>
          <w:rFonts w:hint="eastAsia" w:ascii="宋体" w:hAnsi="宋体" w:eastAsia="宋体" w:cs="宋体"/>
          <w:bCs/>
          <w:color w:val="auto"/>
          <w:sz w:val="24"/>
          <w:szCs w:val="24"/>
          <w:lang w:eastAsia="zh-CN"/>
        </w:rPr>
        <w:t>3.3.2培训课程及培训人数</w:t>
      </w:r>
      <w:bookmarkEnd w:id="9"/>
      <w:bookmarkEnd w:id="10"/>
      <w:bookmarkEnd w:id="11"/>
      <w:bookmarkEnd w:id="12"/>
      <w:bookmarkEnd w:id="13"/>
      <w:bookmarkEnd w:id="14"/>
      <w:bookmarkEnd w:id="15"/>
      <w:bookmarkEnd w:id="16"/>
      <w:bookmarkEnd w:id="17"/>
      <w:bookmarkEnd w:id="18"/>
      <w:bookmarkEnd w:id="19"/>
      <w:r>
        <w:rPr>
          <w:rFonts w:hint="eastAsia" w:ascii="宋体" w:hAnsi="宋体" w:eastAsia="宋体" w:cs="宋体"/>
          <w:bCs/>
          <w:color w:val="auto"/>
          <w:sz w:val="24"/>
          <w:szCs w:val="24"/>
          <w:lang w:eastAsia="zh-CN"/>
        </w:rPr>
        <w:t>：</w:t>
      </w:r>
    </w:p>
    <w:p w14:paraId="4A14974F">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3.3.3培训教师安排</w:t>
      </w:r>
    </w:p>
    <w:p w14:paraId="7264C344">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3.3.4培训时间安排</w:t>
      </w:r>
    </w:p>
    <w:p w14:paraId="01DCC53D">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3.3.5培训及安全保证</w:t>
      </w:r>
    </w:p>
    <w:p w14:paraId="45DFA374">
      <w:pPr>
        <w:widowControl w:val="0"/>
        <w:wordWrap/>
        <w:autoSpaceDE/>
        <w:autoSpaceDN/>
        <w:spacing w:after="0" w:line="440" w:lineRule="exact"/>
        <w:ind w:left="0" w:leftChars="0" w:firstLine="480" w:firstLineChars="200"/>
        <w:jc w:val="both"/>
        <w:outlineLvl w:val="9"/>
        <w:rPr>
          <w:rFonts w:hint="eastAsia" w:ascii="宋体" w:hAnsi="宋体" w:eastAsia="宋体" w:cs="宋体"/>
          <w:snapToGrid w:val="0"/>
          <w:color w:val="auto"/>
          <w:kern w:val="2"/>
          <w:sz w:val="24"/>
          <w:szCs w:val="24"/>
          <w:lang w:val="en-US" w:eastAsia="zh-CN" w:bidi="ar-SA"/>
        </w:rPr>
      </w:pPr>
      <w:r>
        <w:rPr>
          <w:rFonts w:hint="eastAsia" w:ascii="宋体" w:hAnsi="宋体" w:eastAsia="宋体" w:cs="宋体"/>
          <w:snapToGrid w:val="0"/>
          <w:color w:val="auto"/>
          <w:kern w:val="2"/>
          <w:sz w:val="24"/>
          <w:szCs w:val="24"/>
          <w:lang w:val="en-US" w:eastAsia="zh-CN" w:bidi="ar-SA"/>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CA72CDE">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② 设备本体对可能造成伤害的部位均应采用防护板或防护网隔离并有醒目警示。</w:t>
      </w:r>
    </w:p>
    <w:p w14:paraId="7E870947">
      <w:pPr>
        <w:wordWrap/>
        <w:autoSpaceDE/>
        <w:autoSpaceDN/>
        <w:spacing w:line="440" w:lineRule="exact"/>
        <w:ind w:firstLine="480" w:firstLineChars="200"/>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③ 所用电气元件均按照国标选配，确保稳定安全，符合三防要求。</w:t>
      </w:r>
    </w:p>
    <w:p w14:paraId="1B17D98B">
      <w:pPr>
        <w:wordWrap/>
        <w:autoSpaceDE/>
        <w:autoSpaceDN/>
        <w:spacing w:line="440" w:lineRule="exact"/>
        <w:outlineLvl w:val="9"/>
        <w:rPr>
          <w:rFonts w:hint="eastAsia" w:ascii="宋体" w:hAnsi="宋体" w:eastAsia="宋体" w:cs="宋体"/>
          <w:b/>
          <w:color w:val="auto"/>
          <w:sz w:val="21"/>
          <w:szCs w:val="21"/>
          <w:lang w:eastAsia="zh-CN"/>
        </w:rPr>
      </w:pPr>
      <w:bookmarkStart w:id="20" w:name="_Toc345966825"/>
      <w:bookmarkStart w:id="21" w:name="_Toc345966650"/>
      <w:bookmarkStart w:id="22" w:name="_Toc346025578"/>
    </w:p>
    <w:p w14:paraId="10EE87BB">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49E3289C">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76EFDB1D">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p w14:paraId="26F93795">
      <w:pPr>
        <w:widowControl w:val="0"/>
        <w:numPr>
          <w:ilvl w:val="1"/>
          <w:numId w:val="1"/>
        </w:numPr>
        <w:wordWrap/>
        <w:autoSpaceDE/>
        <w:autoSpaceDN/>
        <w:spacing w:line="440" w:lineRule="exact"/>
        <w:ind w:left="0" w:firstLine="0" w:firstLineChars="0"/>
        <w:jc w:val="both"/>
        <w:outlineLvl w:val="9"/>
        <w:rPr>
          <w:rFonts w:hint="eastAsia" w:ascii="宋体" w:hAnsi="宋体" w:eastAsia="宋体" w:cs="宋体"/>
          <w:b/>
          <w:vanish/>
          <w:color w:val="auto"/>
          <w:kern w:val="2"/>
          <w:sz w:val="28"/>
          <w:szCs w:val="21"/>
          <w:lang w:val="en-US" w:eastAsia="zh-CN" w:bidi="ar-SA"/>
        </w:rPr>
      </w:pPr>
    </w:p>
    <w:bookmarkEnd w:id="20"/>
    <w:bookmarkEnd w:id="21"/>
    <w:bookmarkEnd w:id="22"/>
    <w:p w14:paraId="1BF9D6F6">
      <w:pPr>
        <w:wordWrap/>
        <w:autoSpaceDE/>
        <w:autoSpaceDN/>
        <w:spacing w:line="440" w:lineRule="exact"/>
        <w:outlineLvl w:val="9"/>
        <w:rPr>
          <w:rFonts w:hint="eastAsia" w:ascii="宋体" w:hAnsi="宋体" w:eastAsia="宋体" w:cs="宋体"/>
          <w:color w:val="auto"/>
          <w:sz w:val="21"/>
          <w:szCs w:val="21"/>
          <w:lang w:eastAsia="zh-CN"/>
        </w:rPr>
      </w:pPr>
    </w:p>
    <w:p w14:paraId="3955A8ED">
      <w:pPr>
        <w:wordWrap/>
        <w:autoSpaceDE/>
        <w:autoSpaceDN/>
        <w:spacing w:line="440" w:lineRule="exact"/>
        <w:ind w:firstLine="420" w:firstLineChars="200"/>
        <w:outlineLvl w:val="9"/>
        <w:rPr>
          <w:rFonts w:hint="eastAsia" w:ascii="宋体" w:hAnsi="宋体" w:eastAsia="宋体" w:cs="宋体"/>
          <w:color w:val="auto"/>
          <w:sz w:val="21"/>
          <w:szCs w:val="21"/>
          <w:lang w:eastAsia="zh-CN"/>
        </w:rPr>
      </w:pPr>
    </w:p>
    <w:p w14:paraId="2BE3F941">
      <w:pPr>
        <w:widowControl/>
        <w:wordWrap/>
        <w:autoSpaceDE/>
        <w:autoSpaceDN/>
        <w:spacing w:before="100" w:beforeAutospacing="1" w:after="100" w:afterAutospacing="1" w:line="320" w:lineRule="exact"/>
        <w:outlineLvl w:val="9"/>
        <w:rPr>
          <w:rFonts w:hint="eastAsia" w:ascii="宋体" w:hAnsi="宋体" w:eastAsia="宋体" w:cs="宋体"/>
          <w:b/>
          <w:color w:val="auto"/>
          <w:sz w:val="24"/>
          <w:szCs w:val="22"/>
          <w:lang w:eastAsia="zh-CN"/>
        </w:rPr>
      </w:pPr>
      <w:r>
        <w:rPr>
          <w:rFonts w:hint="eastAsia" w:ascii="宋体" w:hAnsi="宋体" w:eastAsia="宋体" w:cs="宋体"/>
          <w:b/>
          <w:color w:val="auto"/>
          <w:sz w:val="24"/>
          <w:szCs w:val="22"/>
          <w:lang w:eastAsia="zh-CN"/>
        </w:rPr>
        <w:t>甲方使用单位：西安建筑科技大学XX学院</w:t>
      </w:r>
      <w:r>
        <w:rPr>
          <w:rFonts w:hint="eastAsia" w:ascii="宋体" w:hAnsi="宋体" w:eastAsia="宋体" w:cs="宋体"/>
          <w:b/>
          <w:color w:val="auto"/>
          <w:sz w:val="24"/>
          <w:szCs w:val="22"/>
          <w:lang w:eastAsia="zh-CN"/>
        </w:rPr>
        <w:tab/>
      </w:r>
      <w:r>
        <w:rPr>
          <w:rFonts w:hint="eastAsia" w:ascii="宋体" w:hAnsi="宋体" w:eastAsia="宋体" w:cs="宋体"/>
          <w:b/>
          <w:color w:val="auto"/>
          <w:sz w:val="24"/>
          <w:szCs w:val="22"/>
          <w:lang w:eastAsia="zh-CN"/>
        </w:rPr>
        <w:t xml:space="preserve">          乙方： </w:t>
      </w:r>
    </w:p>
    <w:p w14:paraId="297BE94C">
      <w:pPr>
        <w:wordWrap/>
        <w:autoSpaceDE/>
        <w:autoSpaceDN/>
        <w:outlineLvl w:val="9"/>
        <w:rPr>
          <w:rFonts w:hint="eastAsia" w:ascii="宋体" w:hAnsi="宋体" w:eastAsia="宋体" w:cs="宋体"/>
          <w:b/>
          <w:color w:val="auto"/>
          <w:sz w:val="24"/>
          <w:szCs w:val="22"/>
          <w:lang w:eastAsia="zh-CN"/>
        </w:rPr>
      </w:pPr>
    </w:p>
    <w:p w14:paraId="1FDA2BC1">
      <w:pPr>
        <w:wordWrap/>
        <w:autoSpaceDE/>
        <w:autoSpaceDN/>
        <w:outlineLvl w:val="9"/>
        <w:rPr>
          <w:rFonts w:hint="eastAsia" w:ascii="宋体" w:hAnsi="宋体" w:eastAsia="宋体" w:cs="宋体"/>
          <w:b/>
          <w:color w:val="auto"/>
          <w:sz w:val="24"/>
          <w:szCs w:val="22"/>
          <w:lang w:eastAsia="zh-CN"/>
        </w:rPr>
      </w:pPr>
      <w:r>
        <w:rPr>
          <w:rFonts w:hint="eastAsia" w:ascii="宋体" w:hAnsi="宋体" w:eastAsia="宋体" w:cs="宋体"/>
          <w:b/>
          <w:color w:val="auto"/>
          <w:sz w:val="24"/>
          <w:szCs w:val="22"/>
          <w:lang w:eastAsia="zh-CN"/>
        </w:rPr>
        <w:t>负责人：                                        负责人：</w:t>
      </w:r>
    </w:p>
    <w:p w14:paraId="4E5FBC28">
      <w:pPr>
        <w:wordWrap/>
        <w:autoSpaceDE/>
        <w:autoSpaceDN/>
        <w:outlineLvl w:val="9"/>
        <w:rPr>
          <w:rFonts w:hint="eastAsia" w:ascii="宋体" w:hAnsi="宋体" w:eastAsia="宋体" w:cs="宋体"/>
          <w:b/>
          <w:color w:val="auto"/>
          <w:sz w:val="24"/>
          <w:szCs w:val="22"/>
          <w:lang w:eastAsia="zh-CN"/>
        </w:rPr>
      </w:pPr>
    </w:p>
    <w:p w14:paraId="041C8A4D">
      <w:pPr>
        <w:wordWrap/>
        <w:autoSpaceDE/>
        <w:autoSpaceDN/>
        <w:outlineLvl w:val="9"/>
        <w:rPr>
          <w:rFonts w:hint="eastAsia" w:ascii="宋体" w:hAnsi="宋体" w:eastAsia="宋体" w:cs="宋体"/>
          <w:b/>
          <w:color w:val="auto"/>
          <w:sz w:val="24"/>
          <w:szCs w:val="22"/>
          <w:lang w:eastAsia="zh-CN"/>
        </w:rPr>
      </w:pPr>
    </w:p>
    <w:p w14:paraId="3AC23FE7">
      <w:pPr>
        <w:wordWrap/>
        <w:autoSpaceDE/>
        <w:autoSpaceDN/>
        <w:outlineLvl w:val="9"/>
        <w:rPr>
          <w:rFonts w:hint="eastAsia" w:ascii="宋体" w:hAnsi="宋体" w:eastAsia="宋体" w:cs="宋体"/>
          <w:color w:val="auto"/>
          <w:sz w:val="21"/>
          <w:szCs w:val="22"/>
          <w:lang w:eastAsia="zh-CN"/>
        </w:rPr>
      </w:pPr>
    </w:p>
    <w:p w14:paraId="369C2D1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38BC3899">
      <w:pPr>
        <w:wordWrap/>
        <w:autoSpaceDE/>
        <w:autoSpaceDN/>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br w:type="page"/>
      </w:r>
    </w:p>
    <w:p w14:paraId="3D992E8A">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附件2：验收方法及标准</w:t>
      </w:r>
    </w:p>
    <w:p w14:paraId="60B05F5E">
      <w:pPr>
        <w:widowControl/>
        <w:wordWrap/>
        <w:autoSpaceDE/>
        <w:autoSpaceDN/>
        <w:spacing w:line="360" w:lineRule="auto"/>
        <w:jc w:val="center"/>
        <w:outlineLvl w:val="9"/>
        <w:rPr>
          <w:rFonts w:hint="eastAsia" w:ascii="宋体" w:hAnsi="宋体" w:eastAsia="宋体" w:cs="宋体"/>
          <w:b/>
          <w:color w:val="auto"/>
          <w:kern w:val="0"/>
          <w:sz w:val="28"/>
          <w:szCs w:val="28"/>
          <w:lang w:eastAsia="zh-CN"/>
        </w:rPr>
      </w:pPr>
      <w:r>
        <w:rPr>
          <w:rFonts w:hint="eastAsia" w:ascii="宋体" w:hAnsi="宋体" w:eastAsia="宋体" w:cs="宋体"/>
          <w:b/>
          <w:color w:val="auto"/>
          <w:kern w:val="0"/>
          <w:sz w:val="28"/>
          <w:szCs w:val="28"/>
          <w:lang w:eastAsia="zh-CN"/>
        </w:rPr>
        <w:t>验收方法及标准</w:t>
      </w:r>
    </w:p>
    <w:p w14:paraId="3B270E40">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eastAsia="zh-CN"/>
        </w:rPr>
        <w:t>一、验收标准和方法：</w:t>
      </w:r>
    </w:p>
    <w:p w14:paraId="3E1438DC">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1.仪器设备的验收内容包括商务验收、技术验收和安全性能验收三部分。</w:t>
      </w:r>
    </w:p>
    <w:p w14:paraId="6C6C39A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133CE766">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1.2技术验收是指由使用单位依据合同技术附件、招投标文件及产品出厂的主要技术指标，对仪器设备的各项功能进行验收。</w:t>
      </w:r>
    </w:p>
    <w:p w14:paraId="53CA39A5">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1.3安全性能验收主要是指对仪器设备以及其安装场地、使用环境等辅助设施的安全性进行的验收。</w:t>
      </w:r>
    </w:p>
    <w:p w14:paraId="427961C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2.验收分为一次验收（初验）、专家验收和二次验收（终验）。</w:t>
      </w:r>
    </w:p>
    <w:p w14:paraId="01178F2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2.1一次验收（初验）：由使用单位依据合同及上述规定的三部分验收内容逐条逐项一一核对。</w:t>
      </w:r>
    </w:p>
    <w:p w14:paraId="375CE39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2.2专家验收：由专家组核查设备的技术性能、功能指标、安全性与合规性、配套资料完整性，以及是否满足合同约定及实际使用需求，确保设备质量合格、运行可靠，能够有效服务于教学、科研。</w:t>
      </w:r>
    </w:p>
    <w:p w14:paraId="53F90571">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2.3二次验收（终验）： 由学校验收小组核实使用单位初验意见及专家组验收意见，依据合同，结合使用单位提交的初验资料，对所供仪器设备进行抽样或全面检查，核实相关技术指标，观看现场演示。</w:t>
      </w:r>
    </w:p>
    <w:p w14:paraId="72672D8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二</w:t>
      </w:r>
      <w:r>
        <w:rPr>
          <w:rFonts w:hint="eastAsia" w:ascii="宋体" w:hAnsi="宋体" w:eastAsia="宋体" w:cs="宋体"/>
          <w:b/>
          <w:color w:val="auto"/>
          <w:sz w:val="24"/>
          <w:szCs w:val="24"/>
          <w:lang w:eastAsia="zh-CN"/>
        </w:rPr>
        <w:t>、开箱验收</w:t>
      </w:r>
    </w:p>
    <w:p w14:paraId="61827E5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1.产品运抵现场后，双方应及时开箱验收，并制作验收记录，以确认与本合同约定的数量、型号等是否一致。</w:t>
      </w:r>
    </w:p>
    <w:p w14:paraId="195D44EF">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2.乙方应在交货前对产品的质量、规格、数量等进行详细而全面的检验，并出具证明产品符合合同规定的文件。该文件将作为申请付款单据的一部分，但有关质量、规格、数量的检验不应视为最终检验。</w:t>
      </w:r>
    </w:p>
    <w:p w14:paraId="3B898F78">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477577B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4.开箱验收中如发现产品的数量、规格与合同约定不符，甲方有权拒收产品，乙方应及时按甲方要求免费对拒收产品采取更换或其他必要的补救措施，直至开箱验收合格，方视为乙方完成交货。</w:t>
      </w:r>
    </w:p>
    <w:p w14:paraId="53EF9AA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三</w:t>
      </w:r>
      <w:r>
        <w:rPr>
          <w:rFonts w:hint="eastAsia" w:ascii="宋体" w:hAnsi="宋体" w:eastAsia="宋体" w:cs="宋体"/>
          <w:b/>
          <w:color w:val="auto"/>
          <w:sz w:val="24"/>
          <w:szCs w:val="24"/>
          <w:lang w:eastAsia="zh-CN"/>
        </w:rPr>
        <w:t>、检验验收</w:t>
      </w:r>
    </w:p>
    <w:p w14:paraId="649BE267">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03D1C3D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2.在具体实施合同规定的检验验收之前，乙方需提前提交相应的测试计划（包括测试程序、测试内容和检验标准、试验时间安排等）供甲方确认。</w:t>
      </w:r>
    </w:p>
    <w:p w14:paraId="717BCA3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3.除需甲方确认的试验验收外，乙方还应对所有检验验收测试的结果、步骤、原始数据等作妥善记录。如甲方要求，乙方应提供这些记录给甲方。</w:t>
      </w:r>
    </w:p>
    <w:p w14:paraId="22C16232">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4.检验测试出现全部或部分未达到本合同所约定的技术指标，甲方有权选择下列任一处理方式：</w:t>
      </w:r>
    </w:p>
    <w:p w14:paraId="64313F1B">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a.重新测试直至合格为止；</w:t>
      </w:r>
    </w:p>
    <w:p w14:paraId="05666E5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b.要求乙方对货物进行免费更换，然后重新测试直至合格为止；</w:t>
      </w:r>
    </w:p>
    <w:p w14:paraId="2F3EB45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无论选择何种方式，甲方因此而发生的因乙方原因引起的所有费用均由乙方负担。</w:t>
      </w:r>
    </w:p>
    <w:p w14:paraId="4F80783B">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四</w:t>
      </w:r>
      <w:r>
        <w:rPr>
          <w:rFonts w:hint="eastAsia" w:ascii="宋体" w:hAnsi="宋体" w:eastAsia="宋体" w:cs="宋体"/>
          <w:b/>
          <w:color w:val="auto"/>
          <w:sz w:val="24"/>
          <w:szCs w:val="24"/>
          <w:lang w:eastAsia="zh-CN"/>
        </w:rPr>
        <w:t>、使用过程检验</w:t>
      </w:r>
    </w:p>
    <w:p w14:paraId="2F7F79FA">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61E1E11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2.如果合同双方对乙方提供的上述试验结果报告的解释有分歧，双方须于出现分歧后10天内给对方声明，以陈述己方的观点。声明须附有关证据。分歧应通过协商解决。</w:t>
      </w:r>
    </w:p>
    <w:p w14:paraId="7E7C5904">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五</w:t>
      </w:r>
      <w:r>
        <w:rPr>
          <w:rFonts w:hint="eastAsia" w:ascii="宋体" w:hAnsi="宋体" w:eastAsia="宋体" w:cs="宋体"/>
          <w:b/>
          <w:color w:val="auto"/>
          <w:sz w:val="24"/>
          <w:szCs w:val="24"/>
          <w:lang w:eastAsia="zh-CN"/>
        </w:rPr>
        <w:t>、安装验收</w:t>
      </w:r>
    </w:p>
    <w:p w14:paraId="525B6E4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6B36CF7D">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2.乙方安装完毕后应进行自检，自检合格后3个工作日内通知甲方进行验收。甲方按照学校验收要求，及时组织验收。若验收不合格，乙方应在甲方限定时间内进行修改并组织再次验收，直至验收合格。</w:t>
      </w:r>
    </w:p>
    <w:p w14:paraId="78B0D2B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3.所有验收合格，但不能免除乙方应该承担的质保责任。</w:t>
      </w:r>
    </w:p>
    <w:p w14:paraId="50D87969">
      <w:pPr>
        <w:widowControl/>
        <w:wordWrap/>
        <w:autoSpaceDE/>
        <w:autoSpaceDN/>
        <w:spacing w:line="360" w:lineRule="auto"/>
        <w:ind w:firstLine="482" w:firstLineChars="200"/>
        <w:jc w:val="left"/>
        <w:outlineLvl w:val="9"/>
        <w:rPr>
          <w:rFonts w:hint="eastAsia" w:ascii="宋体" w:hAnsi="宋体" w:eastAsia="宋体" w:cs="宋体"/>
          <w:b/>
          <w:color w:val="auto"/>
          <w:sz w:val="24"/>
          <w:szCs w:val="24"/>
          <w:lang w:eastAsia="zh-CN"/>
        </w:rPr>
      </w:pPr>
      <w:r>
        <w:rPr>
          <w:rFonts w:hint="eastAsia" w:ascii="宋体" w:hAnsi="宋体" w:cs="宋体"/>
          <w:b/>
          <w:color w:val="auto"/>
          <w:sz w:val="24"/>
          <w:szCs w:val="24"/>
          <w:lang w:val="en-US" w:eastAsia="zh-CN"/>
        </w:rPr>
        <w:t>六</w:t>
      </w:r>
      <w:r>
        <w:rPr>
          <w:rFonts w:hint="eastAsia" w:ascii="宋体" w:hAnsi="宋体" w:eastAsia="宋体" w:cs="宋体"/>
          <w:b/>
          <w:color w:val="auto"/>
          <w:sz w:val="24"/>
          <w:szCs w:val="24"/>
          <w:lang w:eastAsia="zh-CN"/>
        </w:rPr>
        <w:t>、安全管理</w:t>
      </w:r>
    </w:p>
    <w:p w14:paraId="68C880E4">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1.货物安装现场安全、文明管理由乙方编制专项详细方案并严格执行。</w:t>
      </w:r>
    </w:p>
    <w:p w14:paraId="610C2887">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6DB5AFA0">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3.在设备安装施工全过程中，乙方应服从甲方的各项管理，并对乙方施工人员进行安全管理。</w:t>
      </w:r>
    </w:p>
    <w:p w14:paraId="065238E6">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4.确保现场建筑物及相关设施设备完好无损，如施工过程中出现损坏，乙方负责修复赔偿。</w:t>
      </w:r>
    </w:p>
    <w:p w14:paraId="7320234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5.乙方应对安装施工人员相关岗位上岗资格进行审查，并对相关后果负责。</w:t>
      </w:r>
    </w:p>
    <w:p w14:paraId="38FA439A">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71B33585">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79773CE3">
      <w:pPr>
        <w:widowControl/>
        <w:wordWrap/>
        <w:autoSpaceDE/>
        <w:autoSpaceDN/>
        <w:spacing w:line="360" w:lineRule="auto"/>
        <w:ind w:firstLine="480" w:firstLineChars="200"/>
        <w:jc w:val="left"/>
        <w:outlineLvl w:val="9"/>
        <w:rPr>
          <w:rFonts w:hint="eastAsia" w:ascii="宋体" w:hAnsi="宋体" w:eastAsia="宋体" w:cs="宋体"/>
          <w:color w:val="auto"/>
          <w:sz w:val="24"/>
          <w:szCs w:val="24"/>
          <w:lang w:eastAsia="zh-CN"/>
        </w:rPr>
      </w:pPr>
    </w:p>
    <w:p w14:paraId="40A7DCFC">
      <w:pPr>
        <w:wordWrap/>
        <w:autoSpaceDE/>
        <w:autoSpaceDN/>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br w:type="page"/>
      </w:r>
    </w:p>
    <w:p w14:paraId="6814F2DF">
      <w:pPr>
        <w:widowControl/>
        <w:wordWrap/>
        <w:autoSpaceDE/>
        <w:autoSpaceDN/>
        <w:spacing w:line="360" w:lineRule="auto"/>
        <w:jc w:val="left"/>
        <w:outlineLvl w:val="9"/>
        <w:rPr>
          <w:rFonts w:hint="eastAsia" w:ascii="宋体" w:hAnsi="宋体" w:eastAsia="宋体" w:cs="宋体"/>
          <w:color w:val="auto"/>
          <w:kern w:val="0"/>
          <w:sz w:val="28"/>
          <w:szCs w:val="28"/>
          <w:lang w:eastAsia="zh-CN"/>
        </w:rPr>
      </w:pPr>
      <w:r>
        <w:rPr>
          <w:rFonts w:hint="eastAsia" w:ascii="宋体" w:hAnsi="宋体" w:eastAsia="宋体" w:cs="宋体"/>
          <w:color w:val="auto"/>
          <w:kern w:val="0"/>
          <w:sz w:val="28"/>
          <w:szCs w:val="28"/>
          <w:lang w:eastAsia="zh-CN"/>
        </w:rPr>
        <w:t>附件3：索赔</w:t>
      </w:r>
    </w:p>
    <w:p w14:paraId="1861D7CE">
      <w:pPr>
        <w:widowControl/>
        <w:wordWrap/>
        <w:autoSpaceDE/>
        <w:autoSpaceDN/>
        <w:spacing w:line="360" w:lineRule="auto"/>
        <w:ind w:left="0" w:leftChars="0" w:firstLine="0" w:firstLineChars="0"/>
        <w:jc w:val="center"/>
        <w:outlineLvl w:val="9"/>
        <w:rPr>
          <w:rFonts w:hint="eastAsia" w:ascii="宋体" w:hAnsi="宋体" w:eastAsia="宋体" w:cs="宋体"/>
          <w:color w:val="auto"/>
          <w:sz w:val="24"/>
          <w:szCs w:val="24"/>
          <w:lang w:eastAsia="zh-CN"/>
        </w:rPr>
      </w:pPr>
      <w:r>
        <w:rPr>
          <w:rFonts w:hint="eastAsia" w:ascii="宋体" w:hAnsi="宋体" w:eastAsia="宋体" w:cs="宋体"/>
          <w:b/>
          <w:color w:val="auto"/>
          <w:kern w:val="0"/>
          <w:sz w:val="28"/>
          <w:szCs w:val="28"/>
          <w:lang w:eastAsia="zh-CN"/>
        </w:rPr>
        <w:t>索 赔</w:t>
      </w:r>
    </w:p>
    <w:p w14:paraId="186C689B">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0DA70948">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2.在验收合格前，乙方对甲方提出的索赔负有责任，乙方应按照甲方同意的下列一种或多种方式解决索赔事宜：</w:t>
      </w:r>
    </w:p>
    <w:p w14:paraId="3785616A">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3191188F">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2.2根据货物低劣程度、损坏程度以及甲方所遭受损失的数额，经甲乙双方商定降低货物的价格，或由有资质的中介机构</w:t>
      </w:r>
      <w:bookmarkStart w:id="23" w:name="_GoBack"/>
      <w:bookmarkEnd w:id="23"/>
      <w:r>
        <w:rPr>
          <w:rFonts w:hint="eastAsia" w:ascii="宋体" w:hAnsi="宋体" w:eastAsia="宋体" w:cs="宋体"/>
          <w:color w:val="auto"/>
          <w:kern w:val="0"/>
          <w:sz w:val="24"/>
          <w:szCs w:val="24"/>
          <w:lang w:eastAsia="zh-CN"/>
        </w:rPr>
        <w:t>评估，以降低后的价格或评估价格为准。</w:t>
      </w:r>
    </w:p>
    <w:p w14:paraId="16482236">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148BA70D">
      <w:pPr>
        <w:widowControl/>
        <w:wordWrap/>
        <w:autoSpaceDE/>
        <w:autoSpaceDN/>
        <w:spacing w:line="480" w:lineRule="exact"/>
        <w:ind w:firstLine="482"/>
        <w:jc w:val="left"/>
        <w:outlineLvl w:val="9"/>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3.乙方收到甲方发出的索赔通知之日起5个工作日内未作答复的，甲方可从合同款或履约保证金中扣回索赔金额，如金额不足以补偿索赔金额，乙方应补足差额部分。</w:t>
      </w:r>
      <w:r>
        <w:rPr>
          <w:rFonts w:hint="eastAsia" w:ascii="宋体" w:hAnsi="宋体" w:eastAsia="宋体" w:cs="宋体"/>
          <w:color w:val="auto"/>
          <w:kern w:val="0"/>
          <w:sz w:val="24"/>
          <w:szCs w:val="24"/>
          <w:lang w:eastAsia="zh-CN"/>
        </w:rPr>
        <w:br w:type="textWrapping"/>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0F522">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4DD5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- 2 -</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A74DD5C">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- 2 -</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140D67D5"/>
    <w:rsid w:val="264F0079"/>
    <w:rsid w:val="340B271C"/>
    <w:rsid w:val="36DE2219"/>
    <w:rsid w:val="3DB12C1D"/>
    <w:rsid w:val="403B217E"/>
    <w:rsid w:val="58BC239B"/>
    <w:rsid w:val="64DF3A6C"/>
    <w:rsid w:val="66167B0E"/>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3">
    <w:name w:val="标题 1 字符"/>
    <w:link w:val="14"/>
    <w:qFormat/>
    <w:uiPriority w:val="99"/>
    <w:rPr>
      <w:rFonts w:hint="eastAsia" w:ascii="宋体" w:hAnsi="宋体"/>
      <w:b/>
      <w:bCs/>
      <w:kern w:val="44"/>
      <w:sz w:val="48"/>
      <w:szCs w:val="48"/>
    </w:rPr>
  </w:style>
  <w:style w:type="paragraph" w:customStyle="1" w:styleId="14">
    <w:name w:val="标题 11"/>
    <w:basedOn w:val="1"/>
    <w:link w:val="13"/>
    <w:qFormat/>
    <w:uiPriority w:val="0"/>
    <w:pPr>
      <w:spacing w:beforeAutospacing="1" w:afterAutospacing="1"/>
      <w:jc w:val="left"/>
      <w:outlineLvl w:val="0"/>
    </w:pPr>
    <w:rPr>
      <w:rFonts w:hint="eastAsia" w:ascii="宋体" w:hAnsi="宋体"/>
      <w:b/>
      <w:bCs/>
      <w:kern w:val="44"/>
      <w:sz w:val="48"/>
      <w:szCs w:val="48"/>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2969</Words>
  <Characters>3089</Characters>
  <Lines>0</Lines>
  <Paragraphs>0</Paragraphs>
  <TotalTime>0</TotalTime>
  <ScaleCrop>false</ScaleCrop>
  <LinksUpToDate>false</LinksUpToDate>
  <CharactersWithSpaces>3570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2026-05-15T08:39:45Z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