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ED0611">
      <w:pPr>
        <w:jc w:val="both"/>
        <w:outlineLvl w:val="2"/>
        <w:rPr>
          <w:rFonts w:hint="eastAsia" w:ascii="宋体" w:hAnsi="宋体" w:cs="宋体"/>
          <w:b/>
          <w:bCs/>
          <w:color w:val="auto"/>
          <w:sz w:val="30"/>
          <w:szCs w:val="30"/>
        </w:rPr>
      </w:pPr>
      <w:r>
        <w:rPr>
          <w:rFonts w:hint="eastAsia"/>
          <w:color w:val="auto"/>
          <w:spacing w:val="21"/>
          <w:sz w:val="24"/>
          <w:szCs w:val="24"/>
          <w:lang w:val="en-US" w:eastAsia="zh-CN"/>
        </w:rPr>
        <w:t>详见附件：谈判分项报价表</w:t>
      </w:r>
    </w:p>
    <w:p w14:paraId="47E973AC">
      <w:pPr>
        <w:jc w:val="center"/>
        <w:outlineLvl w:val="2"/>
        <w:rPr>
          <w:rFonts w:hint="eastAsia" w:ascii="宋体" w:hAnsi="宋体" w:cs="宋体"/>
          <w:color w:val="auto"/>
          <w:sz w:val="30"/>
          <w:szCs w:val="30"/>
        </w:rPr>
      </w:pPr>
      <w:r>
        <w:rPr>
          <w:rFonts w:hint="eastAsia" w:ascii="宋体" w:hAnsi="宋体" w:cs="宋体"/>
          <w:b/>
          <w:bCs/>
          <w:color w:val="auto"/>
          <w:sz w:val="30"/>
          <w:szCs w:val="30"/>
        </w:rPr>
        <w:t>谈判分项报价表</w:t>
      </w:r>
    </w:p>
    <w:p w14:paraId="0A33A076">
      <w:pPr>
        <w:jc w:val="center"/>
        <w:rPr>
          <w:rFonts w:hint="eastAsia" w:ascii="宋体" w:hAnsi="宋体" w:cs="宋体"/>
          <w:color w:val="auto"/>
          <w:sz w:val="30"/>
          <w:szCs w:val="30"/>
        </w:rPr>
      </w:pPr>
    </w:p>
    <w:p w14:paraId="3249DDFF">
      <w:pPr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 xml:space="preserve">项目名称：                                                    </w:t>
      </w:r>
      <w:bookmarkStart w:id="0" w:name="_GoBack"/>
      <w:bookmarkEnd w:id="0"/>
      <w:r>
        <w:rPr>
          <w:rFonts w:hint="eastAsia" w:ascii="宋体" w:hAnsi="宋体" w:cs="宋体"/>
          <w:color w:val="auto"/>
          <w:sz w:val="24"/>
        </w:rPr>
        <w:t>单位：元</w:t>
      </w:r>
    </w:p>
    <w:p w14:paraId="799E2E6C">
      <w:pPr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项目编号：</w:t>
      </w:r>
    </w:p>
    <w:p w14:paraId="761E15B2">
      <w:pPr>
        <w:rPr>
          <w:rFonts w:hint="eastAsia" w:ascii="宋体" w:hAnsi="宋体" w:cs="宋体"/>
          <w:color w:val="auto"/>
          <w:sz w:val="24"/>
        </w:rPr>
      </w:pPr>
    </w:p>
    <w:tbl>
      <w:tblPr>
        <w:tblStyle w:val="2"/>
        <w:tblW w:w="0" w:type="auto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92"/>
        <w:gridCol w:w="849"/>
        <w:gridCol w:w="850"/>
        <w:gridCol w:w="1282"/>
        <w:gridCol w:w="1282"/>
        <w:gridCol w:w="1282"/>
        <w:gridCol w:w="969"/>
        <w:gridCol w:w="969"/>
        <w:gridCol w:w="969"/>
      </w:tblGrid>
      <w:tr w14:paraId="6784FAF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692" w:type="dxa"/>
            <w:vMerge w:val="restart"/>
            <w:tcBorders>
              <w:top w:val="single" w:color="auto" w:sz="6" w:space="0"/>
              <w:left w:val="single" w:color="auto" w:sz="6" w:space="0"/>
            </w:tcBorders>
            <w:noWrap w:val="0"/>
            <w:vAlign w:val="center"/>
          </w:tcPr>
          <w:p w14:paraId="79F3007E">
            <w:pPr>
              <w:spacing w:after="12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设备</w:t>
            </w:r>
          </w:p>
          <w:p w14:paraId="5D881B8C">
            <w:pPr>
              <w:spacing w:after="12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费用</w:t>
            </w:r>
          </w:p>
        </w:tc>
        <w:tc>
          <w:tcPr>
            <w:tcW w:w="8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B1D027">
            <w:pPr>
              <w:spacing w:after="12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2A1E9E">
            <w:pPr>
              <w:spacing w:after="12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8553C2">
            <w:pPr>
              <w:spacing w:after="12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3CC668">
            <w:pPr>
              <w:spacing w:after="12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规格型号</w:t>
            </w: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502F39">
            <w:pPr>
              <w:spacing w:after="12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原产地</w:t>
            </w:r>
          </w:p>
          <w:p w14:paraId="62A37CFB">
            <w:pPr>
              <w:spacing w:after="12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及制造厂名</w:t>
            </w: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1618F2">
            <w:pPr>
              <w:spacing w:after="12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093248">
            <w:pPr>
              <w:spacing w:after="12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4E3677">
            <w:pPr>
              <w:spacing w:after="12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总价</w:t>
            </w:r>
          </w:p>
        </w:tc>
      </w:tr>
      <w:tr w14:paraId="5DE06A1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7" w:hRule="atLeast"/>
        </w:trPr>
        <w:tc>
          <w:tcPr>
            <w:tcW w:w="692" w:type="dxa"/>
            <w:vMerge w:val="continue"/>
            <w:tcBorders>
              <w:left w:val="single" w:color="auto" w:sz="6" w:space="0"/>
            </w:tcBorders>
            <w:noWrap w:val="0"/>
            <w:vAlign w:val="center"/>
          </w:tcPr>
          <w:p w14:paraId="33EE0654">
            <w:pPr>
              <w:spacing w:before="240" w:beforeLines="10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F2E2DEB">
            <w:pPr>
              <w:spacing w:before="120" w:beforeLines="5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35E826F">
            <w:pPr>
              <w:spacing w:before="120" w:beforeLines="5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CAB6296">
            <w:pPr>
              <w:spacing w:before="120" w:beforeLines="5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F399BE6">
            <w:pPr>
              <w:spacing w:before="120" w:beforeLines="5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ACE4B78">
            <w:pPr>
              <w:spacing w:before="120" w:beforeLines="5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8E688B0">
            <w:pPr>
              <w:spacing w:before="120" w:beforeLines="5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2E856FD">
            <w:pPr>
              <w:spacing w:before="120" w:beforeLines="5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73A8026">
            <w:pPr>
              <w:spacing w:before="120" w:beforeLines="5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323F8F0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5" w:hRule="atLeast"/>
        </w:trPr>
        <w:tc>
          <w:tcPr>
            <w:tcW w:w="692" w:type="dxa"/>
            <w:vMerge w:val="continue"/>
            <w:tcBorders>
              <w:left w:val="single" w:color="auto" w:sz="6" w:space="0"/>
            </w:tcBorders>
            <w:noWrap w:val="0"/>
            <w:vAlign w:val="center"/>
          </w:tcPr>
          <w:p w14:paraId="2DEA1F21">
            <w:pPr>
              <w:spacing w:before="240" w:beforeLines="10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9264BDC">
            <w:pPr>
              <w:spacing w:before="240" w:beforeLines="10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13F7AA2">
            <w:pPr>
              <w:spacing w:before="120" w:beforeLines="5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424DDB3">
            <w:pPr>
              <w:spacing w:before="120" w:beforeLines="5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B08EFA6">
            <w:pPr>
              <w:spacing w:before="120" w:beforeLines="5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C93674F">
            <w:pPr>
              <w:spacing w:before="120" w:beforeLines="5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7940E19">
            <w:pPr>
              <w:spacing w:before="120" w:beforeLines="5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A3D7F31">
            <w:pPr>
              <w:spacing w:before="120" w:beforeLines="5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6717977">
            <w:pPr>
              <w:spacing w:before="120" w:beforeLines="5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7E850F6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32" w:hRule="atLeast"/>
        </w:trPr>
        <w:tc>
          <w:tcPr>
            <w:tcW w:w="692" w:type="dxa"/>
            <w:vMerge w:val="continue"/>
            <w:tcBorders>
              <w:left w:val="single" w:color="auto" w:sz="6" w:space="0"/>
            </w:tcBorders>
            <w:noWrap w:val="0"/>
            <w:vAlign w:val="center"/>
          </w:tcPr>
          <w:p w14:paraId="590CA8B7">
            <w:pPr>
              <w:spacing w:before="240" w:beforeLines="10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A9558A">
            <w:pPr>
              <w:spacing w:before="240" w:beforeLines="10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C987E0">
            <w:pPr>
              <w:spacing w:before="120" w:beforeLines="5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C2FF67">
            <w:pPr>
              <w:spacing w:before="120" w:beforeLines="5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FD60C2">
            <w:pPr>
              <w:spacing w:before="120" w:beforeLines="5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518966">
            <w:pPr>
              <w:spacing w:before="120" w:beforeLines="5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6CDA49">
            <w:pPr>
              <w:spacing w:before="120" w:beforeLines="5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E4103B">
            <w:pPr>
              <w:spacing w:before="120" w:beforeLines="5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E18930">
            <w:pPr>
              <w:spacing w:before="120" w:beforeLines="5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77FE7B5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7" w:hRule="atLeast"/>
        </w:trPr>
        <w:tc>
          <w:tcPr>
            <w:tcW w:w="692" w:type="dxa"/>
            <w:vMerge w:val="continue"/>
            <w:tcBorders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31561597">
            <w:pPr>
              <w:spacing w:before="240" w:beforeLines="10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70009D">
            <w:pPr>
              <w:spacing w:before="240" w:beforeLines="10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...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1DEC1C5">
            <w:pPr>
              <w:spacing w:before="120" w:beforeLines="5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0A72FF">
            <w:pPr>
              <w:spacing w:before="120" w:beforeLines="5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665560">
            <w:pPr>
              <w:spacing w:before="120" w:beforeLines="5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C38115">
            <w:pPr>
              <w:spacing w:before="120" w:beforeLines="5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829294">
            <w:pPr>
              <w:spacing w:before="120" w:beforeLines="5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34EA0B">
            <w:pPr>
              <w:spacing w:before="120" w:beforeLines="5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052FC7">
            <w:pPr>
              <w:spacing w:before="120" w:beforeLines="5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</w:p>
        </w:tc>
      </w:tr>
      <w:tr w14:paraId="6DB37A1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</w:trPr>
        <w:tc>
          <w:tcPr>
            <w:tcW w:w="2391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2711B">
            <w:pPr>
              <w:spacing w:before="120" w:beforeLines="50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合计</w:t>
            </w:r>
          </w:p>
        </w:tc>
        <w:tc>
          <w:tcPr>
            <w:tcW w:w="67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312DE752">
            <w:pPr>
              <w:spacing w:before="120" w:beforeLines="50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 xml:space="preserve"> 大写：                            小写：      </w:t>
            </w:r>
          </w:p>
        </w:tc>
      </w:tr>
      <w:tr w14:paraId="3883C0E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</w:trPr>
        <w:tc>
          <w:tcPr>
            <w:tcW w:w="2391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E22FCA2">
            <w:pPr>
              <w:spacing w:before="120" w:beforeLines="50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备注：</w:t>
            </w:r>
          </w:p>
        </w:tc>
        <w:tc>
          <w:tcPr>
            <w:tcW w:w="67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85FD06A">
            <w:pPr>
              <w:spacing w:before="120" w:beforeLines="50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表内报价内容以元为单位，保留小数点后两位。</w:t>
            </w:r>
          </w:p>
        </w:tc>
      </w:tr>
    </w:tbl>
    <w:p w14:paraId="76906584">
      <w:pPr>
        <w:spacing w:line="280" w:lineRule="exact"/>
        <w:ind w:right="540" w:rightChars="257"/>
        <w:jc w:val="left"/>
        <w:rPr>
          <w:rFonts w:hint="eastAsia" w:ascii="宋体" w:hAnsi="宋体" w:cs="宋体"/>
          <w:color w:val="auto"/>
          <w:sz w:val="24"/>
        </w:rPr>
      </w:pPr>
    </w:p>
    <w:p w14:paraId="74464253">
      <w:pPr>
        <w:spacing w:line="280" w:lineRule="exact"/>
        <w:ind w:right="540" w:rightChars="257"/>
        <w:jc w:val="left"/>
        <w:rPr>
          <w:rFonts w:hint="eastAsia" w:ascii="宋体" w:hAnsi="宋体" w:cs="宋体"/>
          <w:color w:val="auto"/>
          <w:sz w:val="24"/>
          <w:u w:val="single"/>
        </w:rPr>
      </w:pPr>
      <w:r>
        <w:rPr>
          <w:rFonts w:hint="eastAsia" w:ascii="宋体" w:hAnsi="宋体" w:cs="宋体"/>
          <w:color w:val="auto"/>
          <w:sz w:val="24"/>
        </w:rPr>
        <w:t>谈判供应商名称：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（加盖单位公章）      </w:t>
      </w:r>
    </w:p>
    <w:p w14:paraId="5E202580">
      <w:pPr>
        <w:spacing w:line="280" w:lineRule="exact"/>
        <w:ind w:right="540" w:rightChars="257"/>
        <w:jc w:val="left"/>
        <w:rPr>
          <w:rFonts w:hint="eastAsia" w:ascii="宋体" w:hAnsi="宋体" w:cs="宋体"/>
          <w:color w:val="auto"/>
          <w:sz w:val="24"/>
        </w:rPr>
      </w:pPr>
    </w:p>
    <w:p w14:paraId="2E99C9AE">
      <w:pPr>
        <w:spacing w:line="280" w:lineRule="exact"/>
        <w:ind w:right="540" w:rightChars="257"/>
        <w:jc w:val="left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法定代表人或被授权人：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</w:rPr>
        <w:t>（签字或盖章）</w:t>
      </w:r>
    </w:p>
    <w:p w14:paraId="5EFEB9B8">
      <w:pPr>
        <w:spacing w:line="280" w:lineRule="exact"/>
        <w:ind w:right="540" w:rightChars="257"/>
        <w:jc w:val="left"/>
        <w:rPr>
          <w:rFonts w:hint="eastAsia" w:ascii="宋体" w:hAnsi="宋体" w:cs="宋体"/>
          <w:color w:val="auto"/>
          <w:sz w:val="24"/>
        </w:rPr>
      </w:pPr>
    </w:p>
    <w:p w14:paraId="0EC03F0B">
      <w:pPr>
        <w:spacing w:line="280" w:lineRule="exact"/>
        <w:ind w:right="540" w:rightChars="257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日    期：</w:t>
      </w:r>
    </w:p>
    <w:p w14:paraId="23EDE104">
      <w:pPr>
        <w:spacing w:line="440" w:lineRule="exact"/>
        <w:rPr>
          <w:rFonts w:hint="eastAsia" w:ascii="宋体" w:hAnsi="宋体" w:cs="宋体"/>
          <w:color w:val="auto"/>
          <w:sz w:val="36"/>
        </w:rPr>
      </w:pPr>
    </w:p>
    <w:p w14:paraId="58D7EAB4">
      <w:pPr>
        <w:spacing w:line="440" w:lineRule="exact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注：1、如果按单价计算的结果与总价不一致，以单价为准修正总价。</w:t>
      </w:r>
    </w:p>
    <w:p w14:paraId="51D172BB">
      <w:pPr>
        <w:spacing w:line="440" w:lineRule="exact"/>
        <w:ind w:firstLine="480" w:firstLineChars="20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2、如果不提供详细分项报价将视为没有实质性响应竞争性谈判文件。</w:t>
      </w:r>
    </w:p>
    <w:p w14:paraId="029AF50C">
      <w:r>
        <w:rPr>
          <w:rFonts w:hint="eastAsia" w:ascii="宋体" w:hAnsi="宋体" w:cs="宋体"/>
          <w:color w:val="auto"/>
          <w:sz w:val="24"/>
        </w:rPr>
        <w:t>3、供应商可适当调整该表格式，但不得减少信息内容。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DA6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2026-07-31T06:37:33Z</dcterms:created>
  <dc:creator>pc</dc:creator>
  <cp:lastModifiedBy>pc</cp:lastModifiedBy>
  <dcterms:modified xsi:type="dcterms:W3CDTF">2026-07-31T06:37:44Z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eyJoZGlkIjoiZDI1YjBlOTQzYmNjN2VlMzc2NDdjOGQyOWNiYjc2NDEiLCJ1c2VySWQiOiI0MDcwNDQ1MjgifQ==</vt:lpwstr>
  </property>
  <property fmtid="{D5CDD505-2E9C-101B-9397-08002B2CF9AE}" pid="4" name="ICV">
    <vt:lpwstr>4C75989C130A4451B90323D9BBBE2866_12</vt:lpwstr>
  </property>
</Properties>
</file>