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E00521">
      <w:pPr>
        <w:pStyle w:val="4"/>
        <w:rPr>
          <w:rFonts w:hint="eastAsia" w:ascii="仿宋" w:hAnsi="仿宋" w:eastAsia="仿宋"/>
          <w:color w:val="auto"/>
          <w:highlight w:val="none"/>
        </w:rPr>
      </w:pPr>
      <w:r>
        <w:rPr>
          <w:rFonts w:hint="eastAsia" w:ascii="仿宋" w:hAnsi="仿宋" w:eastAsia="仿宋"/>
          <w:color w:val="auto"/>
          <w:highlight w:val="none"/>
        </w:rPr>
        <w:t>采购需求</w:t>
      </w:r>
    </w:p>
    <w:p w14:paraId="386F4065">
      <w:pPr>
        <w:pStyle w:val="2"/>
        <w:spacing w:before="0" w:after="0" w:line="240" w:lineRule="auto"/>
        <w:rPr>
          <w:rFonts w:hint="eastAsia" w:ascii="仿宋" w:hAnsi="仿宋" w:eastAsia="仿宋"/>
          <w:color w:val="auto"/>
          <w:highlight w:val="none"/>
          <w:lang w:val="en-US" w:eastAsia="zh-CN"/>
        </w:rPr>
      </w:pPr>
      <w:r>
        <w:rPr>
          <w:rFonts w:hint="eastAsia" w:ascii="仿宋" w:hAnsi="仿宋" w:eastAsia="仿宋"/>
          <w:color w:val="auto"/>
          <w:highlight w:val="none"/>
          <w:lang w:val="en-US" w:eastAsia="zh-CN"/>
        </w:rPr>
        <w:t>合同包1：</w:t>
      </w:r>
    </w:p>
    <w:p w14:paraId="246DDA70">
      <w:pPr>
        <w:pStyle w:val="2"/>
        <w:spacing w:before="0" w:after="0"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一、普检项目</w:t>
      </w:r>
    </w:p>
    <w:tbl>
      <w:tblPr>
        <w:tblStyle w:val="6"/>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89"/>
        <w:gridCol w:w="2097"/>
        <w:gridCol w:w="2380"/>
        <w:gridCol w:w="1562"/>
        <w:gridCol w:w="1887"/>
      </w:tblGrid>
      <w:tr w14:paraId="5DE0E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507A26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1F49A3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委托检验项目</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40FF274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收费编码</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31B2816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价格/收费标准</w:t>
            </w:r>
          </w:p>
        </w:tc>
        <w:tc>
          <w:tcPr>
            <w:tcW w:w="1107" w:type="pct"/>
            <w:tcBorders>
              <w:top w:val="single" w:color="000000" w:sz="4" w:space="0"/>
              <w:left w:val="single" w:color="000000" w:sz="4" w:space="0"/>
              <w:bottom w:val="single" w:color="000000" w:sz="4" w:space="0"/>
              <w:right w:val="single" w:color="000000" w:sz="4" w:space="0"/>
            </w:tcBorders>
            <w:noWrap/>
            <w:vAlign w:val="center"/>
          </w:tcPr>
          <w:p w14:paraId="20668E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预估年检测量</w:t>
            </w:r>
          </w:p>
        </w:tc>
      </w:tr>
      <w:tr w14:paraId="48A4B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6F64EC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5DCC7B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血儿茶酚胺（肾上腺素、去甲肾上腺素、多巴胺）</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0971EE6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250310047、250310048、250310056</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0367C2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1EBD247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r>
      <w:tr w14:paraId="48ADC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1CD8D1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1CD5B7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尿儿茶酚胺及其代谢产物检测</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6D347D5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250310048、250310047、250310056</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55F3329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103</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1407E37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140</w:t>
            </w:r>
          </w:p>
        </w:tc>
      </w:tr>
      <w:tr w14:paraId="6518D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1C7EA3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76BD81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尿香草苦杏仁酸（VMA）测定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4D51656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250310025</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53358CE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38</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1C727B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r>
      <w:tr w14:paraId="76B8F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24304CD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281308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硫酸脱氢表雄酮</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73221A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250310022</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58E30A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64DB23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w:t>
            </w:r>
          </w:p>
        </w:tc>
      </w:tr>
      <w:tr w14:paraId="2BD9C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65E91E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4863F44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促红细胞生成素测定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726DC50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250310029</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7AC103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5603933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208</w:t>
            </w:r>
          </w:p>
        </w:tc>
      </w:tr>
      <w:tr w14:paraId="192F4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559590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4540F07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萎缩性胃炎抗体两项（抗内因子抗体、抗胃壁细胞抗体）</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238478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250402014、250402034</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3FFD681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267A38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364</w:t>
            </w:r>
          </w:p>
        </w:tc>
      </w:tr>
      <w:tr w14:paraId="4EDA8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5DC53F5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45A27F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幽门螺杆菌HP分型</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3776C2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250403042b</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42C4CA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78165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76</w:t>
            </w:r>
          </w:p>
        </w:tc>
      </w:tr>
      <w:tr w14:paraId="31B8B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2101033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6C71CC7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人免疫球蛋白G亚型4(IgG4)测定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69EA6D3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250401023b</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1A4EF3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68</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7342B3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200</w:t>
            </w:r>
          </w:p>
        </w:tc>
      </w:tr>
      <w:tr w14:paraId="04204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57E4D8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06724A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抗角蛋白抗体（AKA）测定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56C637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250402038</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754E38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58FEC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130</w:t>
            </w:r>
          </w:p>
        </w:tc>
      </w:tr>
      <w:tr w14:paraId="2F54C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0152472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7AD702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抗核周因子抗体（APF）测定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146580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250402045</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13A19A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47</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386849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140</w:t>
            </w:r>
          </w:p>
        </w:tc>
      </w:tr>
      <w:tr w14:paraId="690CE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66FD22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688A03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抗突变型瓜氨酸波型蛋白（MCV）抗体测定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39DBD2C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250402044a</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2C6F56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7A60A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200</w:t>
            </w:r>
          </w:p>
        </w:tc>
      </w:tr>
      <w:tr w14:paraId="70E4A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13D681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3AB6E4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抗磷脂酶A2受体(PLA2R)抗体定量</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3D7C97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250307033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664929C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CCB9A9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260</w:t>
            </w:r>
          </w:p>
        </w:tc>
      </w:tr>
      <w:tr w14:paraId="492C7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1007D9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2285" w:type="dxa"/>
            <w:tcBorders>
              <w:top w:val="single" w:color="000000" w:sz="4" w:space="0"/>
              <w:left w:val="single" w:color="000000" w:sz="4" w:space="0"/>
              <w:bottom w:val="single" w:color="000000" w:sz="4" w:space="0"/>
              <w:right w:val="single" w:color="000000" w:sz="4" w:space="0"/>
            </w:tcBorders>
            <w:noWrap w:val="0"/>
            <w:vAlign w:val="center"/>
          </w:tcPr>
          <w:p w14:paraId="1CFFC8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新型隐球菌荚膜抗原检测</w:t>
            </w:r>
          </w:p>
        </w:tc>
        <w:tc>
          <w:tcPr>
            <w:tcW w:w="2594" w:type="dxa"/>
            <w:tcBorders>
              <w:top w:val="single" w:color="000000" w:sz="4" w:space="0"/>
              <w:left w:val="single" w:color="000000" w:sz="4" w:space="0"/>
              <w:bottom w:val="single" w:color="000000" w:sz="4" w:space="0"/>
              <w:right w:val="single" w:color="000000" w:sz="4" w:space="0"/>
            </w:tcBorders>
            <w:noWrap w:val="0"/>
            <w:vAlign w:val="center"/>
          </w:tcPr>
          <w:p w14:paraId="0CC07FE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250403060</w:t>
            </w:r>
          </w:p>
        </w:tc>
        <w:tc>
          <w:tcPr>
            <w:tcW w:w="1703" w:type="dxa"/>
            <w:tcBorders>
              <w:top w:val="single" w:color="000000" w:sz="4" w:space="0"/>
              <w:left w:val="single" w:color="000000" w:sz="4" w:space="0"/>
              <w:bottom w:val="single" w:color="000000" w:sz="4" w:space="0"/>
              <w:right w:val="single" w:color="000000" w:sz="4" w:space="0"/>
            </w:tcBorders>
            <w:noWrap w:val="0"/>
            <w:vAlign w:val="center"/>
          </w:tcPr>
          <w:p w14:paraId="0BB8CCC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2055" w:type="dxa"/>
            <w:tcBorders>
              <w:top w:val="single" w:color="000000" w:sz="4" w:space="0"/>
              <w:left w:val="single" w:color="000000" w:sz="4" w:space="0"/>
              <w:bottom w:val="single" w:color="000000" w:sz="4" w:space="0"/>
              <w:right w:val="single" w:color="000000" w:sz="4" w:space="0"/>
            </w:tcBorders>
            <w:noWrap w:val="0"/>
            <w:vAlign w:val="center"/>
          </w:tcPr>
          <w:p w14:paraId="14CA9B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r w14:paraId="3C874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7587A4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4F8352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全血铅测定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7976D6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250304009</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2615EB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9227D2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r>
      <w:tr w14:paraId="2B7BC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7203F95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34BCB0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全血锌测定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09BEBB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250304013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67A8816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4F65B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r>
      <w:tr w14:paraId="0895D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7B4C72F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2EBB15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阿尔茨海默相关神经丝蛋白（AD7C-NTP）检测</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5F705F1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250301021</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75DF45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22709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r>
      <w:tr w14:paraId="2EEA7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27864A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5F245FA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血清药物浓度测定（地高辛、他克莫司、丙戊酸、万古霉素等）</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44F8847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250309005b</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48BAC0B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120/种</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3DAE6A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450</w:t>
            </w:r>
          </w:p>
        </w:tc>
      </w:tr>
      <w:tr w14:paraId="15A62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172D31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2376992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人类白细胞抗原B27（HLA-B27）测定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226131E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250203068</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62481F6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125</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527BAB2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r>
      <w:tr w14:paraId="603BF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44BB27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6F5860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嗜肺军团菌(LP)核酸检测</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57AFEA4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250403065</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303AF27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3981A1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r>
      <w:tr w14:paraId="2B0A9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1F9F29D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59D6B5C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淋巴细胞亚群绝对计数</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5D5E9AD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250401031a*5</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2E6A311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425</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52679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r>
      <w:tr w14:paraId="4888E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3EF66D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3211993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T淋巴细胞亚群(CD3/CD4/CD8)</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5B87C3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250401031b*3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6FF412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195</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BC5A0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r w14:paraId="4C426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785B240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762D149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T淋巴细胞亚群B细胞NK细胞计数</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50B3FC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250401031a*3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6BAC3E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255</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E1F2D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r>
      <w:tr w14:paraId="1656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766436E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0B82682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类风湿因子分型</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7232F5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250402035a*3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2237DF2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78</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6E9F0F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r>
      <w:tr w14:paraId="2F1C9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010A34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27B6195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各种白介素测定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22FDCF2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250401014</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76CFBEB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43/项</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486E3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12237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4F360CA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76BDD2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肥达外斐试验</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338979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250403039+250403038</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0300CF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C3BD1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61637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38A80C9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3DAE89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尿N-酰-β-D-氨基葡萄糖苷酶（NAG）测定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3F688A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250307011</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4C17753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8.5</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3DA693C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r>
      <w:tr w14:paraId="1A21A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3F66916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251D495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肿瘤坏死因子测定(TNF)</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43E661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250404013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413C42D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5ACC46B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r>
      <w:tr w14:paraId="2F455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2638C0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1E32650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干扰素测定</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61019FA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250401013</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397F0C8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B64406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59721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3293B26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2285" w:type="dxa"/>
            <w:tcBorders>
              <w:top w:val="single" w:color="000000" w:sz="4" w:space="0"/>
              <w:left w:val="single" w:color="000000" w:sz="4" w:space="0"/>
              <w:bottom w:val="single" w:color="000000" w:sz="4" w:space="0"/>
              <w:right w:val="single" w:color="000000" w:sz="4" w:space="0"/>
            </w:tcBorders>
            <w:noWrap w:val="0"/>
            <w:vAlign w:val="center"/>
          </w:tcPr>
          <w:p w14:paraId="59D05EB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过敏原特异性IgE吸入10项</w:t>
            </w:r>
          </w:p>
        </w:tc>
        <w:tc>
          <w:tcPr>
            <w:tcW w:w="2594" w:type="dxa"/>
            <w:tcBorders>
              <w:top w:val="single" w:color="000000" w:sz="4" w:space="0"/>
              <w:left w:val="single" w:color="000000" w:sz="4" w:space="0"/>
              <w:bottom w:val="single" w:color="000000" w:sz="4" w:space="0"/>
              <w:right w:val="single" w:color="000000" w:sz="4" w:space="0"/>
            </w:tcBorders>
            <w:noWrap w:val="0"/>
            <w:vAlign w:val="center"/>
          </w:tcPr>
          <w:p w14:paraId="3043EAC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250405002*6、250405004*4</w:t>
            </w:r>
          </w:p>
        </w:tc>
        <w:tc>
          <w:tcPr>
            <w:tcW w:w="1703" w:type="dxa"/>
            <w:tcBorders>
              <w:top w:val="single" w:color="000000" w:sz="4" w:space="0"/>
              <w:left w:val="single" w:color="000000" w:sz="4" w:space="0"/>
              <w:bottom w:val="single" w:color="000000" w:sz="4" w:space="0"/>
              <w:right w:val="single" w:color="000000" w:sz="4" w:space="0"/>
            </w:tcBorders>
            <w:noWrap w:val="0"/>
            <w:vAlign w:val="center"/>
          </w:tcPr>
          <w:p w14:paraId="6DA5D1A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206</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6507F2F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5513B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554395B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2285" w:type="dxa"/>
            <w:tcBorders>
              <w:top w:val="single" w:color="000000" w:sz="4" w:space="0"/>
              <w:left w:val="single" w:color="000000" w:sz="4" w:space="0"/>
              <w:bottom w:val="single" w:color="000000" w:sz="4" w:space="0"/>
              <w:right w:val="single" w:color="000000" w:sz="4" w:space="0"/>
            </w:tcBorders>
            <w:noWrap w:val="0"/>
            <w:vAlign w:val="center"/>
          </w:tcPr>
          <w:p w14:paraId="77DC4EA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过敏原特异性IgE食物10项</w:t>
            </w:r>
          </w:p>
        </w:tc>
        <w:tc>
          <w:tcPr>
            <w:tcW w:w="2594" w:type="dxa"/>
            <w:tcBorders>
              <w:top w:val="single" w:color="000000" w:sz="4" w:space="0"/>
              <w:left w:val="single" w:color="000000" w:sz="4" w:space="0"/>
              <w:bottom w:val="single" w:color="000000" w:sz="4" w:space="0"/>
              <w:right w:val="single" w:color="000000" w:sz="4" w:space="0"/>
            </w:tcBorders>
            <w:noWrap w:val="0"/>
            <w:vAlign w:val="center"/>
          </w:tcPr>
          <w:p w14:paraId="09856F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250405003*10</w:t>
            </w:r>
          </w:p>
        </w:tc>
        <w:tc>
          <w:tcPr>
            <w:tcW w:w="1703" w:type="dxa"/>
            <w:tcBorders>
              <w:top w:val="single" w:color="000000" w:sz="4" w:space="0"/>
              <w:left w:val="single" w:color="000000" w:sz="4" w:space="0"/>
              <w:bottom w:val="single" w:color="000000" w:sz="4" w:space="0"/>
              <w:right w:val="single" w:color="000000" w:sz="4" w:space="0"/>
            </w:tcBorders>
            <w:noWrap w:val="0"/>
            <w:vAlign w:val="center"/>
          </w:tcPr>
          <w:p w14:paraId="56DAA93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451C975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41C3E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66D2329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2285" w:type="dxa"/>
            <w:tcBorders>
              <w:top w:val="single" w:color="000000" w:sz="4" w:space="0"/>
              <w:left w:val="single" w:color="000000" w:sz="4" w:space="0"/>
              <w:bottom w:val="single" w:color="000000" w:sz="4" w:space="0"/>
              <w:right w:val="single" w:color="000000" w:sz="4" w:space="0"/>
            </w:tcBorders>
            <w:noWrap w:val="0"/>
            <w:vAlign w:val="center"/>
          </w:tcPr>
          <w:p w14:paraId="3AD554A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过敏原特异性IgE综合24项</w:t>
            </w:r>
          </w:p>
        </w:tc>
        <w:tc>
          <w:tcPr>
            <w:tcW w:w="2594" w:type="dxa"/>
            <w:tcBorders>
              <w:top w:val="single" w:color="000000" w:sz="4" w:space="0"/>
              <w:left w:val="single" w:color="000000" w:sz="4" w:space="0"/>
              <w:bottom w:val="single" w:color="000000" w:sz="4" w:space="0"/>
              <w:right w:val="single" w:color="000000" w:sz="4" w:space="0"/>
            </w:tcBorders>
            <w:noWrap w:val="0"/>
            <w:vAlign w:val="center"/>
          </w:tcPr>
          <w:p w14:paraId="3E05F71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250405001、250405002、250405003*7、250405004</w:t>
            </w:r>
            <w:r>
              <w:rPr>
                <w:rFonts w:hint="eastAsia"/>
                <w:color w:val="auto"/>
                <w:highlight w:val="none"/>
                <w:lang w:val="en-US" w:eastAsia="zh-CN"/>
              </w:rPr>
              <w:t>*5</w:t>
            </w:r>
          </w:p>
        </w:tc>
        <w:tc>
          <w:tcPr>
            <w:tcW w:w="1703" w:type="dxa"/>
            <w:tcBorders>
              <w:top w:val="single" w:color="000000" w:sz="4" w:space="0"/>
              <w:left w:val="single" w:color="000000" w:sz="4" w:space="0"/>
              <w:bottom w:val="single" w:color="000000" w:sz="4" w:space="0"/>
              <w:right w:val="single" w:color="000000" w:sz="4" w:space="0"/>
            </w:tcBorders>
            <w:noWrap w:val="0"/>
            <w:vAlign w:val="center"/>
          </w:tcPr>
          <w:p w14:paraId="44AE801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346</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01360BB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r>
      <w:tr w14:paraId="7E41D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4DF1D0B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6E0776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不孕不育自身抗体5项</w:t>
            </w:r>
          </w:p>
        </w:tc>
        <w:tc>
          <w:tcPr>
            <w:tcW w:w="1397" w:type="pct"/>
            <w:tcBorders>
              <w:top w:val="single" w:color="000000" w:sz="4" w:space="0"/>
              <w:left w:val="single" w:color="000000" w:sz="4" w:space="0"/>
              <w:bottom w:val="single" w:color="000000" w:sz="4" w:space="0"/>
              <w:right w:val="single" w:color="000000" w:sz="4" w:space="0"/>
            </w:tcBorders>
            <w:noWrap w:val="0"/>
            <w:vAlign w:val="center"/>
          </w:tcPr>
          <w:p w14:paraId="06AC5B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250402024</w:t>
            </w:r>
            <w:r>
              <w:rPr>
                <w:rFonts w:hint="eastAsia" w:ascii="仿宋" w:hAnsi="仿宋" w:eastAsia="仿宋" w:cs="仿宋"/>
                <w:i w:val="0"/>
                <w:iCs w:val="0"/>
                <w:color w:val="auto"/>
                <w:kern w:val="0"/>
                <w:sz w:val="21"/>
                <w:szCs w:val="21"/>
                <w:highlight w:val="none"/>
                <w:u w:val="none"/>
                <w:lang w:val="en-US" w:eastAsia="zh-CN" w:bidi="ar"/>
              </w:rPr>
              <w:br w:type="textWrapping"/>
            </w:r>
            <w:r>
              <w:rPr>
                <w:rFonts w:hint="eastAsia" w:ascii="仿宋" w:hAnsi="仿宋" w:eastAsia="仿宋" w:cs="仿宋"/>
                <w:i w:val="0"/>
                <w:iCs w:val="0"/>
                <w:color w:val="auto"/>
                <w:kern w:val="0"/>
                <w:sz w:val="21"/>
                <w:szCs w:val="21"/>
                <w:highlight w:val="none"/>
                <w:u w:val="none"/>
                <w:lang w:val="en-US" w:eastAsia="zh-CN" w:bidi="ar"/>
              </w:rPr>
              <w:t>250402022</w:t>
            </w:r>
            <w:r>
              <w:rPr>
                <w:rFonts w:hint="eastAsia" w:ascii="仿宋" w:hAnsi="仿宋" w:eastAsia="仿宋" w:cs="仿宋"/>
                <w:i w:val="0"/>
                <w:iCs w:val="0"/>
                <w:color w:val="auto"/>
                <w:kern w:val="0"/>
                <w:sz w:val="21"/>
                <w:szCs w:val="21"/>
                <w:highlight w:val="none"/>
                <w:u w:val="none"/>
                <w:lang w:val="en-US" w:eastAsia="zh-CN" w:bidi="ar"/>
              </w:rPr>
              <w:br w:type="textWrapping"/>
            </w:r>
            <w:r>
              <w:rPr>
                <w:rFonts w:hint="eastAsia" w:ascii="仿宋" w:hAnsi="仿宋" w:eastAsia="仿宋" w:cs="仿宋"/>
                <w:i w:val="0"/>
                <w:iCs w:val="0"/>
                <w:color w:val="auto"/>
                <w:kern w:val="0"/>
                <w:sz w:val="21"/>
                <w:szCs w:val="21"/>
                <w:highlight w:val="none"/>
                <w:u w:val="none"/>
                <w:lang w:val="en-US" w:eastAsia="zh-CN" w:bidi="ar"/>
              </w:rPr>
              <w:t>250402041</w:t>
            </w:r>
            <w:r>
              <w:rPr>
                <w:rFonts w:hint="eastAsia" w:ascii="仿宋" w:hAnsi="仿宋" w:eastAsia="仿宋" w:cs="仿宋"/>
                <w:i w:val="0"/>
                <w:iCs w:val="0"/>
                <w:color w:val="auto"/>
                <w:kern w:val="0"/>
                <w:sz w:val="21"/>
                <w:szCs w:val="21"/>
                <w:highlight w:val="none"/>
                <w:u w:val="none"/>
                <w:lang w:val="en-US" w:eastAsia="zh-CN" w:bidi="ar"/>
              </w:rPr>
              <w:br w:type="textWrapping"/>
            </w:r>
            <w:r>
              <w:rPr>
                <w:rFonts w:hint="eastAsia" w:ascii="仿宋" w:hAnsi="仿宋" w:eastAsia="仿宋" w:cs="仿宋"/>
                <w:i w:val="0"/>
                <w:iCs w:val="0"/>
                <w:color w:val="auto"/>
                <w:kern w:val="0"/>
                <w:sz w:val="21"/>
                <w:szCs w:val="21"/>
                <w:highlight w:val="none"/>
                <w:u w:val="none"/>
                <w:lang w:val="en-US" w:eastAsia="zh-CN" w:bidi="ar"/>
              </w:rPr>
              <w:t>250402023</w:t>
            </w:r>
            <w:r>
              <w:rPr>
                <w:rFonts w:hint="eastAsia" w:ascii="仿宋" w:hAnsi="仿宋" w:eastAsia="仿宋" w:cs="仿宋"/>
                <w:i w:val="0"/>
                <w:iCs w:val="0"/>
                <w:color w:val="auto"/>
                <w:kern w:val="0"/>
                <w:sz w:val="21"/>
                <w:szCs w:val="21"/>
                <w:highlight w:val="none"/>
                <w:u w:val="none"/>
                <w:lang w:val="en-US" w:eastAsia="zh-CN" w:bidi="ar"/>
              </w:rPr>
              <w:br w:type="textWrapping"/>
            </w:r>
            <w:r>
              <w:rPr>
                <w:rFonts w:hint="eastAsia" w:ascii="仿宋" w:hAnsi="仿宋" w:eastAsia="仿宋" w:cs="仿宋"/>
                <w:i w:val="0"/>
                <w:iCs w:val="0"/>
                <w:color w:val="auto"/>
                <w:kern w:val="0"/>
                <w:sz w:val="21"/>
                <w:szCs w:val="21"/>
                <w:highlight w:val="none"/>
                <w:u w:val="none"/>
                <w:lang w:val="en-US" w:eastAsia="zh-CN" w:bidi="ar"/>
              </w:rPr>
              <w:t>250402054</w:t>
            </w:r>
          </w:p>
        </w:tc>
        <w:tc>
          <w:tcPr>
            <w:tcW w:w="917" w:type="pct"/>
            <w:tcBorders>
              <w:top w:val="single" w:color="000000" w:sz="4" w:space="0"/>
              <w:left w:val="single" w:color="000000" w:sz="4" w:space="0"/>
              <w:bottom w:val="single" w:color="000000" w:sz="4" w:space="0"/>
              <w:right w:val="single" w:color="000000" w:sz="4" w:space="0"/>
            </w:tcBorders>
            <w:noWrap w:val="0"/>
            <w:vAlign w:val="center"/>
          </w:tcPr>
          <w:p w14:paraId="587CF53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188</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659E8C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11730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25D181D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3174579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高敏丙型肝炎病毒核糖核酸定量检测</w:t>
            </w:r>
          </w:p>
        </w:tc>
        <w:tc>
          <w:tcPr>
            <w:tcW w:w="1397" w:type="pct"/>
            <w:tcBorders>
              <w:top w:val="single" w:color="000000" w:sz="4" w:space="0"/>
              <w:left w:val="single" w:color="000000" w:sz="4" w:space="0"/>
              <w:bottom w:val="single" w:color="000000" w:sz="4" w:space="0"/>
              <w:right w:val="single" w:color="000000" w:sz="4" w:space="0"/>
            </w:tcBorders>
            <w:noWrap/>
            <w:vAlign w:val="center"/>
          </w:tcPr>
          <w:p w14:paraId="339B6B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250403013b</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5A37167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360151D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r>
      <w:tr w14:paraId="09CC6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346" w:type="pct"/>
            <w:tcBorders>
              <w:top w:val="single" w:color="000000" w:sz="4" w:space="0"/>
              <w:left w:val="single" w:color="000000" w:sz="4" w:space="0"/>
              <w:bottom w:val="single" w:color="000000" w:sz="4" w:space="0"/>
              <w:right w:val="single" w:color="000000" w:sz="4" w:space="0"/>
            </w:tcBorders>
            <w:noWrap w:val="0"/>
            <w:vAlign w:val="center"/>
          </w:tcPr>
          <w:p w14:paraId="60FED54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1231" w:type="pct"/>
            <w:tcBorders>
              <w:top w:val="single" w:color="000000" w:sz="4" w:space="0"/>
              <w:left w:val="single" w:color="000000" w:sz="4" w:space="0"/>
              <w:bottom w:val="single" w:color="000000" w:sz="4" w:space="0"/>
              <w:right w:val="single" w:color="000000" w:sz="4" w:space="0"/>
            </w:tcBorders>
            <w:noWrap w:val="0"/>
            <w:vAlign w:val="center"/>
          </w:tcPr>
          <w:p w14:paraId="1EA587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血管内皮生长因子检测</w:t>
            </w:r>
          </w:p>
        </w:tc>
        <w:tc>
          <w:tcPr>
            <w:tcW w:w="1397" w:type="pct"/>
            <w:tcBorders>
              <w:top w:val="single" w:color="000000" w:sz="4" w:space="0"/>
              <w:left w:val="single" w:color="000000" w:sz="4" w:space="0"/>
              <w:bottom w:val="single" w:color="000000" w:sz="4" w:space="0"/>
              <w:right w:val="single" w:color="000000" w:sz="4" w:space="0"/>
            </w:tcBorders>
            <w:noWrap/>
            <w:vAlign w:val="center"/>
          </w:tcPr>
          <w:p w14:paraId="1BFD21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250401036</w:t>
            </w:r>
          </w:p>
        </w:tc>
        <w:tc>
          <w:tcPr>
            <w:tcW w:w="917" w:type="pct"/>
            <w:tcBorders>
              <w:top w:val="single" w:color="000000" w:sz="4" w:space="0"/>
              <w:left w:val="single" w:color="000000" w:sz="4" w:space="0"/>
              <w:bottom w:val="single" w:color="000000" w:sz="4" w:space="0"/>
              <w:right w:val="single" w:color="000000" w:sz="4" w:space="0"/>
            </w:tcBorders>
            <w:noWrap/>
            <w:vAlign w:val="center"/>
          </w:tcPr>
          <w:p w14:paraId="16B1D0B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260</w:t>
            </w:r>
          </w:p>
        </w:tc>
        <w:tc>
          <w:tcPr>
            <w:tcW w:w="1107" w:type="pct"/>
            <w:tcBorders>
              <w:top w:val="single" w:color="000000" w:sz="4" w:space="0"/>
              <w:left w:val="single" w:color="000000" w:sz="4" w:space="0"/>
              <w:bottom w:val="single" w:color="000000" w:sz="4" w:space="0"/>
              <w:right w:val="single" w:color="000000" w:sz="4" w:space="0"/>
            </w:tcBorders>
            <w:noWrap w:val="0"/>
            <w:vAlign w:val="center"/>
          </w:tcPr>
          <w:p w14:paraId="66943B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bl>
    <w:p w14:paraId="2F97AE03">
      <w:pPr>
        <w:pStyle w:val="3"/>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对于采购人委托成交供应商实施的检验项目，由采购人根据医院公示价格(依据《陕西省医疗服务项目价格(2024版)》制定)向患者或受检者收取检验费，同时采购人根据最终成交结算比例（各项结算单价=收费标准*成交折扣）向成交供应商支付委托检验服务费；如果采购人委托成交供应商实施的检验项目不在《陕西省医疗服务项目价格(2024版)》目录内，采购人应当以成交供应商提供的《检验项目手册》(最新版本)的价格为基础，并根据附表的结算比例向成交供应商支付委托检验服务费；如果陕西省价格主管部门对项目价格政策或价格标准进行调整，则按最新执行价格政策作相应调整。</w:t>
      </w:r>
    </w:p>
    <w:p w14:paraId="4604DEB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b/>
          <w:bCs/>
          <w:color w:val="auto"/>
          <w:sz w:val="28"/>
          <w:szCs w:val="28"/>
          <w:highlight w:val="none"/>
        </w:rPr>
        <w:t>技术要求</w:t>
      </w:r>
    </w:p>
    <w:p w14:paraId="1BD46BBC">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实验室要求：通过ISO 15189认可的验室可优先考虑。</w:t>
      </w:r>
    </w:p>
    <w:p w14:paraId="22FEFC15">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检测方法标准：所有检测项目需严格遵循国家现行有效的标准方法、行业指南（如《临床检验操作规程》）或国际公认标准，确保检测方法的科学性和规范性。</w:t>
      </w:r>
    </w:p>
    <w:p w14:paraId="1458EF04">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设备与试剂管理：检测所用设备需经法定计量机构校准合格并在有效期内，定期进行维护保养，建立完整的设备台账及运行记录。试剂需选用经国家药品监督管理局（NMPA）批准的合格产品，提供试剂溯源证明、质量合格证书及有效期证明，严格按照试剂说明书要求储存和使用。</w:t>
      </w:r>
    </w:p>
    <w:p w14:paraId="4252C666">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质量控制体系：建立完善的室内质量控制体系，每日开展常规质控，确保检测结果在控，留存完整的质控记录（包括质控图、失控处理记录等）。定期参加国家或省级临床检验中心组织的室间质评，近1年内相关项目室间质评结果需全部合格。</w:t>
      </w:r>
    </w:p>
    <w:p w14:paraId="3757176E">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人员资质：检测人员需具备相应的专业技术资格证书（如临床医学检验技师/医师资格证），熟悉所操作项目的检测原理、流程及质量控制要求，定期接受专业技术培训并考核合格。</w:t>
      </w:r>
    </w:p>
    <w:p w14:paraId="09A7DC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三、服务要求</w:t>
      </w:r>
    </w:p>
    <w:p w14:paraId="50F94BC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样本接收与响应</w:t>
      </w:r>
    </w:p>
    <w:p w14:paraId="767513C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响应时间：样本送达后2小时内完成接收确认，核对样本信息（样本类型、数量、状态、申请项目等），并通过书面或电子系统反馈接收结果；对于不合格样本，需在2小时内通知送检方并说明原因，协商处理方案。</w:t>
      </w:r>
    </w:p>
    <w:p w14:paraId="025B295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2）沟通机制：设立专属对接人员，确保工作日内电话咨询30分钟内响应，技术问题24小时内给予专业答复。</w:t>
      </w:r>
    </w:p>
    <w:p w14:paraId="2D836BD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检测周期与报告交付</w:t>
      </w:r>
    </w:p>
    <w:p w14:paraId="2449F41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1）常规项目需在样本接收合格后24小时内出具检测报告。</w:t>
      </w:r>
    </w:p>
    <w:p w14:paraId="001D2A8D">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报告形式：提供纸质版和电子版报告（PDF格式），通过先进的信息管理系统，专业便捷的点对点服务，保证检验报告在第一时间内传输到院方；可实现检验结果在医院LIS网络中查询，提供电话咨询服务。报告内容需完整规范，包括送检信息、检测方法、检测结果、参考范围、结果解释（特检项目需包含专业解读）。</w:t>
      </w:r>
    </w:p>
    <w:p w14:paraId="1ADB2D6D">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按照医院要求完成危急值报告，提供危急值清单及报告范围（如有出入按照医院要求调整一致）、危急值报告制度及流程。</w:t>
      </w:r>
    </w:p>
    <w:p w14:paraId="6741C862">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样本运输与管理</w:t>
      </w:r>
    </w:p>
    <w:p w14:paraId="6868DD8F">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运输要求：严格遵循《病原微生物实验室生物安全管理条例》，采用符合生物安全要求的运输容器（如UN2814类别包装），冷链运输项目需配备温度监控设备（全程温度记录可追溯），确保样本在运输过程中无泄漏、无变质。</w:t>
      </w:r>
    </w:p>
    <w:p w14:paraId="3AED7E3C">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2）样本保存：检测完成后，剩余样本需按规定保存至少 7 天（特殊项目如染色体标本保存30天），保存条件符合要求，逾期按生物安全规范处置并记录。</w:t>
      </w:r>
    </w:p>
    <w:p w14:paraId="6E2278B6">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售后与复核</w:t>
      </w:r>
    </w:p>
    <w:p w14:paraId="1CD941F5">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1）报告复核：送检方对检测结果有疑问时，实验室需在收到复核申请后48小时内完成复核，必要时重新检测，复核结果需书面反馈，若因实验室原因导致结果错误，需重新检测并承担相应责任。</w:t>
      </w:r>
    </w:p>
    <w:p w14:paraId="44D9A1E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2）投诉处理：建立投诉处理机制，收到服务投诉后24小时内响应，3个工作日内提出解决方案并跟进处理，直至问题解决。</w:t>
      </w:r>
    </w:p>
    <w:p w14:paraId="3B0E0AD6">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四、其他要求</w:t>
      </w:r>
    </w:p>
    <w:p w14:paraId="6523059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资质与备案：合作前需向送检方提供完整的资质证明文件（复印件加盖公章），包括营业执照、医疗机构执业许可证、CNAS认可证书及认可项目清单、相关项目室间质评证书等；合作期间若资质发生变更（如认可范围调整、人员变动），需在变更后3个工作日内书面告知送检方。</w:t>
      </w:r>
    </w:p>
    <w:p w14:paraId="68F48B2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保密要求：严格遵守《中华人民共和国个人信息保护法》《医疗机构病历管理规定》等法规，对送检样本涉及的患者信息、检测数据及合作信息承担保密责任，不得向第三方泄露；合作结束后，需按要求销毁或返还所有涉密资料，留存保密承诺书。</w:t>
      </w:r>
    </w:p>
    <w:p w14:paraId="4E4CEC5B">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质量回顾与沟通：每季度提交质量报告（包括检测合格率、及时率、质控情况等）；每年提供年度服务总结报告，分析存在问题并提出改进措施。</w:t>
      </w:r>
    </w:p>
    <w:p w14:paraId="179C3042">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应急保障：检测方需要对实验室的物理环境、实验设备、实验物质、实验人员以及实验过程等进行全面评估，确定可能存在的风险并建立相应急预案，确保在突发情况下48小时内恢复检测服务，保障检测连续性。</w:t>
      </w:r>
    </w:p>
    <w:p w14:paraId="0D1B32AC">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在本地提供基因组学、蛋白组学、代谢组学等检测平台，供</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科研人员开展临床科研检测，满足在本地完成科研工作的需求。</w:t>
      </w:r>
    </w:p>
    <w:p w14:paraId="796A1CD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每年可以提供不少于15天的针对实验室人员及下级医院或体检中心人员的专业技能和理论培训。</w:t>
      </w:r>
    </w:p>
    <w:p w14:paraId="29BB8DA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olor w:val="auto"/>
          <w:highlight w:val="none"/>
          <w:lang w:val="en-US" w:eastAsia="zh-CN"/>
        </w:rPr>
      </w:pPr>
      <w:r>
        <w:rPr>
          <w:rFonts w:hint="eastAsia" w:ascii="仿宋" w:hAnsi="仿宋" w:eastAsia="仿宋" w:cs="仿宋"/>
          <w:color w:val="auto"/>
          <w:sz w:val="28"/>
          <w:szCs w:val="28"/>
          <w:highlight w:val="none"/>
          <w:lang w:val="en-US" w:eastAsia="zh-CN"/>
        </w:rPr>
        <w:t>7、《委托检验项目目录》可根据采购方临床诊疗需求、院内检验项目开展能力变化实施动态调整。采购方因临床需要新增外送检验项目，或部分项目转为院内自行开展不再委托成交供应商检测时由采购方出具书面变更通知。成交供应商方对新增项目的检测可行性、收费、报告周期予以回复，达成一致后更新项目目录;相关新增项目的价格、结算规则按本合同约定执行。项目目录的修订文件与本合同具备同等法律效力。</w:t>
      </w:r>
      <w:r>
        <w:rPr>
          <w:rFonts w:hint="eastAsia" w:ascii="仿宋" w:hAnsi="仿宋" w:eastAsia="仿宋" w:cs="仿宋"/>
          <w:color w:val="auto"/>
          <w:sz w:val="28"/>
          <w:szCs w:val="28"/>
          <w:highlight w:val="none"/>
          <w:lang w:val="en-US" w:eastAsia="zh-CN"/>
        </w:rPr>
        <w:br w:type="page"/>
      </w:r>
      <w:r>
        <w:rPr>
          <w:rFonts w:hint="eastAsia" w:ascii="仿宋" w:hAnsi="仿宋" w:eastAsia="仿宋"/>
          <w:color w:val="auto"/>
          <w:highlight w:val="none"/>
          <w:lang w:val="en-US" w:eastAsia="zh-CN"/>
        </w:rPr>
        <w:t>合同包2：</w:t>
      </w:r>
    </w:p>
    <w:p w14:paraId="2147BDC0">
      <w:pPr>
        <w:pStyle w:val="2"/>
        <w:spacing w:before="0" w:after="0"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一、特检项目</w:t>
      </w:r>
    </w:p>
    <w:tbl>
      <w:tblPr>
        <w:tblStyle w:val="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17"/>
        <w:gridCol w:w="2865"/>
        <w:gridCol w:w="2460"/>
        <w:gridCol w:w="1500"/>
        <w:gridCol w:w="1381"/>
      </w:tblGrid>
      <w:tr w14:paraId="11637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28494563">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7525B0D6">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委托检验项目</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7CE33CC2">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收费编码</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BBEC655">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价格/收费标准</w:t>
            </w:r>
          </w:p>
        </w:tc>
        <w:tc>
          <w:tcPr>
            <w:tcW w:w="810" w:type="pct"/>
            <w:tcBorders>
              <w:top w:val="single" w:color="000000" w:sz="4" w:space="0"/>
              <w:left w:val="single" w:color="000000" w:sz="4" w:space="0"/>
              <w:bottom w:val="single" w:color="000000" w:sz="4" w:space="0"/>
              <w:right w:val="single" w:color="000000" w:sz="4" w:space="0"/>
            </w:tcBorders>
            <w:noWrap/>
            <w:vAlign w:val="center"/>
          </w:tcPr>
          <w:p w14:paraId="578F3D21">
            <w:pPr>
              <w:keepNext w:val="0"/>
              <w:keepLines w:val="0"/>
              <w:widowControl/>
              <w:suppressLineNumbers w:val="0"/>
              <w:spacing w:line="360" w:lineRule="auto"/>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预估年检测量</w:t>
            </w:r>
          </w:p>
        </w:tc>
      </w:tr>
      <w:tr w14:paraId="4996A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6BD1461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688E95D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红细胞CD55、CD59评估</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69CCABE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250401031b*2</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78AE030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4356A6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35</w:t>
            </w:r>
          </w:p>
        </w:tc>
      </w:tr>
      <w:tr w14:paraId="77C0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3FF6058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470F0B4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急慢性白血病/NHL/MDS全面CD系列检测(40CD)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0B27A63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250201006*40</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3AFE95C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D9467D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r>
      <w:tr w14:paraId="51B94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50AB393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6CD8B57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MDS相关CD系列检测（15CD）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3E37E7F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250201006*15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7D2153C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669A00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r>
      <w:tr w14:paraId="0C962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2409A29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20BF315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白血病MRD（15CD）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3A4FDE8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250201006*15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54FB1CD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12835B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w:t>
            </w:r>
          </w:p>
        </w:tc>
      </w:tr>
      <w:tr w14:paraId="1A487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4923EE37">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796D575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白血病MRD（28CD）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2E37FF42">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250201006*28</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5DEC327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2100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C790D4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r>
      <w:tr w14:paraId="14646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6DF96AE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0C228B3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急慢性白血病CD检测（28CD）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463D83A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250201006*28</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75D685E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2100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62B70CD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r>
      <w:tr w14:paraId="58D79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4D5FC062">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9B191F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B-CLL微小残留（15CD）</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4D63872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250201006*15</w:t>
            </w:r>
          </w:p>
        </w:tc>
        <w:tc>
          <w:tcPr>
            <w:tcW w:w="879" w:type="pct"/>
            <w:tcBorders>
              <w:top w:val="single" w:color="000000" w:sz="4" w:space="0"/>
              <w:left w:val="single" w:color="000000" w:sz="4" w:space="0"/>
              <w:bottom w:val="single" w:color="000000" w:sz="4" w:space="0"/>
              <w:right w:val="single" w:color="000000" w:sz="4" w:space="0"/>
            </w:tcBorders>
            <w:noWrap/>
            <w:vAlign w:val="center"/>
          </w:tcPr>
          <w:p w14:paraId="31AC30B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090C62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r>
      <w:tr w14:paraId="6F8B9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64070DC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7C44731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浆细胞肿瘤相关CD检测(15CD)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069FB1F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250201006*15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43D4362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41D4F0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r>
      <w:tr w14:paraId="7E06B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2C2B1D4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1CD82FB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MDS/AA鉴别检测(15CD）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680EE5D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250201006*15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3A310C0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6A1B8A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r>
      <w:tr w14:paraId="0EB53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06C44C0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404D839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MDS相关CD系列检测（25CD）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6856C31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250201006*25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06AE5B5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A1A992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r>
      <w:tr w14:paraId="05D8C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67F856E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6306B3A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淋巴瘤/淋系白血病相关CD检测(25CD)</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57BCB1F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250201006*25</w:t>
            </w:r>
          </w:p>
        </w:tc>
        <w:tc>
          <w:tcPr>
            <w:tcW w:w="879" w:type="pct"/>
            <w:tcBorders>
              <w:top w:val="single" w:color="000000" w:sz="4" w:space="0"/>
              <w:left w:val="single" w:color="000000" w:sz="4" w:space="0"/>
              <w:bottom w:val="single" w:color="000000" w:sz="4" w:space="0"/>
              <w:right w:val="single" w:color="000000" w:sz="4" w:space="0"/>
            </w:tcBorders>
            <w:noWrap/>
            <w:vAlign w:val="center"/>
          </w:tcPr>
          <w:p w14:paraId="1AA7C27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1875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E496C4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w:t>
            </w:r>
          </w:p>
        </w:tc>
      </w:tr>
      <w:tr w14:paraId="5ECBD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77094C5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132540C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多发性骨髓瘤微小残留（15CD）</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65C1CB2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250201006*15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2BC70A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1125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37F6D2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w:t>
            </w:r>
          </w:p>
        </w:tc>
      </w:tr>
      <w:tr w14:paraId="78078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57B7805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13</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559E86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溶贫初筛8项</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1039E91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250202034/250202035/250202011/250202012/250202008/250202013/250202016/250202031</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1736AE22">
            <w:pPr>
              <w:keepNext w:val="0"/>
              <w:keepLines w:val="0"/>
              <w:widowControl/>
              <w:suppressLineNumbers w:val="0"/>
              <w:spacing w:line="360" w:lineRule="auto"/>
              <w:jc w:val="center"/>
              <w:textAlignment w:val="center"/>
              <w:rPr>
                <w:rFonts w:hint="default" w:ascii="仿宋" w:hAnsi="仿宋" w:eastAsia="仿宋" w:cs="仿宋"/>
                <w:i w:val="0"/>
                <w:iCs w:val="0"/>
                <w:color w:val="auto"/>
                <w:sz w:val="21"/>
                <w:szCs w:val="21"/>
                <w:highlight w:val="none"/>
                <w:u w:val="none"/>
                <w:lang w:val="en-US"/>
              </w:rPr>
            </w:pPr>
            <w:r>
              <w:rPr>
                <w:rFonts w:hint="eastAsia" w:ascii="仿宋" w:hAnsi="仿宋" w:eastAsia="仿宋" w:cs="仿宋"/>
                <w:i w:val="0"/>
                <w:iCs w:val="0"/>
                <w:color w:val="auto"/>
                <w:kern w:val="0"/>
                <w:sz w:val="21"/>
                <w:szCs w:val="21"/>
                <w:highlight w:val="none"/>
                <w:u w:val="none"/>
                <w:lang w:val="en-US" w:eastAsia="zh-CN" w:bidi="ar"/>
              </w:rPr>
              <w:t>77</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6D9E06A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r>
      <w:tr w14:paraId="204A1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67A6481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14</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9C3F68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外周血CD19/CD20检测</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5D7E559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250401031a*3</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7209359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CE3EAB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0BD7F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4BA3D30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59453B4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粪便钙卫蛋白检测</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0310608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250301022</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7F4CBE4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BAA7742">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509D4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0A09F55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16</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6648317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凝血因子活性检测</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026A0B8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250203031</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7A4A2A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51/项</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81059D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10</w:t>
            </w:r>
          </w:p>
        </w:tc>
      </w:tr>
      <w:tr w14:paraId="07145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000BBED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17</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02CA97D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骨髓细胞染色体核型分析</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08F765D7">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250700013、250700014、250700001a</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65EE6D4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485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5836E3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w:t>
            </w:r>
          </w:p>
        </w:tc>
      </w:tr>
      <w:tr w14:paraId="44564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176F673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09DF907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外周血染色体核型分析</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605DC2B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250700014、250700001a</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34732F3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325B23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r>
      <w:tr w14:paraId="6C558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73850E2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19</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7FAF3F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血浆蛋白S活性测定</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36A40A7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250203054</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32B755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DF5BF4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744</w:t>
            </w:r>
          </w:p>
        </w:tc>
      </w:tr>
      <w:tr w14:paraId="0E2AC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5CD24EF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20</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2A5A991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血浆蛋白C活性测定</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64EF3EE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250203051</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105D7A3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43</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F799EE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734</w:t>
            </w:r>
          </w:p>
        </w:tc>
      </w:tr>
      <w:tr w14:paraId="261E1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16FA526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21</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702B2DD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血浆抗凝血酶Ⅲ活性测定(AT—ⅢA）</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36A9AA4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250203047</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52D085B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9.5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FCCA0B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300</w:t>
            </w:r>
          </w:p>
        </w:tc>
      </w:tr>
      <w:tr w14:paraId="425E1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2BCFEDF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22</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AE66DF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狼疮抗凝物两项</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70C9FE9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250203055*2</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EB3E16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363DE5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640</w:t>
            </w:r>
          </w:p>
        </w:tc>
      </w:tr>
      <w:tr w14:paraId="6C2D6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192AEAA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23</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653F991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抗心磷脂抗体测定(ACA)</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32C1231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250402016</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6C842602">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EBADCA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450</w:t>
            </w:r>
          </w:p>
        </w:tc>
      </w:tr>
      <w:tr w14:paraId="77334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2E626E3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6E013F3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抗β2糖蛋白Ⅰ抗体IgG（β2-IgG）测定</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52B01CE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250402056</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D70E1D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5B74D88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600</w:t>
            </w:r>
          </w:p>
        </w:tc>
      </w:tr>
      <w:tr w14:paraId="679E0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85" w:type="pct"/>
            <w:tcBorders>
              <w:top w:val="nil"/>
              <w:left w:val="single" w:color="000000" w:sz="4" w:space="0"/>
              <w:bottom w:val="single" w:color="000000" w:sz="4" w:space="0"/>
              <w:right w:val="single" w:color="000000" w:sz="4" w:space="0"/>
            </w:tcBorders>
            <w:noWrap w:val="0"/>
            <w:vAlign w:val="center"/>
          </w:tcPr>
          <w:p w14:paraId="2D8AEF47">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w:t>
            </w:r>
          </w:p>
        </w:tc>
        <w:tc>
          <w:tcPr>
            <w:tcW w:w="1681" w:type="pct"/>
            <w:tcBorders>
              <w:top w:val="nil"/>
              <w:left w:val="single" w:color="000000" w:sz="4" w:space="0"/>
              <w:bottom w:val="single" w:color="000000" w:sz="4" w:space="0"/>
              <w:right w:val="single" w:color="000000" w:sz="4" w:space="0"/>
            </w:tcBorders>
            <w:noWrap w:val="0"/>
            <w:vAlign w:val="center"/>
          </w:tcPr>
          <w:p w14:paraId="1498643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Style w:val="8"/>
                <w:rFonts w:hint="eastAsia" w:ascii="仿宋" w:hAnsi="仿宋" w:eastAsia="仿宋" w:cs="仿宋"/>
                <w:color w:val="auto"/>
                <w:sz w:val="21"/>
                <w:szCs w:val="21"/>
                <w:highlight w:val="none"/>
                <w:lang w:val="en-US" w:eastAsia="zh-CN" w:bidi="ar"/>
              </w:rPr>
              <w:t>异常免疫球蛋白血症综合诊断套餐</w:t>
            </w:r>
            <w:r>
              <w:rPr>
                <w:rStyle w:val="9"/>
                <w:rFonts w:hint="eastAsia" w:ascii="仿宋" w:hAnsi="仿宋" w:eastAsia="仿宋" w:cs="仿宋"/>
                <w:color w:val="auto"/>
                <w:sz w:val="21"/>
                <w:szCs w:val="21"/>
                <w:highlight w:val="none"/>
                <w:lang w:val="en-US" w:eastAsia="zh-CN" w:bidi="ar"/>
              </w:rPr>
              <w:t>6</w:t>
            </w:r>
            <w:r>
              <w:rPr>
                <w:rStyle w:val="8"/>
                <w:rFonts w:hint="eastAsia" w:ascii="仿宋" w:hAnsi="仿宋" w:eastAsia="仿宋" w:cs="仿宋"/>
                <w:color w:val="auto"/>
                <w:sz w:val="21"/>
                <w:szCs w:val="21"/>
                <w:highlight w:val="none"/>
                <w:lang w:val="en-US" w:eastAsia="zh-CN" w:bidi="ar"/>
              </w:rPr>
              <w:t>项</w:t>
            </w:r>
          </w:p>
        </w:tc>
        <w:tc>
          <w:tcPr>
            <w:tcW w:w="1443" w:type="pct"/>
            <w:tcBorders>
              <w:top w:val="nil"/>
              <w:left w:val="single" w:color="000000" w:sz="4" w:space="0"/>
              <w:bottom w:val="single" w:color="000000" w:sz="4" w:space="0"/>
              <w:right w:val="single" w:color="000000" w:sz="4" w:space="0"/>
            </w:tcBorders>
            <w:noWrap w:val="0"/>
            <w:vAlign w:val="center"/>
          </w:tcPr>
          <w:p w14:paraId="627E767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250307010、250301001、250301002、250301005*2、250401027*2、250401023*3、250301004a</w:t>
            </w:r>
          </w:p>
        </w:tc>
        <w:tc>
          <w:tcPr>
            <w:tcW w:w="879" w:type="pct"/>
            <w:tcBorders>
              <w:top w:val="nil"/>
              <w:left w:val="single" w:color="000000" w:sz="4" w:space="0"/>
              <w:bottom w:val="single" w:color="000000" w:sz="4" w:space="0"/>
              <w:right w:val="single" w:color="000000" w:sz="4" w:space="0"/>
            </w:tcBorders>
            <w:noWrap w:val="0"/>
            <w:vAlign w:val="center"/>
          </w:tcPr>
          <w:p w14:paraId="2DF6EFA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641</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6DF167E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r w14:paraId="75F97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0B6B9C0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25A8A9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血清游离轻链组合（定量及比值）</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2E033CB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250401037</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0EEF2395">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240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1B5B2F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80</w:t>
            </w:r>
          </w:p>
        </w:tc>
      </w:tr>
      <w:tr w14:paraId="625B7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5ED03A4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27</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273A358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血清蛋白电泳（SPE）测定</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16A27DB2">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250301004a</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29A3893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29BCAF6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w:t>
            </w:r>
          </w:p>
        </w:tc>
      </w:tr>
      <w:tr w14:paraId="06905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4BF0692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28</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3BD2C6B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尿蛋白电泳分析</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2E9273E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250307010</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730394F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4D9A811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40</w:t>
            </w:r>
          </w:p>
        </w:tc>
      </w:tr>
      <w:tr w14:paraId="66E22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3162837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29</w:t>
            </w:r>
          </w:p>
        </w:tc>
        <w:tc>
          <w:tcPr>
            <w:tcW w:w="1681" w:type="pct"/>
            <w:tcBorders>
              <w:top w:val="single" w:color="000000" w:sz="4" w:space="0"/>
              <w:left w:val="single" w:color="000000" w:sz="4" w:space="0"/>
              <w:bottom w:val="single" w:color="000000" w:sz="4" w:space="0"/>
              <w:right w:val="single" w:color="000000" w:sz="4" w:space="0"/>
            </w:tcBorders>
            <w:noWrap/>
            <w:vAlign w:val="bottom"/>
          </w:tcPr>
          <w:p w14:paraId="354A373D">
            <w:pPr>
              <w:keepNext w:val="0"/>
              <w:keepLines w:val="0"/>
              <w:widowControl/>
              <w:suppressLineNumbers w:val="0"/>
              <w:spacing w:line="360" w:lineRule="auto"/>
              <w:jc w:val="center"/>
              <w:textAlignment w:val="bottom"/>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尿免疫固定电泳测定</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7C8ED18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250301005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63327E9F">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3002658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150</w:t>
            </w:r>
          </w:p>
        </w:tc>
      </w:tr>
      <w:tr w14:paraId="06F2C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476CE76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30</w:t>
            </w:r>
          </w:p>
        </w:tc>
        <w:tc>
          <w:tcPr>
            <w:tcW w:w="1681" w:type="pct"/>
            <w:tcBorders>
              <w:top w:val="single" w:color="000000" w:sz="4" w:space="0"/>
              <w:left w:val="single" w:color="000000" w:sz="4" w:space="0"/>
              <w:bottom w:val="single" w:color="000000" w:sz="4" w:space="0"/>
              <w:right w:val="single" w:color="000000" w:sz="4" w:space="0"/>
            </w:tcBorders>
            <w:noWrap w:val="0"/>
            <w:vAlign w:val="center"/>
          </w:tcPr>
          <w:p w14:paraId="0DC07517">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血清免疫固定电泳</w:t>
            </w:r>
          </w:p>
        </w:tc>
        <w:tc>
          <w:tcPr>
            <w:tcW w:w="1443" w:type="pct"/>
            <w:tcBorders>
              <w:top w:val="single" w:color="000000" w:sz="4" w:space="0"/>
              <w:left w:val="single" w:color="000000" w:sz="4" w:space="0"/>
              <w:bottom w:val="single" w:color="000000" w:sz="4" w:space="0"/>
              <w:right w:val="single" w:color="000000" w:sz="4" w:space="0"/>
            </w:tcBorders>
            <w:noWrap w:val="0"/>
            <w:vAlign w:val="center"/>
          </w:tcPr>
          <w:p w14:paraId="1D93249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250301005</w:t>
            </w:r>
          </w:p>
        </w:tc>
        <w:tc>
          <w:tcPr>
            <w:tcW w:w="879" w:type="pct"/>
            <w:tcBorders>
              <w:top w:val="single" w:color="000000" w:sz="4" w:space="0"/>
              <w:left w:val="single" w:color="000000" w:sz="4" w:space="0"/>
              <w:bottom w:val="single" w:color="000000" w:sz="4" w:space="0"/>
              <w:right w:val="single" w:color="000000" w:sz="4" w:space="0"/>
            </w:tcBorders>
            <w:noWrap w:val="0"/>
            <w:vAlign w:val="center"/>
          </w:tcPr>
          <w:p w14:paraId="11936798">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180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C1AFF8A">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120</w:t>
            </w:r>
          </w:p>
        </w:tc>
      </w:tr>
      <w:tr w14:paraId="394AD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022DFB2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31</w:t>
            </w:r>
          </w:p>
        </w:tc>
        <w:tc>
          <w:tcPr>
            <w:tcW w:w="1681" w:type="pct"/>
            <w:tcBorders>
              <w:top w:val="single" w:color="000000" w:sz="4" w:space="0"/>
              <w:left w:val="single" w:color="000000" w:sz="4" w:space="0"/>
              <w:bottom w:val="single" w:color="000000" w:sz="4" w:space="0"/>
              <w:right w:val="single" w:color="000000" w:sz="4" w:space="0"/>
            </w:tcBorders>
            <w:noWrap/>
            <w:vAlign w:val="center"/>
          </w:tcPr>
          <w:p w14:paraId="0EF6B17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T细胞亚群线粒体损伤检测</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1AEC213D">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250401031a*3</w:t>
            </w:r>
          </w:p>
        </w:tc>
        <w:tc>
          <w:tcPr>
            <w:tcW w:w="879" w:type="pct"/>
            <w:tcBorders>
              <w:top w:val="single" w:color="000000" w:sz="4" w:space="0"/>
              <w:left w:val="single" w:color="000000" w:sz="4" w:space="0"/>
              <w:bottom w:val="single" w:color="000000" w:sz="4" w:space="0"/>
              <w:right w:val="single" w:color="000000" w:sz="4" w:space="0"/>
            </w:tcBorders>
            <w:noWrap/>
            <w:vAlign w:val="center"/>
          </w:tcPr>
          <w:p w14:paraId="3F9163B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04B5E80">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r w14:paraId="2F161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3056E0B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32</w:t>
            </w:r>
          </w:p>
        </w:tc>
        <w:tc>
          <w:tcPr>
            <w:tcW w:w="1681" w:type="pct"/>
            <w:tcBorders>
              <w:top w:val="single" w:color="000000" w:sz="4" w:space="0"/>
              <w:left w:val="single" w:color="000000" w:sz="4" w:space="0"/>
              <w:bottom w:val="single" w:color="000000" w:sz="4" w:space="0"/>
              <w:right w:val="single" w:color="000000" w:sz="4" w:space="0"/>
            </w:tcBorders>
            <w:noWrap/>
            <w:vAlign w:val="center"/>
          </w:tcPr>
          <w:p w14:paraId="0EAD7A7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T细胞和NK细胞溶酶体损伤检测</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17338867">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250401031a*3</w:t>
            </w:r>
          </w:p>
        </w:tc>
        <w:tc>
          <w:tcPr>
            <w:tcW w:w="879" w:type="pct"/>
            <w:tcBorders>
              <w:top w:val="single" w:color="000000" w:sz="4" w:space="0"/>
              <w:left w:val="single" w:color="000000" w:sz="4" w:space="0"/>
              <w:bottom w:val="single" w:color="000000" w:sz="4" w:space="0"/>
              <w:right w:val="single" w:color="000000" w:sz="4" w:space="0"/>
            </w:tcBorders>
            <w:noWrap/>
            <w:vAlign w:val="center"/>
          </w:tcPr>
          <w:p w14:paraId="2D6D047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255</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7769CE46">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r w14:paraId="3999F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41BC903C">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33</w:t>
            </w:r>
          </w:p>
        </w:tc>
        <w:tc>
          <w:tcPr>
            <w:tcW w:w="1681" w:type="pct"/>
            <w:tcBorders>
              <w:top w:val="single" w:color="000000" w:sz="4" w:space="0"/>
              <w:left w:val="single" w:color="000000" w:sz="4" w:space="0"/>
              <w:bottom w:val="single" w:color="000000" w:sz="4" w:space="0"/>
              <w:right w:val="single" w:color="000000" w:sz="4" w:space="0"/>
            </w:tcBorders>
            <w:noWrap/>
            <w:vAlign w:val="center"/>
          </w:tcPr>
          <w:p w14:paraId="70016524">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NK淋巴细胞亚群相对技数检测</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5AAF9F9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250401031b*4</w:t>
            </w:r>
          </w:p>
        </w:tc>
        <w:tc>
          <w:tcPr>
            <w:tcW w:w="879" w:type="pct"/>
            <w:tcBorders>
              <w:top w:val="single" w:color="000000" w:sz="4" w:space="0"/>
              <w:left w:val="single" w:color="000000" w:sz="4" w:space="0"/>
              <w:bottom w:val="single" w:color="000000" w:sz="4" w:space="0"/>
              <w:right w:val="single" w:color="000000" w:sz="4" w:space="0"/>
            </w:tcBorders>
            <w:noWrap/>
            <w:vAlign w:val="center"/>
          </w:tcPr>
          <w:p w14:paraId="5E89257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260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0E5A02E1">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r w14:paraId="2ECBE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85" w:type="pct"/>
            <w:tcBorders>
              <w:top w:val="single" w:color="000000" w:sz="4" w:space="0"/>
              <w:left w:val="single" w:color="000000" w:sz="4" w:space="0"/>
              <w:bottom w:val="single" w:color="000000" w:sz="4" w:space="0"/>
              <w:right w:val="single" w:color="000000" w:sz="4" w:space="0"/>
            </w:tcBorders>
            <w:noWrap w:val="0"/>
            <w:vAlign w:val="center"/>
          </w:tcPr>
          <w:p w14:paraId="2BB18A9E">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w:t>
            </w:r>
          </w:p>
        </w:tc>
        <w:tc>
          <w:tcPr>
            <w:tcW w:w="1681" w:type="pct"/>
            <w:tcBorders>
              <w:top w:val="single" w:color="000000" w:sz="4" w:space="0"/>
              <w:left w:val="single" w:color="000000" w:sz="4" w:space="0"/>
              <w:bottom w:val="single" w:color="000000" w:sz="4" w:space="0"/>
              <w:right w:val="single" w:color="000000" w:sz="4" w:space="0"/>
            </w:tcBorders>
            <w:noWrap/>
            <w:vAlign w:val="center"/>
          </w:tcPr>
          <w:p w14:paraId="2D1DACD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Treg淋巴细胞亚群检测</w:t>
            </w:r>
          </w:p>
        </w:tc>
        <w:tc>
          <w:tcPr>
            <w:tcW w:w="1443" w:type="pct"/>
            <w:tcBorders>
              <w:top w:val="single" w:color="000000" w:sz="4" w:space="0"/>
              <w:left w:val="single" w:color="000000" w:sz="4" w:space="0"/>
              <w:bottom w:val="single" w:color="000000" w:sz="4" w:space="0"/>
              <w:right w:val="single" w:color="000000" w:sz="4" w:space="0"/>
            </w:tcBorders>
            <w:noWrap/>
            <w:vAlign w:val="center"/>
          </w:tcPr>
          <w:p w14:paraId="7CF6751B">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250401031a*4</w:t>
            </w:r>
          </w:p>
        </w:tc>
        <w:tc>
          <w:tcPr>
            <w:tcW w:w="879" w:type="pct"/>
            <w:tcBorders>
              <w:top w:val="single" w:color="000000" w:sz="4" w:space="0"/>
              <w:left w:val="single" w:color="000000" w:sz="4" w:space="0"/>
              <w:bottom w:val="single" w:color="000000" w:sz="4" w:space="0"/>
              <w:right w:val="single" w:color="000000" w:sz="4" w:space="0"/>
            </w:tcBorders>
            <w:noWrap/>
            <w:vAlign w:val="center"/>
          </w:tcPr>
          <w:p w14:paraId="1F1F9DE9">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340</w:t>
            </w:r>
          </w:p>
        </w:tc>
        <w:tc>
          <w:tcPr>
            <w:tcW w:w="810" w:type="pct"/>
            <w:tcBorders>
              <w:top w:val="single" w:color="000000" w:sz="4" w:space="0"/>
              <w:left w:val="single" w:color="000000" w:sz="4" w:space="0"/>
              <w:bottom w:val="single" w:color="000000" w:sz="4" w:space="0"/>
              <w:right w:val="single" w:color="000000" w:sz="4" w:space="0"/>
            </w:tcBorders>
            <w:noWrap w:val="0"/>
            <w:vAlign w:val="center"/>
          </w:tcPr>
          <w:p w14:paraId="1FD2A7B3">
            <w:pPr>
              <w:keepNext w:val="0"/>
              <w:keepLines w:val="0"/>
              <w:widowControl/>
              <w:suppressLineNumbers w:val="0"/>
              <w:spacing w:line="360" w:lineRule="auto"/>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50</w:t>
            </w:r>
          </w:p>
        </w:tc>
      </w:tr>
    </w:tbl>
    <w:p w14:paraId="1711252C">
      <w:pPr>
        <w:pStyle w:val="3"/>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对于采购人委托成交供应商实施的检验项目，由采购人根据医院公示价格(依据《陕西省医疗服务项目价格(2024版)》制定)向患者或受检者收取检验费，同时采购人根据最终成交结算比例（各项结算单价=收费标准*成交折扣）向成交供应商支付委托检验服务费；如果采购人委托成交供应商实施的检验项目不在《陕西省医疗服务项目价格(2024版)》目录内，采购人应当以成交供应商提供的《检验项目手册》(最新版本)的价格为基础，并根据附表的结算比例向成交供应商支付委托检验服务费；如果陕西省价格主管部门对项目价格政策或价格标准进行调整，则按最新执行价格政策作相应调整。</w:t>
      </w:r>
    </w:p>
    <w:p w14:paraId="4477881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二、</w:t>
      </w:r>
      <w:r>
        <w:rPr>
          <w:rFonts w:hint="eastAsia" w:ascii="仿宋" w:hAnsi="仿宋" w:eastAsia="仿宋" w:cs="仿宋"/>
          <w:b/>
          <w:bCs/>
          <w:color w:val="auto"/>
          <w:sz w:val="28"/>
          <w:szCs w:val="28"/>
          <w:highlight w:val="none"/>
        </w:rPr>
        <w:t>技术要求</w:t>
      </w:r>
    </w:p>
    <w:p w14:paraId="43A55ACC">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实验室要求：通过ISO 15189认可的验室可优先考虑。</w:t>
      </w:r>
    </w:p>
    <w:p w14:paraId="5C07D26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检测方法标准：所有检测项目需严格遵循国家现行有效的标准方法、行业指南（如《临床检验操作规程》）或国际公认标准，确保检测方法的科学性和规范性。</w:t>
      </w:r>
    </w:p>
    <w:p w14:paraId="6093E7B8">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设备与试剂管理：检测所用设备需经法定计量机构校准合格并在有效期内，定期进行维护保养，建立完整的设备台账及运行记录。试剂需选用经国家药品监督管理局（NMPA）批准的合格产品，提供试剂溯源证明、质量合格证书及有效期证明，严格按照试剂说明书要求储存和使用。</w:t>
      </w:r>
    </w:p>
    <w:p w14:paraId="3AE1F53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质量控制体系：建立完善的室内质量控制体系，每日开展常规质控，确保检测结果在控，留存完整的质控记录（包括质控图、失控处理记录等）。定期参加国家或省级临床检验中心组织的室间质评，近 1 年内相关项目室间质评结果需全部合格。</w:t>
      </w:r>
    </w:p>
    <w:p w14:paraId="1D09CC6D">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人员资质：检测人员需具备相应的专业技术资格证书（如临床医学检验技师 / 医师资格证），熟悉所操作项目的检测原理、流程及质量控制要求，定期接受专业技术培训并考核合格。</w:t>
      </w:r>
    </w:p>
    <w:p w14:paraId="70F9A81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三、服务要求</w:t>
      </w:r>
    </w:p>
    <w:p w14:paraId="03DDDA3E">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样本接收与响应</w:t>
      </w:r>
    </w:p>
    <w:p w14:paraId="0883972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1）响应时间：样本送达后2小时内完成接收确认，核对样本信息（样本类型、数量、状态、申请项目等），并通过书面或电子系统反馈接收结果；对于不合格样本，需在 2 小时内通知送检方并说明原因，协商处理方案。</w:t>
      </w:r>
    </w:p>
    <w:p w14:paraId="583192C3">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2）沟通机制：设立专属对接人员，确保工作日内电话咨询 30 分钟内响应，技术问题24小时内给予专业答复。</w:t>
      </w:r>
    </w:p>
    <w:p w14:paraId="5D1A8C73">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检测周期与报告交付</w:t>
      </w:r>
    </w:p>
    <w:p w14:paraId="62327461">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1）血液病流式免疫分型需在样本接收合格后48小时内出具报告。染色体核型分析需在样本接收合格后7个工作日内出具报告（遇培养失败等特殊情况需提前48小时告知送检方）。</w:t>
      </w:r>
    </w:p>
    <w:p w14:paraId="5C06ABAB">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报告形式：提供纸质版和电子版报告（PDF 格式），通过先进的信息管理系统，专业便捷的点对点服务，保证检验报告在第一时间内传输到院方；可实现检验结果在医院LIS网络中查询，提供电话咨询服务。报告内容需完整规范，包括送检信息、检测方法、检测结果、参考范围、结果解释（特检项目需包含专业解读）。</w:t>
      </w:r>
    </w:p>
    <w:p w14:paraId="4613598E">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按照医院要求完成危急值报告，提供危急值清单及报告范围（如有出入按照医院要求调整一致）、危急值报告制度及流程。</w:t>
      </w:r>
    </w:p>
    <w:p w14:paraId="12B2551B">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样本运输与管理</w:t>
      </w:r>
    </w:p>
    <w:p w14:paraId="2B9163FE">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运输要求：严格遵循《病原微生物实验室生物安全管理条例》，采用符合生物安全要求的运输容器（如UN2814类别包装），冷链运输项目需配备温度监控设备（全程温度记录可追溯），确保样本在运输过程中无泄漏、无变质。</w:t>
      </w:r>
    </w:p>
    <w:p w14:paraId="4739361C">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2）样本保存：检测完成后，剩余样本需按规定保存至少 7 天（特殊项目如染色体标本保存30天），保存条件符合要求，逾期按生物安全规范处置并记录。</w:t>
      </w:r>
    </w:p>
    <w:p w14:paraId="1F6B0BD0">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售后与复核</w:t>
      </w:r>
    </w:p>
    <w:p w14:paraId="6C4B170F">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1）报告复核：送检方对检测结果有疑问时，实验室需在收到复核申请后48小时内完成复核，必要时重新检测，复核结果需书面反馈，若因实验室原因导致结果错误，需重新检测并承担相应责任。</w:t>
      </w:r>
    </w:p>
    <w:p w14:paraId="2C4648E8">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2）投诉处理：建立投诉处理机制，收到服务投诉后24小时内响应，3个工作日内提出解决方案并跟进处理，直至问题解决。</w:t>
      </w:r>
    </w:p>
    <w:p w14:paraId="7612835D">
      <w:pPr>
        <w:keepNext w:val="0"/>
        <w:keepLines w:val="0"/>
        <w:pageBreakBefore w:val="0"/>
        <w:widowControl w:val="0"/>
        <w:kinsoku/>
        <w:wordWrap/>
        <w:overflowPunct/>
        <w:topLinePunct w:val="0"/>
        <w:autoSpaceDE/>
        <w:autoSpaceDN/>
        <w:bidi w:val="0"/>
        <w:adjustRightInd/>
        <w:snapToGrid/>
        <w:spacing w:after="0" w:line="520" w:lineRule="exac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四、其他要求</w:t>
      </w:r>
    </w:p>
    <w:p w14:paraId="0A9DDB34">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资质与备案：合作前需向送检方提供完整的资质证明文件（复印件加盖公章），包括营业执照、医疗机构执业许可证、CNAS 认可证书及认可项目清单、相关项目室间质评证书等；合作期间若资质发生变更（如认可范围调整、人员变动），需在变更后3个工作日内书面告知送检方。</w:t>
      </w:r>
    </w:p>
    <w:p w14:paraId="06C07FA9">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保密要求：严格遵守《中华人民共和国个人信息保护法》《医疗机构病历管理规定》等法规，对送检样本涉及的患者信息、检测数据及合作信息承担保密责任，不得向第三方泄露；合作结束后，需按要求销毁或返还所有涉密资料，留存保密承诺书。</w:t>
      </w:r>
    </w:p>
    <w:p w14:paraId="756EFCDE">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质量回顾与沟通：每季度提交质量报告（包括检测合格率、及时率、质控情况等）；每年提供年度服务总结报告，分析存在问题并提出改进措施。</w:t>
      </w:r>
    </w:p>
    <w:p w14:paraId="46AF1F67">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应急保障：检测方需要对实验室的物理环境、实验设备、实验物质、实验人员以及实验过程等进行全面评估，确定可能存在的风险并建立相应急预案，确保在突发情况下 48 小时内恢复检测服务，保障检测连续性。</w:t>
      </w:r>
    </w:p>
    <w:p w14:paraId="78D0F569">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在本地提供基因组学、蛋白组学、代谢组学等检测平台，供</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科研人员开展临床科研检测，满足在本地完成科研工作的需求。</w:t>
      </w:r>
    </w:p>
    <w:p w14:paraId="17C136A3">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每年可以提供不少于15天的针对实验室人员及下级医院或体检中心人员的专业技能和理论培训。</w:t>
      </w:r>
    </w:p>
    <w:p w14:paraId="4423AACC">
      <w:pPr>
        <w:keepNext w:val="0"/>
        <w:keepLines w:val="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委托检验项目目录》可根据采购方临床诊疗需求、院内检验项目开展能力变化实施动态调整。采购方因临床需要新增外送检验项目，或部分项目转为院内自行开展不再委托成交供应商检测时由采购方出具书面变更通知。成交供应商方对新增项目的检测可行性、收费、报告周期予以回复，达成一致后更新项目目录;相关新增项目的价格、结算规则按本合同约定执行。项目目录的修订文件与本合同具备同等法律效力。</w:t>
      </w:r>
    </w:p>
    <w:p w14:paraId="54A0B453">
      <w:pPr>
        <w:bidi w:val="0"/>
        <w:rPr>
          <w:rFonts w:hint="eastAsia" w:ascii="仿宋" w:hAnsi="仿宋" w:eastAsia="仿宋" w:cs="仿宋"/>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7A66E7"/>
    <w:rsid w:val="667A6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99"/>
    <w:pPr>
      <w:keepNext/>
      <w:keepLines/>
      <w:spacing w:before="280" w:beforeLines="0" w:after="290" w:afterLines="0" w:line="376" w:lineRule="auto"/>
      <w:outlineLvl w:val="3"/>
    </w:pPr>
    <w:rPr>
      <w:rFonts w:ascii="Arial" w:hAnsi="Arial" w:eastAsia="黑体"/>
      <w:b/>
      <w:bCs/>
      <w:sz w:val="28"/>
      <w:szCs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3">
    <w:name w:val="Plain Text"/>
    <w:basedOn w:val="1"/>
    <w:qFormat/>
    <w:uiPriority w:val="99"/>
    <w:rPr>
      <w:rFonts w:ascii="宋体" w:hAnsi="Courier New"/>
      <w:szCs w:val="21"/>
    </w:rPr>
  </w:style>
  <w:style w:type="paragraph" w:styleId="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customStyle="1" w:styleId="8">
    <w:name w:val="font31"/>
    <w:basedOn w:val="7"/>
    <w:qFormat/>
    <w:uiPriority w:val="0"/>
    <w:rPr>
      <w:rFonts w:hint="eastAsia" w:ascii="宋体" w:hAnsi="宋体" w:eastAsia="宋体" w:cs="宋体"/>
      <w:color w:val="000000"/>
      <w:sz w:val="20"/>
      <w:szCs w:val="20"/>
      <w:u w:val="none"/>
    </w:rPr>
  </w:style>
  <w:style w:type="character" w:customStyle="1" w:styleId="9">
    <w:name w:val="font51"/>
    <w:basedOn w:val="7"/>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2026-09-21T06:09:00Z</dcterms:created>
  <dc:creator>puppet</dc:creator>
  <cp:lastModifiedBy>puppet</cp:lastModifiedBy>
  <dcterms:modified xsi:type="dcterms:W3CDTF">2026-09-21T06:14:42Z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6B324C32C5534138993B3D32609D404A_11</vt:lpwstr>
  </property>
  <property fmtid="{D5CDD505-2E9C-101B-9397-08002B2CF9AE}" pid="4" name="KSOTemplateDocerSaveRecord">
    <vt:lpwstr>eyJoZGlkIjoiMjkxNWJmNmM2NmE2Zjg4OWUwY2RmMzAyMjEyYjI5YTIiLCJ1c2VySWQiOiI2NjUzNDI1ODcifQ==</vt:lpwstr>
  </property>
</Properties>
</file>