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版本号：LWQZFCG2026-005.1B120260813001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临渭区中小学设备更新项目(二次)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LWQZFCG2026-005.1B1</w:t>
      </w:r>
      <w:r>
        <w:br/>
      </w:r>
      <w:r>
        <w:br/>
      </w:r>
      <w:r>
        <w:br/>
      </w:r>
    </w:p>
    <w:p>
      <w:pPr>
        <w:pStyle w:val="null3"/>
        <w:jc w:val="center"/>
        <w:outlineLvl w:val="2"/>
      </w:pPr>
      <w:r>
        <w:rPr>
          <w:rFonts w:ascii="仿宋_GB2312" w:hAnsi="仿宋_GB2312" w:cs="仿宋_GB2312" w:eastAsia="仿宋_GB2312"/>
          <w:sz w:val="28"/>
          <w:b/>
        </w:rPr>
        <w:t>渭南市临渭区教育体育局</w:t>
      </w:r>
    </w:p>
    <w:p>
      <w:pPr>
        <w:pStyle w:val="null3"/>
        <w:jc w:val="center"/>
        <w:outlineLvl w:val="2"/>
      </w:pPr>
      <w:r>
        <w:rPr>
          <w:rFonts w:ascii="仿宋_GB2312" w:hAnsi="仿宋_GB2312" w:cs="仿宋_GB2312" w:eastAsia="仿宋_GB2312"/>
          <w:sz w:val="28"/>
          <w:b/>
        </w:rPr>
        <w:t>临渭区政府采购中心</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2026年08月13日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临渭区政府采购中心</w:t>
      </w:r>
      <w:r>
        <w:rPr>
          <w:rFonts w:ascii="仿宋_GB2312" w:hAnsi="仿宋_GB2312" w:cs="仿宋_GB2312" w:eastAsia="仿宋_GB2312"/>
        </w:rPr>
        <w:t>（以下简称“代理机构”）受</w:t>
      </w:r>
      <w:r>
        <w:rPr>
          <w:rFonts w:ascii="仿宋_GB2312" w:hAnsi="仿宋_GB2312" w:cs="仿宋_GB2312" w:eastAsia="仿宋_GB2312"/>
        </w:rPr>
        <w:t>渭南市临渭区教育体育局</w:t>
      </w:r>
      <w:r>
        <w:rPr>
          <w:rFonts w:ascii="仿宋_GB2312" w:hAnsi="仿宋_GB2312" w:cs="仿宋_GB2312" w:eastAsia="仿宋_GB2312"/>
        </w:rPr>
        <w:t>委托，拟对</w:t>
      </w:r>
      <w:r>
        <w:rPr>
          <w:rFonts w:ascii="仿宋_GB2312" w:hAnsi="仿宋_GB2312" w:cs="仿宋_GB2312" w:eastAsia="仿宋_GB2312"/>
        </w:rPr>
        <w:t>临渭区中小学设备更新项目(二次)</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LWQZFCG2026-005.1B1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临渭区中小学设备更新项目(二次)</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进一步提升我区中小学办学条件，推进学校基础设施扩优提质和义务教育优质均衡创建。满足学生学习和教师教学及办公需求，提高教学水平，采购一批符合国家法律规定及相关质量标准的教学电脑、智慧黑板、课桌椅等设备。</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1、营业执照：具有独立承担民事责任能力的法人、其他组织或自然人，提供合法注册的法人或者其他组织的营业执照等证明文件、自然人的身份证明；</w:t>
      </w:r>
    </w:p>
    <w:p>
      <w:pPr>
        <w:pStyle w:val="null3"/>
      </w:pPr>
      <w:r>
        <w:rPr>
          <w:rFonts w:ascii="仿宋_GB2312" w:hAnsi="仿宋_GB2312" w:cs="仿宋_GB2312" w:eastAsia="仿宋_GB2312"/>
        </w:rPr>
        <w:t>2、财务状况报告：提供具有财务审计资质单位出具的2025年度财务审计报告（成立时间至开标时间不足一年的可提供成立后任意时段的资产负债表）或开标前六个月内其基本账户银行出具的资信证明（附开户许可证或基本账户证明）或政府采购信用担保机构出具的投标担保函；</w:t>
      </w:r>
    </w:p>
    <w:p>
      <w:pPr>
        <w:pStyle w:val="null3"/>
      </w:pPr>
      <w:r>
        <w:rPr>
          <w:rFonts w:ascii="仿宋_GB2312" w:hAnsi="仿宋_GB2312" w:cs="仿宋_GB2312" w:eastAsia="仿宋_GB2312"/>
        </w:rPr>
        <w:t>3、税收缴纳证明：提供截止至开标时间前一年内任意一个月已缴纳的纳税证明或完税证明（包含增值税、企业所得税、营业税至少一种）；（依法免税的投标人应提供相关文件证明）</w:t>
      </w:r>
    </w:p>
    <w:p>
      <w:pPr>
        <w:pStyle w:val="null3"/>
      </w:pPr>
      <w:r>
        <w:rPr>
          <w:rFonts w:ascii="仿宋_GB2312" w:hAnsi="仿宋_GB2312" w:cs="仿宋_GB2312" w:eastAsia="仿宋_GB2312"/>
        </w:rPr>
        <w:t>4、社会保障资金缴纳证明：提供截止至开标时间前一年内任意一个月已缴纳的社保缴费凭据或社保机构开具的社会保险参保缴费情况证明；（依法不需要缴纳社会保障资金的投标人应提供相关证明）</w:t>
      </w:r>
    </w:p>
    <w:p>
      <w:pPr>
        <w:pStyle w:val="null3"/>
      </w:pPr>
      <w:r>
        <w:rPr>
          <w:rFonts w:ascii="仿宋_GB2312" w:hAnsi="仿宋_GB2312" w:cs="仿宋_GB2312" w:eastAsia="仿宋_GB2312"/>
        </w:rPr>
        <w:t>5、具有履行本合同所必需的设备和专业技术能力的说明及承诺：提供具有履行本合同所必需的设备和专业技术能力的说明及承诺；（格式自拟，加盖投标人公章）</w:t>
      </w:r>
    </w:p>
    <w:p>
      <w:pPr>
        <w:pStyle w:val="null3"/>
      </w:pPr>
      <w:r>
        <w:rPr>
          <w:rFonts w:ascii="仿宋_GB2312" w:hAnsi="仿宋_GB2312" w:cs="仿宋_GB2312" w:eastAsia="仿宋_GB2312"/>
        </w:rPr>
        <w:t>6、参加政府采购活动前三年内在经营活动中没有重大违法记录的书面声明：提供参加政府采购活动前三年内在经营活动中没有重大违法记录的书面声明；（格式自拟，加盖投标人公章）</w:t>
      </w:r>
    </w:p>
    <w:p>
      <w:pPr>
        <w:pStyle w:val="null3"/>
      </w:pPr>
      <w:r>
        <w:rPr>
          <w:rFonts w:ascii="仿宋_GB2312" w:hAnsi="仿宋_GB2312" w:cs="仿宋_GB2312" w:eastAsia="仿宋_GB2312"/>
        </w:rPr>
        <w:t>7、法定代表人或负责人资格证明书：法定代表人或负责人参与投标时需提供法定代表人或负责人资格证明书；（附法定代表人或负责人身份证复印件）</w:t>
      </w:r>
    </w:p>
    <w:p>
      <w:pPr>
        <w:pStyle w:val="null3"/>
      </w:pPr>
      <w:r>
        <w:rPr>
          <w:rFonts w:ascii="仿宋_GB2312" w:hAnsi="仿宋_GB2312" w:cs="仿宋_GB2312" w:eastAsia="仿宋_GB2312"/>
        </w:rPr>
        <w:t>8、法定代表人或负责人授权委托书：被授权人参与投标时需提供法定代表人或负责人授权委托书；（附法定代表人或负责人及被授权人身份证复印件）</w:t>
      </w:r>
    </w:p>
    <w:p>
      <w:pPr>
        <w:pStyle w:val="null3"/>
      </w:pPr>
      <w:r>
        <w:rPr>
          <w:rFonts w:ascii="仿宋_GB2312" w:hAnsi="仿宋_GB2312" w:cs="仿宋_GB2312" w:eastAsia="仿宋_GB2312"/>
        </w:rPr>
        <w:t>9、信用查询：投标人不得为“信用中国”网站（www.creditchina.gov.cn）中列入失信被执行人和重大税收违法案件当事人名单的投标人，不得为中国政府采购网（www.ccgp.gov.cn）政府采购严重违法失信行为记录名单中被财政部门禁止参加政府采购活动的投标人；</w:t>
      </w:r>
    </w:p>
    <w:p>
      <w:pPr>
        <w:pStyle w:val="null3"/>
      </w:pPr>
      <w:r>
        <w:rPr>
          <w:rFonts w:ascii="仿宋_GB2312" w:hAnsi="仿宋_GB2312" w:cs="仿宋_GB2312" w:eastAsia="仿宋_GB2312"/>
        </w:rPr>
        <w:t>10、单位负责人为同一人或者存在直接控股、管理关系的不同投标人，不得参加同一合同项下的政府采购活动：单位负责人为同一人或者存在直接控股、管理关系的不同投标人，不得参加同一合同项下的政府采购活动；（提供书面承诺函，格式自拟加盖投标人公章）</w:t>
      </w:r>
    </w:p>
    <w:p>
      <w:pPr>
        <w:pStyle w:val="null3"/>
      </w:pPr>
      <w:r>
        <w:rPr>
          <w:rFonts w:ascii="仿宋_GB2312" w:hAnsi="仿宋_GB2312" w:cs="仿宋_GB2312" w:eastAsia="仿宋_GB2312"/>
        </w:rPr>
        <w:t>11、本项目不接受联合体投标：本项目不接受联合体投标。（提供书面承诺函，格式自拟加盖投标人公章）</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渭南市临渭区教育体育局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渭南市西四路南段</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姜飞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0913-2669032</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临渭区政府采购中心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临渭区财政局乐天大街123号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临渭区政府采购中心</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0913-2130883</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渭南市临渭区政府采购管理股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渭南市临渭区政府采购管理股经办</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0913-2130873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采购包1：7,000,000.00元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本项目不收取代理服务费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渭南市临渭区教育体育局</w:t>
      </w:r>
      <w:r>
        <w:rPr>
          <w:rFonts w:ascii="仿宋_GB2312" w:hAnsi="仿宋_GB2312" w:cs="仿宋_GB2312" w:eastAsia="仿宋_GB2312"/>
        </w:rPr>
        <w:t>和</w:t>
      </w:r>
      <w:r>
        <w:rPr>
          <w:rFonts w:ascii="仿宋_GB2312" w:hAnsi="仿宋_GB2312" w:cs="仿宋_GB2312" w:eastAsia="仿宋_GB2312"/>
        </w:rPr>
        <w:t>临渭区政府采购中心</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渭南市临渭区教育体育局</w:t>
      </w:r>
      <w:r>
        <w:rPr>
          <w:rFonts w:ascii="仿宋_GB2312" w:hAnsi="仿宋_GB2312" w:cs="仿宋_GB2312" w:eastAsia="仿宋_GB2312"/>
        </w:rPr>
        <w:t>负责解释。除上述招标文件内容，其他内容由</w:t>
      </w:r>
      <w:r>
        <w:rPr>
          <w:rFonts w:ascii="仿宋_GB2312" w:hAnsi="仿宋_GB2312" w:cs="仿宋_GB2312" w:eastAsia="仿宋_GB2312"/>
        </w:rPr>
        <w:t>临渭区政府采购中心</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渭南市临渭区教育体育局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临渭区政府采购中心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 xml:space="preserve"> /</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渭南市临渭区教育体育局</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临渭区政府采购中心</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临渭区政府采购中心</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联系人：临渭区政府采购中心</w:t>
      </w:r>
    </w:p>
    <w:p>
      <w:pPr>
        <w:pStyle w:val="null3"/>
      </w:pPr>
      <w:r>
        <w:rPr>
          <w:rFonts w:ascii="仿宋_GB2312" w:hAnsi="仿宋_GB2312" w:cs="仿宋_GB2312" w:eastAsia="仿宋_GB2312"/>
        </w:rPr>
        <w:t>联系电话：0913-2130883</w:t>
      </w:r>
    </w:p>
    <w:p>
      <w:pPr>
        <w:pStyle w:val="null3"/>
      </w:pPr>
      <w:r>
        <w:rPr>
          <w:rFonts w:ascii="仿宋_GB2312" w:hAnsi="仿宋_GB2312" w:cs="仿宋_GB2312" w:eastAsia="仿宋_GB2312"/>
        </w:rPr>
        <w:t>地址：临渭区财政局乐天大街123号</w:t>
      </w:r>
    </w:p>
    <w:p>
      <w:pPr>
        <w:pStyle w:val="null3"/>
      </w:pPr>
      <w:r>
        <w:rPr>
          <w:rFonts w:ascii="仿宋_GB2312" w:hAnsi="仿宋_GB2312" w:cs="仿宋_GB2312" w:eastAsia="仿宋_GB2312"/>
        </w:rPr>
        <w:t>邮编：714000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进一步提升我区中小学办学条件，推进学校基础设施扩优提质和义务教育优质均衡创建。满足学生学习和教师教学及办公需求，提高教学水平，采购一批符合国家法律规定及相关质量标准的教学电脑、智慧黑板、课桌椅等设备。</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7,000,000.00</w:t>
      </w:r>
    </w:p>
    <w:p>
      <w:pPr>
        <w:pStyle w:val="null3"/>
      </w:pPr>
      <w:r>
        <w:rPr>
          <w:rFonts w:ascii="仿宋_GB2312" w:hAnsi="仿宋_GB2312" w:cs="仿宋_GB2312" w:eastAsia="仿宋_GB2312"/>
        </w:rPr>
        <w:t>采购包最高限价（元）: 7,000,000.00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智慧黑板</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2,322,000.00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2</w:t>
            </w:r>
          </w:p>
        </w:tc>
        <w:tc>
          <w:tcPr>
            <w:tcW w:type="dxa" w:w="755"/>
          </w:tcPr>
          <w:p>
            <w:pPr>
              <w:pStyle w:val="null3"/>
            </w:pPr>
            <w:r>
              <w:rPr>
                <w:rFonts w:ascii="仿宋_GB2312" w:hAnsi="仿宋_GB2312" w:cs="仿宋_GB2312" w:eastAsia="仿宋_GB2312"/>
              </w:rPr>
              <w:t>计算机</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2,882,000.00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3</w:t>
            </w:r>
          </w:p>
        </w:tc>
        <w:tc>
          <w:tcPr>
            <w:tcW w:type="dxa" w:w="755"/>
          </w:tcPr>
          <w:p>
            <w:pPr>
              <w:pStyle w:val="null3"/>
            </w:pPr>
            <w:r>
              <w:rPr>
                <w:rFonts w:ascii="仿宋_GB2312" w:hAnsi="仿宋_GB2312" w:cs="仿宋_GB2312" w:eastAsia="仿宋_GB2312"/>
              </w:rPr>
              <w:t>课桌椅</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1,036,000.00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4</w:t>
            </w:r>
          </w:p>
        </w:tc>
        <w:tc>
          <w:tcPr>
            <w:tcW w:type="dxa" w:w="755"/>
          </w:tcPr>
          <w:p>
            <w:pPr>
              <w:pStyle w:val="null3"/>
            </w:pPr>
            <w:r>
              <w:rPr>
                <w:rFonts w:ascii="仿宋_GB2312" w:hAnsi="仿宋_GB2312" w:cs="仿宋_GB2312" w:eastAsia="仿宋_GB2312"/>
              </w:rPr>
              <w:t>可午休课桌椅</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760,000.00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标的名称：智慧黑板</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tbl>
            <w:tblPr>
              <w:tblBorders>
                <w:top w:val="none" w:color="000000" w:sz="4"/>
                <w:left w:val="none" w:color="000000" w:sz="4"/>
                <w:bottom w:val="none" w:color="000000" w:sz="4"/>
                <w:right w:val="none" w:color="000000" w:sz="4"/>
                <w:insideH w:val="none"/>
                <w:insideV w:val="none"/>
              </w:tblBorders>
            </w:tblPr>
            <w:tblGrid>
              <w:gridCol w:w="208"/>
              <w:gridCol w:w="1694"/>
              <w:gridCol w:w="372"/>
              <w:gridCol w:w="272"/>
            </w:tblGrid>
            <w:tr>
              <w:tc>
                <w:tcPr>
                  <w:tcW w:type="dxa" w:w="20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名称</w:t>
                  </w:r>
                </w:p>
              </w:tc>
              <w:tc>
                <w:tcPr>
                  <w:tcW w:type="dxa" w:w="169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规格参数</w:t>
                  </w:r>
                </w:p>
              </w:tc>
              <w:tc>
                <w:tcPr>
                  <w:tcW w:type="dxa" w:w="37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数量</w:t>
                  </w:r>
                </w:p>
              </w:tc>
              <w:tc>
                <w:tcPr>
                  <w:tcW w:type="dxa" w:w="27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单位</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智慧黑板（核心产品）</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1.采用</w:t>
                  </w:r>
                  <w:r>
                    <w:rPr>
                      <w:rFonts w:ascii="仿宋_GB2312" w:hAnsi="仿宋_GB2312" w:cs="仿宋_GB2312" w:eastAsia="仿宋_GB2312"/>
                      <w:sz w:val="24"/>
                    </w:rPr>
                    <w:t>三拼接</w:t>
                  </w:r>
                  <w:r>
                    <w:rPr>
                      <w:rFonts w:ascii="仿宋_GB2312" w:hAnsi="仿宋_GB2312" w:cs="仿宋_GB2312" w:eastAsia="仿宋_GB2312"/>
                      <w:sz w:val="24"/>
                    </w:rPr>
                    <w:t>一体化</w:t>
                  </w:r>
                  <w:r>
                    <w:rPr>
                      <w:rFonts w:ascii="仿宋_GB2312" w:hAnsi="仿宋_GB2312" w:cs="仿宋_GB2312" w:eastAsia="仿宋_GB2312"/>
                      <w:sz w:val="24"/>
                    </w:rPr>
                    <w:t>设计，</w:t>
                  </w:r>
                  <w:r>
                    <w:rPr>
                      <w:rFonts w:ascii="仿宋_GB2312" w:hAnsi="仿宋_GB2312" w:cs="仿宋_GB2312" w:eastAsia="仿宋_GB2312"/>
                      <w:sz w:val="24"/>
                    </w:rPr>
                    <w:t>整机</w:t>
                  </w:r>
                  <w:r>
                    <w:rPr>
                      <w:rFonts w:ascii="仿宋_GB2312" w:hAnsi="仿宋_GB2312" w:cs="仿宋_GB2312" w:eastAsia="仿宋_GB2312"/>
                      <w:sz w:val="24"/>
                    </w:rPr>
                    <w:t>外观尺寸：宽</w:t>
                  </w:r>
                  <w:r>
                    <w:rPr>
                      <w:rFonts w:ascii="仿宋_GB2312" w:hAnsi="仿宋_GB2312" w:cs="仿宋_GB2312" w:eastAsia="仿宋_GB2312"/>
                      <w:sz w:val="24"/>
                    </w:rPr>
                    <w:t>≥4200mm，高≥1200mm</w:t>
                  </w:r>
                  <w:r>
                    <w:rPr>
                      <w:rFonts w:ascii="仿宋_GB2312" w:hAnsi="仿宋_GB2312" w:cs="仿宋_GB2312" w:eastAsia="仿宋_GB2312"/>
                      <w:sz w:val="24"/>
                    </w:rPr>
                    <w:t>，</w:t>
                  </w:r>
                  <w:r>
                    <w:rPr>
                      <w:rFonts w:ascii="仿宋_GB2312" w:hAnsi="仿宋_GB2312" w:cs="仿宋_GB2312" w:eastAsia="仿宋_GB2312"/>
                      <w:sz w:val="24"/>
                    </w:rPr>
                    <w:t>厚</w:t>
                  </w:r>
                  <w:r>
                    <w:rPr>
                      <w:rFonts w:ascii="仿宋_GB2312" w:hAnsi="仿宋_GB2312" w:cs="仿宋_GB2312" w:eastAsia="仿宋_GB2312"/>
                      <w:sz w:val="24"/>
                    </w:rPr>
                    <w:t>≤120mm。</w:t>
                  </w:r>
                </w:p>
                <w:p>
                  <w:pPr>
                    <w:pStyle w:val="null3"/>
                    <w:jc w:val="both"/>
                  </w:pPr>
                  <w:r>
                    <w:rPr>
                      <w:rFonts w:ascii="仿宋_GB2312" w:hAnsi="仿宋_GB2312" w:cs="仿宋_GB2312" w:eastAsia="仿宋_GB2312"/>
                      <w:sz w:val="24"/>
                    </w:rPr>
                    <w:t>2.整机内置背光增光膜，提升屏幕亮度均匀性。</w:t>
                  </w:r>
                </w:p>
                <w:p>
                  <w:pPr>
                    <w:pStyle w:val="null3"/>
                    <w:jc w:val="both"/>
                  </w:pPr>
                  <w:r>
                    <w:rPr>
                      <w:rFonts w:ascii="仿宋_GB2312" w:hAnsi="仿宋_GB2312" w:cs="仿宋_GB2312" w:eastAsia="仿宋_GB2312"/>
                      <w:sz w:val="24"/>
                    </w:rPr>
                    <w:t>3.▲</w:t>
                  </w:r>
                  <w:r>
                    <w:rPr>
                      <w:rFonts w:ascii="仿宋_GB2312" w:hAnsi="仿宋_GB2312" w:cs="仿宋_GB2312" w:eastAsia="仿宋_GB2312"/>
                      <w:sz w:val="24"/>
                    </w:rPr>
                    <w:t>嵌入式系统版本</w:t>
                  </w:r>
                  <w:r>
                    <w:rPr>
                      <w:rFonts w:ascii="仿宋_GB2312" w:hAnsi="仿宋_GB2312" w:cs="仿宋_GB2312" w:eastAsia="仿宋_GB2312"/>
                      <w:sz w:val="24"/>
                    </w:rPr>
                    <w:t>≥ Android 1</w:t>
                  </w:r>
                  <w:r>
                    <w:rPr>
                      <w:rFonts w:ascii="仿宋_GB2312" w:hAnsi="仿宋_GB2312" w:cs="仿宋_GB2312" w:eastAsia="仿宋_GB2312"/>
                      <w:sz w:val="24"/>
                    </w:rPr>
                    <w:t>5</w:t>
                  </w:r>
                  <w:r>
                    <w:rPr>
                      <w:rFonts w:ascii="仿宋_GB2312" w:hAnsi="仿宋_GB2312" w:cs="仿宋_GB2312" w:eastAsia="仿宋_GB2312"/>
                      <w:sz w:val="24"/>
                    </w:rPr>
                    <w:t xml:space="preserve"> </w:t>
                  </w:r>
                  <w:r>
                    <w:rPr>
                      <w:rFonts w:ascii="仿宋_GB2312" w:hAnsi="仿宋_GB2312" w:cs="仿宋_GB2312" w:eastAsia="仿宋_GB2312"/>
                      <w:sz w:val="24"/>
                    </w:rPr>
                    <w:t>代。</w:t>
                  </w:r>
                </w:p>
                <w:p>
                  <w:pPr>
                    <w:pStyle w:val="null3"/>
                    <w:jc w:val="both"/>
                  </w:pPr>
                  <w:r>
                    <w:rPr>
                      <w:rFonts w:ascii="仿宋_GB2312" w:hAnsi="仿宋_GB2312" w:cs="仿宋_GB2312" w:eastAsia="仿宋_GB2312"/>
                      <w:sz w:val="24"/>
                    </w:rPr>
                    <w:t>4.</w:t>
                  </w:r>
                  <w:r>
                    <w:rPr>
                      <w:rFonts w:ascii="仿宋_GB2312" w:hAnsi="仿宋_GB2312" w:cs="仿宋_GB2312" w:eastAsia="仿宋_GB2312"/>
                      <w:sz w:val="24"/>
                    </w:rPr>
                    <w:t>副屏支持多种</w:t>
                  </w:r>
                  <w:r>
                    <w:rPr>
                      <w:rFonts w:ascii="仿宋_GB2312" w:hAnsi="仿宋_GB2312" w:cs="仿宋_GB2312" w:eastAsia="仿宋_GB2312"/>
                      <w:sz w:val="24"/>
                    </w:rPr>
                    <w:t>书写</w:t>
                  </w:r>
                  <w:r>
                    <w:rPr>
                      <w:rFonts w:ascii="仿宋_GB2312" w:hAnsi="仿宋_GB2312" w:cs="仿宋_GB2312" w:eastAsia="仿宋_GB2312"/>
                      <w:sz w:val="24"/>
                    </w:rPr>
                    <w:t>媒介</w:t>
                  </w:r>
                  <w:r>
                    <w:rPr>
                      <w:rFonts w:ascii="仿宋_GB2312" w:hAnsi="仿宋_GB2312" w:cs="仿宋_GB2312" w:eastAsia="仿宋_GB2312"/>
                      <w:sz w:val="24"/>
                    </w:rPr>
                    <w:t>，</w:t>
                  </w:r>
                  <w:r>
                    <w:rPr>
                      <w:rFonts w:ascii="仿宋_GB2312" w:hAnsi="仿宋_GB2312" w:cs="仿宋_GB2312" w:eastAsia="仿宋_GB2312"/>
                      <w:sz w:val="24"/>
                    </w:rPr>
                    <w:t>如</w:t>
                  </w:r>
                  <w:r>
                    <w:rPr>
                      <w:rFonts w:ascii="仿宋_GB2312" w:hAnsi="仿宋_GB2312" w:cs="仿宋_GB2312" w:eastAsia="仿宋_GB2312"/>
                      <w:sz w:val="24"/>
                    </w:rPr>
                    <w:t>液体粉笔、水溶性粉笔</w:t>
                  </w:r>
                  <w:r>
                    <w:rPr>
                      <w:rFonts w:ascii="仿宋_GB2312" w:hAnsi="仿宋_GB2312" w:cs="仿宋_GB2312" w:eastAsia="仿宋_GB2312"/>
                      <w:sz w:val="24"/>
                    </w:rPr>
                    <w:t>等</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5.</w:t>
                  </w:r>
                  <w:r>
                    <w:rPr>
                      <w:rFonts w:ascii="仿宋_GB2312" w:hAnsi="仿宋_GB2312" w:cs="仿宋_GB2312" w:eastAsia="仿宋_GB2312"/>
                      <w:sz w:val="24"/>
                    </w:rPr>
                    <w:t>副屏支持磁吸附功能。</w:t>
                  </w:r>
                </w:p>
                <w:p>
                  <w:pPr>
                    <w:pStyle w:val="null3"/>
                    <w:jc w:val="both"/>
                  </w:pPr>
                  <w:r>
                    <w:rPr>
                      <w:rFonts w:ascii="仿宋_GB2312" w:hAnsi="仿宋_GB2312" w:cs="仿宋_GB2312" w:eastAsia="仿宋_GB2312"/>
                      <w:sz w:val="24"/>
                    </w:rPr>
                    <w:t>6.</w:t>
                  </w:r>
                  <w:r>
                    <w:rPr>
                      <w:rFonts w:ascii="仿宋_GB2312" w:hAnsi="仿宋_GB2312" w:cs="仿宋_GB2312" w:eastAsia="仿宋_GB2312"/>
                      <w:sz w:val="24"/>
                    </w:rPr>
                    <w:t>屏幕图像分辨率</w:t>
                  </w:r>
                  <w:r>
                    <w:rPr>
                      <w:rFonts w:ascii="仿宋_GB2312" w:hAnsi="仿宋_GB2312" w:cs="仿宋_GB2312" w:eastAsia="仿宋_GB2312"/>
                      <w:sz w:val="24"/>
                    </w:rPr>
                    <w:t>≥3840*2160。</w:t>
                  </w:r>
                </w:p>
                <w:p>
                  <w:pPr>
                    <w:pStyle w:val="null3"/>
                    <w:jc w:val="both"/>
                  </w:pPr>
                  <w:r>
                    <w:rPr>
                      <w:rFonts w:ascii="仿宋_GB2312" w:hAnsi="仿宋_GB2312" w:cs="仿宋_GB2312" w:eastAsia="仿宋_GB2312"/>
                      <w:sz w:val="24"/>
                    </w:rPr>
                    <w:t>7.</w:t>
                  </w:r>
                  <w:r>
                    <w:rPr>
                      <w:rFonts w:ascii="仿宋_GB2312" w:hAnsi="仿宋_GB2312" w:cs="仿宋_GB2312" w:eastAsia="仿宋_GB2312"/>
                      <w:sz w:val="24"/>
                    </w:rPr>
                    <w:t>整机采用硬件低蓝光背光技术。</w:t>
                  </w:r>
                </w:p>
                <w:p>
                  <w:pPr>
                    <w:pStyle w:val="null3"/>
                    <w:jc w:val="both"/>
                  </w:pPr>
                  <w:r>
                    <w:rPr>
                      <w:rFonts w:ascii="仿宋_GB2312" w:hAnsi="仿宋_GB2312" w:cs="仿宋_GB2312" w:eastAsia="仿宋_GB2312"/>
                      <w:sz w:val="24"/>
                    </w:rPr>
                    <w:t>8.</w:t>
                  </w:r>
                  <w:r>
                    <w:rPr>
                      <w:rFonts w:ascii="仿宋_GB2312" w:hAnsi="仿宋_GB2312" w:cs="仿宋_GB2312" w:eastAsia="仿宋_GB2312"/>
                      <w:sz w:val="24"/>
                    </w:rPr>
                    <w:t>整</w:t>
                  </w:r>
                  <w:r>
                    <w:rPr>
                      <w:rFonts w:ascii="仿宋_GB2312" w:hAnsi="仿宋_GB2312" w:cs="仿宋_GB2312" w:eastAsia="仿宋_GB2312"/>
                      <w:sz w:val="24"/>
                    </w:rPr>
                    <w:t>机扬声器</w:t>
                  </w:r>
                  <w:r>
                    <w:rPr>
                      <w:rFonts w:ascii="仿宋_GB2312" w:hAnsi="仿宋_GB2312" w:cs="仿宋_GB2312" w:eastAsia="仿宋_GB2312"/>
                      <w:sz w:val="24"/>
                    </w:rPr>
                    <w:t>支持左右声道平衡，</w:t>
                  </w:r>
                  <w:r>
                    <w:rPr>
                      <w:rFonts w:ascii="仿宋_GB2312" w:hAnsi="仿宋_GB2312" w:cs="仿宋_GB2312" w:eastAsia="仿宋_GB2312"/>
                      <w:sz w:val="24"/>
                    </w:rPr>
                    <w:t>支持频</w:t>
                  </w:r>
                  <w:r>
                    <w:rPr>
                      <w:rFonts w:ascii="仿宋_GB2312" w:hAnsi="仿宋_GB2312" w:cs="仿宋_GB2312" w:eastAsia="仿宋_GB2312"/>
                      <w:sz w:val="24"/>
                    </w:rPr>
                    <w:t>段范围</w:t>
                  </w:r>
                  <w:r>
                    <w:rPr>
                      <w:rFonts w:ascii="仿宋_GB2312" w:hAnsi="仿宋_GB2312" w:cs="仿宋_GB2312" w:eastAsia="仿宋_GB2312"/>
                      <w:sz w:val="24"/>
                    </w:rPr>
                    <w:t>调节</w:t>
                  </w:r>
                  <w:r>
                    <w:rPr>
                      <w:rFonts w:ascii="仿宋_GB2312" w:hAnsi="仿宋_GB2312" w:cs="仿宋_GB2312" w:eastAsia="仿宋_GB2312"/>
                      <w:sz w:val="24"/>
                    </w:rPr>
                    <w:t>等音效设置。</w:t>
                  </w:r>
                </w:p>
                <w:p>
                  <w:pPr>
                    <w:pStyle w:val="null3"/>
                    <w:jc w:val="both"/>
                  </w:pPr>
                  <w:r>
                    <w:rPr>
                      <w:rFonts w:ascii="仿宋_GB2312" w:hAnsi="仿宋_GB2312" w:cs="仿宋_GB2312" w:eastAsia="仿宋_GB2312"/>
                      <w:sz w:val="24"/>
                    </w:rPr>
                    <w:t>9.</w:t>
                  </w:r>
                  <w:r>
                    <w:rPr>
                      <w:rFonts w:ascii="仿宋_GB2312" w:hAnsi="仿宋_GB2312" w:cs="仿宋_GB2312" w:eastAsia="仿宋_GB2312"/>
                      <w:sz w:val="24"/>
                    </w:rPr>
                    <w:t>支持将设备屏幕降低为半屏幕</w:t>
                  </w:r>
                  <w:r>
                    <w:rPr>
                      <w:rFonts w:ascii="仿宋_GB2312" w:hAnsi="仿宋_GB2312" w:cs="仿宋_GB2312" w:eastAsia="仿宋_GB2312"/>
                      <w:sz w:val="24"/>
                    </w:rPr>
                    <w:t>显示</w:t>
                  </w:r>
                  <w:r>
                    <w:rPr>
                      <w:rFonts w:ascii="仿宋_GB2312" w:hAnsi="仿宋_GB2312" w:cs="仿宋_GB2312" w:eastAsia="仿宋_GB2312"/>
                      <w:sz w:val="24"/>
                    </w:rPr>
                    <w:t>状态。</w:t>
                  </w:r>
                </w:p>
                <w:p>
                  <w:pPr>
                    <w:pStyle w:val="null3"/>
                    <w:jc w:val="both"/>
                  </w:pPr>
                  <w:r>
                    <w:rPr>
                      <w:rFonts w:ascii="仿宋_GB2312" w:hAnsi="仿宋_GB2312" w:cs="仿宋_GB2312" w:eastAsia="仿宋_GB2312"/>
                      <w:sz w:val="24"/>
                    </w:rPr>
                    <w:t>10.整机表面玻璃</w:t>
                  </w:r>
                  <w:r>
                    <w:rPr>
                      <w:rFonts w:ascii="仿宋_GB2312" w:hAnsi="仿宋_GB2312" w:cs="仿宋_GB2312" w:eastAsia="仿宋_GB2312"/>
                      <w:sz w:val="24"/>
                    </w:rPr>
                    <w:t>硬度</w:t>
                  </w:r>
                  <w:r>
                    <w:rPr>
                      <w:rFonts w:ascii="仿宋_GB2312" w:hAnsi="仿宋_GB2312" w:cs="仿宋_GB2312" w:eastAsia="仿宋_GB2312"/>
                      <w:sz w:val="24"/>
                    </w:rPr>
                    <w:t>≥</w:t>
                  </w:r>
                  <w:r>
                    <w:rPr>
                      <w:rFonts w:ascii="仿宋_GB2312" w:hAnsi="仿宋_GB2312" w:cs="仿宋_GB2312" w:eastAsia="仿宋_GB2312"/>
                      <w:sz w:val="24"/>
                    </w:rPr>
                    <w:t>8</w:t>
                  </w:r>
                  <w:r>
                    <w:rPr>
                      <w:rFonts w:ascii="仿宋_GB2312" w:hAnsi="仿宋_GB2312" w:cs="仿宋_GB2312" w:eastAsia="仿宋_GB2312"/>
                      <w:sz w:val="24"/>
                    </w:rPr>
                    <w:t>H。</w:t>
                  </w:r>
                </w:p>
                <w:p>
                  <w:pPr>
                    <w:pStyle w:val="null3"/>
                    <w:jc w:val="both"/>
                  </w:pPr>
                  <w:r>
                    <w:rPr>
                      <w:rFonts w:ascii="仿宋_GB2312" w:hAnsi="仿宋_GB2312" w:cs="仿宋_GB2312" w:eastAsia="仿宋_GB2312"/>
                      <w:sz w:val="24"/>
                    </w:rPr>
                    <w:t>11.</w:t>
                  </w:r>
                  <w:r>
                    <w:rPr>
                      <w:rFonts w:ascii="仿宋_GB2312" w:hAnsi="仿宋_GB2312" w:cs="仿宋_GB2312" w:eastAsia="仿宋_GB2312"/>
                      <w:sz w:val="24"/>
                    </w:rPr>
                    <w:t>整机背光系统支持</w:t>
                  </w:r>
                  <w:r>
                    <w:rPr>
                      <w:rFonts w:ascii="仿宋_GB2312" w:hAnsi="仿宋_GB2312" w:cs="仿宋_GB2312" w:eastAsia="仿宋_GB2312"/>
                      <w:sz w:val="24"/>
                    </w:rPr>
                    <w:t>DC 调光方式，多级亮度调节。</w:t>
                  </w:r>
                </w:p>
                <w:p>
                  <w:pPr>
                    <w:pStyle w:val="null3"/>
                    <w:jc w:val="both"/>
                  </w:pPr>
                  <w:r>
                    <w:rPr>
                      <w:rFonts w:ascii="仿宋_GB2312" w:hAnsi="仿宋_GB2312" w:cs="仿宋_GB2312" w:eastAsia="仿宋_GB2312"/>
                      <w:sz w:val="24"/>
                    </w:rPr>
                    <w:t>12.▲</w:t>
                  </w:r>
                  <w:r>
                    <w:rPr>
                      <w:rFonts w:ascii="仿宋_GB2312" w:hAnsi="仿宋_GB2312" w:cs="仿宋_GB2312" w:eastAsia="仿宋_GB2312"/>
                      <w:sz w:val="24"/>
                    </w:rPr>
                    <w:t>整机内置扬声器，功率</w:t>
                  </w:r>
                  <w:r>
                    <w:rPr>
                      <w:rFonts w:ascii="仿宋_GB2312" w:hAnsi="仿宋_GB2312" w:cs="仿宋_GB2312" w:eastAsia="仿宋_GB2312"/>
                      <w:sz w:val="24"/>
                    </w:rPr>
                    <w:t>≥</w:t>
                  </w:r>
                  <w:r>
                    <w:rPr>
                      <w:rFonts w:ascii="仿宋_GB2312" w:hAnsi="仿宋_GB2312" w:cs="仿宋_GB2312" w:eastAsia="仿宋_GB2312"/>
                      <w:sz w:val="24"/>
                    </w:rPr>
                    <w:t>8</w:t>
                  </w:r>
                  <w:r>
                    <w:rPr>
                      <w:rFonts w:ascii="仿宋_GB2312" w:hAnsi="仿宋_GB2312" w:cs="仿宋_GB2312" w:eastAsia="仿宋_GB2312"/>
                      <w:sz w:val="24"/>
                    </w:rPr>
                    <w:t>0W</w:t>
                  </w:r>
                  <w:r>
                    <w:rPr>
                      <w:rFonts w:ascii="仿宋_GB2312" w:hAnsi="仿宋_GB2312" w:cs="仿宋_GB2312" w:eastAsia="仿宋_GB2312"/>
                      <w:sz w:val="24"/>
                    </w:rPr>
                    <w:t>，</w:t>
                  </w:r>
                  <w:r>
                    <w:rPr>
                      <w:rFonts w:ascii="仿宋_GB2312" w:hAnsi="仿宋_GB2312" w:cs="仿宋_GB2312" w:eastAsia="仿宋_GB2312"/>
                      <w:sz w:val="24"/>
                    </w:rPr>
                    <w:t>采用模块化设计，无需工具方便拆卸。</w:t>
                  </w:r>
                </w:p>
                <w:p>
                  <w:pPr>
                    <w:pStyle w:val="null3"/>
                    <w:jc w:val="both"/>
                  </w:pPr>
                  <w:r>
                    <w:rPr>
                      <w:rFonts w:ascii="仿宋_GB2312" w:hAnsi="仿宋_GB2312" w:cs="仿宋_GB2312" w:eastAsia="仿宋_GB2312"/>
                      <w:sz w:val="24"/>
                    </w:rPr>
                    <w:t>13.</w:t>
                  </w:r>
                  <w:r>
                    <w:rPr>
                      <w:rFonts w:ascii="仿宋_GB2312" w:hAnsi="仿宋_GB2312" w:cs="仿宋_GB2312" w:eastAsia="仿宋_GB2312"/>
                      <w:sz w:val="24"/>
                    </w:rPr>
                    <w:t>支持标准、听力、观影和</w:t>
                  </w:r>
                  <w:r>
                    <w:rPr>
                      <w:rFonts w:ascii="仿宋_GB2312" w:hAnsi="仿宋_GB2312" w:cs="仿宋_GB2312" w:eastAsia="仿宋_GB2312"/>
                      <w:sz w:val="24"/>
                    </w:rPr>
                    <w:t>AI空间感知</w:t>
                  </w:r>
                  <w:r>
                    <w:rPr>
                      <w:rFonts w:ascii="仿宋_GB2312" w:hAnsi="仿宋_GB2312" w:cs="仿宋_GB2312" w:eastAsia="仿宋_GB2312"/>
                      <w:sz w:val="24"/>
                    </w:rPr>
                    <w:t>等</w:t>
                  </w:r>
                  <w:r>
                    <w:rPr>
                      <w:rFonts w:ascii="仿宋_GB2312" w:hAnsi="仿宋_GB2312" w:cs="仿宋_GB2312" w:eastAsia="仿宋_GB2312"/>
                      <w:sz w:val="24"/>
                    </w:rPr>
                    <w:t>音效模式</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14.</w:t>
                  </w:r>
                  <w:r>
                    <w:rPr>
                      <w:rFonts w:ascii="仿宋_GB2312" w:hAnsi="仿宋_GB2312" w:cs="仿宋_GB2312" w:eastAsia="仿宋_GB2312"/>
                      <w:sz w:val="24"/>
                    </w:rPr>
                    <w:t>整机内置扬声器采用缝隙发声技术。</w:t>
                  </w:r>
                </w:p>
                <w:p>
                  <w:pPr>
                    <w:pStyle w:val="null3"/>
                    <w:jc w:val="both"/>
                  </w:pPr>
                  <w:r>
                    <w:rPr>
                      <w:rFonts w:ascii="仿宋_GB2312" w:hAnsi="仿宋_GB2312" w:cs="仿宋_GB2312" w:eastAsia="仿宋_GB2312"/>
                      <w:sz w:val="24"/>
                    </w:rPr>
                    <w:t>15.</w:t>
                  </w:r>
                  <w:r>
                    <w:rPr>
                      <w:rFonts w:ascii="仿宋_GB2312" w:hAnsi="仿宋_GB2312" w:cs="仿宋_GB2312" w:eastAsia="仿宋_GB2312"/>
                      <w:sz w:val="24"/>
                    </w:rPr>
                    <w:t>整机扬声器在</w:t>
                  </w:r>
                  <w:r>
                    <w:rPr>
                      <w:rFonts w:ascii="仿宋_GB2312" w:hAnsi="仿宋_GB2312" w:cs="仿宋_GB2312" w:eastAsia="仿宋_GB2312"/>
                      <w:sz w:val="24"/>
                    </w:rPr>
                    <w:t>100%音量下，可做到 1 米处声压级≥88db，10 米处声压级≥79dB。</w:t>
                  </w:r>
                </w:p>
                <w:p>
                  <w:pPr>
                    <w:pStyle w:val="null3"/>
                    <w:jc w:val="both"/>
                  </w:pPr>
                  <w:r>
                    <w:rPr>
                      <w:rFonts w:ascii="仿宋_GB2312" w:hAnsi="仿宋_GB2312" w:cs="仿宋_GB2312" w:eastAsia="仿宋_GB2312"/>
                      <w:sz w:val="24"/>
                    </w:rPr>
                    <w:t>16.▲整机内置的蓝牙模块，无需工具可方便拆卸。</w:t>
                  </w:r>
                </w:p>
                <w:p>
                  <w:pPr>
                    <w:pStyle w:val="null3"/>
                    <w:jc w:val="both"/>
                  </w:pPr>
                  <w:r>
                    <w:rPr>
                      <w:rFonts w:ascii="仿宋_GB2312" w:hAnsi="仿宋_GB2312" w:cs="仿宋_GB2312" w:eastAsia="仿宋_GB2312"/>
                      <w:sz w:val="24"/>
                    </w:rPr>
                    <w:t>17.</w:t>
                  </w:r>
                  <w:r>
                    <w:rPr>
                      <w:rFonts w:ascii="仿宋_GB2312" w:hAnsi="仿宋_GB2312" w:cs="仿宋_GB2312" w:eastAsia="仿宋_GB2312"/>
                      <w:sz w:val="24"/>
                    </w:rPr>
                    <w:t>整机内置非独立外扩展麦克风，音角度</w:t>
                  </w:r>
                  <w:r>
                    <w:rPr>
                      <w:rFonts w:ascii="仿宋_GB2312" w:hAnsi="仿宋_GB2312" w:cs="仿宋_GB2312" w:eastAsia="仿宋_GB2312"/>
                      <w:sz w:val="24"/>
                    </w:rPr>
                    <w:t>≥1</w:t>
                  </w:r>
                  <w:r>
                    <w:rPr>
                      <w:rFonts w:ascii="仿宋_GB2312" w:hAnsi="仿宋_GB2312" w:cs="仿宋_GB2312" w:eastAsia="仿宋_GB2312"/>
                      <w:sz w:val="24"/>
                    </w:rPr>
                    <w:t>5</w:t>
                  </w:r>
                  <w:r>
                    <w:rPr>
                      <w:rFonts w:ascii="仿宋_GB2312" w:hAnsi="仿宋_GB2312" w:cs="仿宋_GB2312" w:eastAsia="仿宋_GB2312"/>
                      <w:sz w:val="24"/>
                    </w:rPr>
                    <w:t>0°，拾音距离≥1</w:t>
                  </w:r>
                  <w:r>
                    <w:rPr>
                      <w:rFonts w:ascii="仿宋_GB2312" w:hAnsi="仿宋_GB2312" w:cs="仿宋_GB2312" w:eastAsia="仿宋_GB2312"/>
                      <w:sz w:val="24"/>
                    </w:rPr>
                    <w:t>0</w:t>
                  </w:r>
                  <w:r>
                    <w:rPr>
                      <w:rFonts w:ascii="仿宋_GB2312" w:hAnsi="仿宋_GB2312" w:cs="仿宋_GB2312" w:eastAsia="仿宋_GB2312"/>
                      <w:sz w:val="24"/>
                    </w:rPr>
                    <w:t>米。</w:t>
                  </w:r>
                </w:p>
                <w:p>
                  <w:pPr>
                    <w:pStyle w:val="null3"/>
                    <w:jc w:val="both"/>
                  </w:pPr>
                  <w:r>
                    <w:rPr>
                      <w:rFonts w:ascii="仿宋_GB2312" w:hAnsi="仿宋_GB2312" w:cs="仿宋_GB2312" w:eastAsia="仿宋_GB2312"/>
                      <w:sz w:val="24"/>
                    </w:rPr>
                    <w:t>18.</w:t>
                  </w:r>
                  <w:r>
                    <w:rPr>
                      <w:rFonts w:ascii="仿宋_GB2312" w:hAnsi="仿宋_GB2312" w:cs="仿宋_GB2312" w:eastAsia="仿宋_GB2312"/>
                      <w:sz w:val="24"/>
                    </w:rPr>
                    <w:t>可通过麦克风采集教室环境声音，自动生成符合当前教室物理环境的频段、音量、音效。</w:t>
                  </w:r>
                </w:p>
                <w:p>
                  <w:pPr>
                    <w:pStyle w:val="null3"/>
                    <w:jc w:val="both"/>
                  </w:pPr>
                  <w:r>
                    <w:rPr>
                      <w:rFonts w:ascii="仿宋_GB2312" w:hAnsi="仿宋_GB2312" w:cs="仿宋_GB2312" w:eastAsia="仿宋_GB2312"/>
                      <w:sz w:val="24"/>
                    </w:rPr>
                    <w:t>19.</w:t>
                  </w:r>
                  <w:r>
                    <w:rPr>
                      <w:rFonts w:ascii="仿宋_GB2312" w:hAnsi="仿宋_GB2312" w:cs="仿宋_GB2312" w:eastAsia="仿宋_GB2312"/>
                      <w:sz w:val="24"/>
                    </w:rPr>
                    <w:t>整机具备</w:t>
                  </w:r>
                  <w:r>
                    <w:rPr>
                      <w:rFonts w:ascii="仿宋_GB2312" w:hAnsi="仿宋_GB2312" w:cs="仿宋_GB2312" w:eastAsia="仿宋_GB2312"/>
                      <w:sz w:val="24"/>
                    </w:rPr>
                    <w:t>≥</w:t>
                  </w:r>
                  <w:r>
                    <w:rPr>
                      <w:rFonts w:ascii="仿宋_GB2312" w:hAnsi="仿宋_GB2312" w:cs="仿宋_GB2312" w:eastAsia="仿宋_GB2312"/>
                      <w:sz w:val="24"/>
                    </w:rPr>
                    <w:t>5</w:t>
                  </w:r>
                  <w:r>
                    <w:rPr>
                      <w:rFonts w:ascii="仿宋_GB2312" w:hAnsi="仿宋_GB2312" w:cs="仿宋_GB2312" w:eastAsia="仿宋_GB2312"/>
                      <w:sz w:val="24"/>
                    </w:rPr>
                    <w:t xml:space="preserve"> </w:t>
                  </w:r>
                  <w:r>
                    <w:rPr>
                      <w:rFonts w:ascii="仿宋_GB2312" w:hAnsi="仿宋_GB2312" w:cs="仿宋_GB2312" w:eastAsia="仿宋_GB2312"/>
                      <w:sz w:val="24"/>
                    </w:rPr>
                    <w:t>个前置物理按键，可实现开关机、调出中控菜单、</w:t>
                  </w:r>
                  <w:r>
                    <w:rPr>
                      <w:rFonts w:ascii="仿宋_GB2312" w:hAnsi="仿宋_GB2312" w:cs="仿宋_GB2312" w:eastAsia="仿宋_GB2312"/>
                      <w:sz w:val="24"/>
                    </w:rPr>
                    <w:t>音量</w:t>
                  </w:r>
                  <w:r>
                    <w:rPr>
                      <w:rFonts w:ascii="仿宋_GB2312" w:hAnsi="仿宋_GB2312" w:cs="仿宋_GB2312" w:eastAsia="仿宋_GB2312"/>
                      <w:sz w:val="24"/>
                    </w:rPr>
                    <w:t>+/-、护眼、录屏操作等。</w:t>
                  </w:r>
                </w:p>
                <w:p>
                  <w:pPr>
                    <w:pStyle w:val="null3"/>
                    <w:jc w:val="both"/>
                  </w:pPr>
                  <w:r>
                    <w:rPr>
                      <w:rFonts w:ascii="仿宋_GB2312" w:hAnsi="仿宋_GB2312" w:cs="仿宋_GB2312" w:eastAsia="仿宋_GB2312"/>
                      <w:sz w:val="24"/>
                    </w:rPr>
                    <w:t>20.</w:t>
                  </w:r>
                  <w:r>
                    <w:rPr>
                      <w:rFonts w:ascii="仿宋_GB2312" w:hAnsi="仿宋_GB2312" w:cs="仿宋_GB2312" w:eastAsia="仿宋_GB2312"/>
                      <w:sz w:val="24"/>
                    </w:rPr>
                    <w:t>设备支持</w:t>
                  </w: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个自定义前置按键，可通过自定义设置实现</w:t>
                  </w:r>
                  <w:r>
                    <w:rPr>
                      <w:rFonts w:ascii="仿宋_GB2312" w:hAnsi="仿宋_GB2312" w:cs="仿宋_GB2312" w:eastAsia="仿宋_GB2312"/>
                      <w:sz w:val="24"/>
                    </w:rPr>
                    <w:t>常用操作设置</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21.▲</w:t>
                  </w:r>
                  <w:r>
                    <w:rPr>
                      <w:rFonts w:ascii="仿宋_GB2312" w:hAnsi="仿宋_GB2312" w:cs="仿宋_GB2312" w:eastAsia="仿宋_GB2312"/>
                      <w:sz w:val="24"/>
                    </w:rPr>
                    <w:t>整机上边框内置非独立摄像头，可拍摄</w:t>
                  </w:r>
                  <w:r>
                    <w:rPr>
                      <w:rFonts w:ascii="仿宋_GB2312" w:hAnsi="仿宋_GB2312" w:cs="仿宋_GB2312" w:eastAsia="仿宋_GB2312"/>
                      <w:sz w:val="24"/>
                    </w:rPr>
                    <w:t>≥</w:t>
                  </w:r>
                  <w:r>
                    <w:rPr>
                      <w:rFonts w:ascii="仿宋_GB2312" w:hAnsi="仿宋_GB2312" w:cs="仿宋_GB2312" w:eastAsia="仿宋_GB2312"/>
                      <w:sz w:val="24"/>
                    </w:rPr>
                    <w:t>5</w:t>
                  </w:r>
                  <w:r>
                    <w:rPr>
                      <w:rFonts w:ascii="仿宋_GB2312" w:hAnsi="仿宋_GB2312" w:cs="仿宋_GB2312" w:eastAsia="仿宋_GB2312"/>
                      <w:sz w:val="24"/>
                    </w:rPr>
                    <w:t>00</w:t>
                  </w:r>
                  <w:r>
                    <w:rPr>
                      <w:rFonts w:ascii="仿宋_GB2312" w:hAnsi="仿宋_GB2312" w:cs="仿宋_GB2312" w:eastAsia="仿宋_GB2312"/>
                      <w:sz w:val="24"/>
                    </w:rPr>
                    <w:t>0</w:t>
                  </w:r>
                  <w:r>
                    <w:rPr>
                      <w:rFonts w:ascii="仿宋_GB2312" w:hAnsi="仿宋_GB2312" w:cs="仿宋_GB2312" w:eastAsia="仿宋_GB2312"/>
                      <w:sz w:val="24"/>
                    </w:rPr>
                    <w:t>万像素的照片</w:t>
                  </w:r>
                  <w:r>
                    <w:rPr>
                      <w:rFonts w:ascii="仿宋_GB2312" w:hAnsi="仿宋_GB2312" w:cs="仿宋_GB2312" w:eastAsia="仿宋_GB2312"/>
                      <w:sz w:val="24"/>
                    </w:rPr>
                    <w:t>并</w:t>
                  </w:r>
                  <w:r>
                    <w:rPr>
                      <w:rFonts w:ascii="仿宋_GB2312" w:hAnsi="仿宋_GB2312" w:cs="仿宋_GB2312" w:eastAsia="仿宋_GB2312"/>
                      <w:sz w:val="24"/>
                    </w:rPr>
                    <w:t>支持画面畸变矫正功能。</w:t>
                  </w:r>
                </w:p>
                <w:p>
                  <w:pPr>
                    <w:pStyle w:val="null3"/>
                    <w:jc w:val="both"/>
                  </w:pPr>
                  <w:r>
                    <w:rPr>
                      <w:rFonts w:ascii="仿宋_GB2312" w:hAnsi="仿宋_GB2312" w:cs="仿宋_GB2312" w:eastAsia="仿宋_GB2312"/>
                      <w:sz w:val="24"/>
                    </w:rPr>
                    <w:t>22.</w:t>
                  </w:r>
                  <w:r>
                    <w:rPr>
                      <w:rFonts w:ascii="仿宋_GB2312" w:hAnsi="仿宋_GB2312" w:cs="仿宋_GB2312" w:eastAsia="仿宋_GB2312"/>
                      <w:sz w:val="24"/>
                    </w:rPr>
                    <w:t>摄像头支持环境色温判断，根据环境调节显示图像模式。</w:t>
                  </w:r>
                </w:p>
                <w:p>
                  <w:pPr>
                    <w:pStyle w:val="null3"/>
                    <w:jc w:val="both"/>
                  </w:pPr>
                  <w:r>
                    <w:rPr>
                      <w:rFonts w:ascii="仿宋_GB2312" w:hAnsi="仿宋_GB2312" w:cs="仿宋_GB2312" w:eastAsia="仿宋_GB2312"/>
                      <w:sz w:val="24"/>
                    </w:rPr>
                    <w:t>23.</w:t>
                  </w:r>
                  <w:r>
                    <w:rPr>
                      <w:rFonts w:ascii="仿宋_GB2312" w:hAnsi="仿宋_GB2312" w:cs="仿宋_GB2312" w:eastAsia="仿宋_GB2312"/>
                      <w:sz w:val="24"/>
                    </w:rPr>
                    <w:t>整机摄像头支持人脸</w:t>
                  </w:r>
                  <w:r>
                    <w:rPr>
                      <w:rFonts w:ascii="仿宋_GB2312" w:hAnsi="仿宋_GB2312" w:cs="仿宋_GB2312" w:eastAsia="仿宋_GB2312"/>
                      <w:sz w:val="24"/>
                    </w:rPr>
                    <w:t>识别、清点人数、随机抽人，识别所有学生。</w:t>
                  </w:r>
                </w:p>
                <w:p>
                  <w:pPr>
                    <w:pStyle w:val="null3"/>
                    <w:jc w:val="both"/>
                  </w:pPr>
                  <w:r>
                    <w:rPr>
                      <w:rFonts w:ascii="仿宋_GB2312" w:hAnsi="仿宋_GB2312" w:cs="仿宋_GB2312" w:eastAsia="仿宋_GB2312"/>
                      <w:sz w:val="24"/>
                    </w:rPr>
                    <w:t>24.▲支持通过wifi直连、扫码等方式与手机连接，实现文件传输。</w:t>
                  </w:r>
                </w:p>
                <w:p>
                  <w:pPr>
                    <w:pStyle w:val="null3"/>
                    <w:jc w:val="both"/>
                  </w:pPr>
                  <w:r>
                    <w:rPr>
                      <w:rFonts w:ascii="仿宋_GB2312" w:hAnsi="仿宋_GB2312" w:cs="仿宋_GB2312" w:eastAsia="仿宋_GB2312"/>
                      <w:sz w:val="24"/>
                    </w:rPr>
                    <w:t>25.</w:t>
                  </w:r>
                  <w:r>
                    <w:rPr>
                      <w:rFonts w:ascii="仿宋_GB2312" w:hAnsi="仿宋_GB2312" w:cs="仿宋_GB2312" w:eastAsia="仿宋_GB2312"/>
                      <w:sz w:val="24"/>
                    </w:rPr>
                    <w:t>整机支持色彩空间可选，包含标准模式和</w:t>
                  </w:r>
                  <w:r>
                    <w:rPr>
                      <w:rFonts w:ascii="仿宋_GB2312" w:hAnsi="仿宋_GB2312" w:cs="仿宋_GB2312" w:eastAsia="仿宋_GB2312"/>
                      <w:sz w:val="24"/>
                    </w:rPr>
                    <w:t>sRGB 模式，在 sRGB 模式下可做到高色准△E≤1</w:t>
                  </w:r>
                  <w:r>
                    <w:rPr>
                      <w:rFonts w:ascii="仿宋_GB2312" w:hAnsi="仿宋_GB2312" w:cs="仿宋_GB2312" w:eastAsia="仿宋_GB2312"/>
                      <w:sz w:val="24"/>
                    </w:rPr>
                    <w:t>.3</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26.</w:t>
                  </w:r>
                  <w:r>
                    <w:rPr>
                      <w:rFonts w:ascii="仿宋_GB2312" w:hAnsi="仿宋_GB2312" w:cs="仿宋_GB2312" w:eastAsia="仿宋_GB2312"/>
                      <w:sz w:val="24"/>
                    </w:rPr>
                    <w:t>具有防遮挡功能，触摸接收器在单点或多点遮挡后仍能正常书写。</w:t>
                  </w:r>
                </w:p>
                <w:p>
                  <w:pPr>
                    <w:pStyle w:val="null3"/>
                    <w:jc w:val="both"/>
                  </w:pPr>
                  <w:r>
                    <w:rPr>
                      <w:rFonts w:ascii="仿宋_GB2312" w:hAnsi="仿宋_GB2312" w:cs="仿宋_GB2312" w:eastAsia="仿宋_GB2312"/>
                      <w:sz w:val="24"/>
                    </w:rPr>
                    <w:t>27.▲内置自习纪律管理工具，当教室中音量达到一定阈值，屏幕会自动弹出纪律提示信息。</w:t>
                  </w:r>
                </w:p>
                <w:p>
                  <w:pPr>
                    <w:pStyle w:val="null3"/>
                    <w:jc w:val="both"/>
                  </w:pPr>
                  <w:r>
                    <w:rPr>
                      <w:rFonts w:ascii="仿宋_GB2312" w:hAnsi="仿宋_GB2312" w:cs="仿宋_GB2312" w:eastAsia="仿宋_GB2312"/>
                      <w:sz w:val="24"/>
                    </w:rPr>
                    <w:t>28.</w:t>
                  </w:r>
                  <w:r>
                    <w:rPr>
                      <w:rFonts w:ascii="仿宋_GB2312" w:hAnsi="仿宋_GB2312" w:cs="仿宋_GB2312" w:eastAsia="仿宋_GB2312"/>
                      <w:sz w:val="24"/>
                    </w:rPr>
                    <w:t>触摸屏在照度</w:t>
                  </w:r>
                  <w:r>
                    <w:rPr>
                      <w:rFonts w:ascii="仿宋_GB2312" w:hAnsi="仿宋_GB2312" w:cs="仿宋_GB2312" w:eastAsia="仿宋_GB2312"/>
                      <w:sz w:val="24"/>
                    </w:rPr>
                    <w:t>8</w:t>
                  </w:r>
                  <w:r>
                    <w:rPr>
                      <w:rFonts w:ascii="仿宋_GB2312" w:hAnsi="仿宋_GB2312" w:cs="仿宋_GB2312" w:eastAsia="仿宋_GB2312"/>
                      <w:sz w:val="24"/>
                    </w:rPr>
                    <w:t>0K LUX (勒克司) 环境下仍能正常工作。</w:t>
                  </w:r>
                </w:p>
                <w:p>
                  <w:pPr>
                    <w:pStyle w:val="null3"/>
                    <w:jc w:val="both"/>
                  </w:pPr>
                  <w:r>
                    <w:rPr>
                      <w:rFonts w:ascii="仿宋_GB2312" w:hAnsi="仿宋_GB2312" w:cs="仿宋_GB2312" w:eastAsia="仿宋_GB2312"/>
                      <w:sz w:val="24"/>
                    </w:rPr>
                    <w:t>29.</w:t>
                  </w:r>
                  <w:r>
                    <w:rPr>
                      <w:rFonts w:ascii="仿宋_GB2312" w:hAnsi="仿宋_GB2312" w:cs="仿宋_GB2312" w:eastAsia="仿宋_GB2312"/>
                      <w:sz w:val="24"/>
                    </w:rPr>
                    <w:t>整机在五分钟内处于无信号接收状态时，能够自动关机。</w:t>
                  </w:r>
                </w:p>
                <w:p>
                  <w:pPr>
                    <w:pStyle w:val="null3"/>
                    <w:jc w:val="both"/>
                  </w:pPr>
                  <w:r>
                    <w:rPr>
                      <w:rFonts w:ascii="仿宋_GB2312" w:hAnsi="仿宋_GB2312" w:cs="仿宋_GB2312" w:eastAsia="仿宋_GB2312"/>
                      <w:sz w:val="24"/>
                    </w:rPr>
                    <w:t>30.</w:t>
                  </w:r>
                  <w:r>
                    <w:rPr>
                      <w:rFonts w:ascii="仿宋_GB2312" w:hAnsi="仿宋_GB2312" w:cs="仿宋_GB2312" w:eastAsia="仿宋_GB2312"/>
                      <w:sz w:val="24"/>
                    </w:rPr>
                    <w:t>书写触控延迟</w:t>
                  </w:r>
                  <w:r>
                    <w:rPr>
                      <w:rFonts w:ascii="仿宋_GB2312" w:hAnsi="仿宋_GB2312" w:cs="仿宋_GB2312" w:eastAsia="仿宋_GB2312"/>
                      <w:sz w:val="24"/>
                    </w:rPr>
                    <w:t>≤</w:t>
                  </w:r>
                  <w:r>
                    <w:rPr>
                      <w:rFonts w:ascii="仿宋_GB2312" w:hAnsi="仿宋_GB2312" w:cs="仿宋_GB2312" w:eastAsia="仿宋_GB2312"/>
                      <w:sz w:val="24"/>
                    </w:rPr>
                    <w:t>15ms</w:t>
                  </w:r>
                  <w:r>
                    <w:rPr>
                      <w:rFonts w:ascii="仿宋_GB2312" w:hAnsi="仿宋_GB2312" w:cs="仿宋_GB2312" w:eastAsia="仿宋_GB2312"/>
                      <w:sz w:val="24"/>
                    </w:rPr>
                    <w:t>，</w:t>
                  </w:r>
                  <w:r>
                    <w:rPr>
                      <w:rFonts w:ascii="仿宋_GB2312" w:hAnsi="仿宋_GB2312" w:cs="仿宋_GB2312" w:eastAsia="仿宋_GB2312"/>
                      <w:sz w:val="24"/>
                    </w:rPr>
                    <w:t>触摸响应时间</w:t>
                  </w:r>
                  <w:r>
                    <w:rPr>
                      <w:rFonts w:ascii="仿宋_GB2312" w:hAnsi="仿宋_GB2312" w:cs="仿宋_GB2312" w:eastAsia="仿宋_GB2312"/>
                      <w:sz w:val="24"/>
                    </w:rPr>
                    <w:t>≤8</w:t>
                  </w:r>
                  <w:r>
                    <w:rPr>
                      <w:rFonts w:ascii="仿宋_GB2312" w:hAnsi="仿宋_GB2312" w:cs="仿宋_GB2312" w:eastAsia="仿宋_GB2312"/>
                      <w:sz w:val="24"/>
                    </w:rPr>
                    <w:t>ms</w:t>
                  </w:r>
                  <w:r>
                    <w:rPr>
                      <w:rFonts w:ascii="仿宋_GB2312" w:hAnsi="仿宋_GB2312" w:cs="仿宋_GB2312" w:eastAsia="仿宋_GB2312"/>
                      <w:sz w:val="24"/>
                    </w:rPr>
                    <w:t>，</w:t>
                  </w:r>
                  <w:r>
                    <w:rPr>
                      <w:rFonts w:ascii="仿宋_GB2312" w:hAnsi="仿宋_GB2312" w:cs="仿宋_GB2312" w:eastAsia="仿宋_GB2312"/>
                      <w:sz w:val="24"/>
                    </w:rPr>
                    <w:t>最小识别直径</w:t>
                  </w:r>
                  <w:r>
                    <w:rPr>
                      <w:rFonts w:ascii="仿宋_GB2312" w:hAnsi="仿宋_GB2312" w:cs="仿宋_GB2312" w:eastAsia="仿宋_GB2312"/>
                      <w:sz w:val="24"/>
                    </w:rPr>
                    <w:t>≤4</w:t>
                  </w:r>
                  <w:r>
                    <w:rPr>
                      <w:rFonts w:ascii="仿宋_GB2312" w:hAnsi="仿宋_GB2312" w:cs="仿宋_GB2312" w:eastAsia="仿宋_GB2312"/>
                      <w:sz w:val="24"/>
                    </w:rPr>
                    <w:t>mm。</w:t>
                  </w:r>
                </w:p>
                <w:p>
                  <w:pPr>
                    <w:pStyle w:val="null3"/>
                    <w:jc w:val="both"/>
                  </w:pPr>
                  <w:r>
                    <w:rPr>
                      <w:rFonts w:ascii="仿宋_GB2312" w:hAnsi="仿宋_GB2312" w:cs="仿宋_GB2312" w:eastAsia="仿宋_GB2312"/>
                      <w:sz w:val="24"/>
                    </w:rPr>
                    <w:t>31.支持无线传屏功能，可将外部电脑的屏幕传输到整机上显示。</w:t>
                  </w:r>
                </w:p>
                <w:p>
                  <w:pPr>
                    <w:pStyle w:val="null3"/>
                    <w:jc w:val="both"/>
                  </w:pPr>
                  <w:r>
                    <w:rPr>
                      <w:rFonts w:ascii="仿宋_GB2312" w:hAnsi="仿宋_GB2312" w:cs="仿宋_GB2312" w:eastAsia="仿宋_GB2312"/>
                      <w:sz w:val="24"/>
                      <w:b/>
                    </w:rPr>
                    <w:t>OPS模块：</w:t>
                  </w:r>
                  <w:r>
                    <w:br/>
                  </w:r>
                  <w:r>
                    <w:rPr>
                      <w:rFonts w:ascii="仿宋_GB2312" w:hAnsi="仿宋_GB2312" w:cs="仿宋_GB2312" w:eastAsia="仿宋_GB2312"/>
                      <w:sz w:val="24"/>
                    </w:rPr>
                    <w:t>1.搭载国产自主可控CPU，符合国家《安全可靠测评结果公告》要求。主频≥2.8GHz，内存：≥8 GB DDR4内存，硬盘：≥256 GB SSD固态硬盘，显卡：≥2G独显。</w:t>
                  </w:r>
                </w:p>
                <w:p>
                  <w:pPr>
                    <w:pStyle w:val="null3"/>
                    <w:jc w:val="both"/>
                  </w:pPr>
                  <w:r>
                    <w:rPr>
                      <w:rFonts w:ascii="仿宋_GB2312" w:hAnsi="仿宋_GB2312" w:cs="仿宋_GB2312" w:eastAsia="仿宋_GB2312"/>
                      <w:sz w:val="24"/>
                    </w:rPr>
                    <w:t>2.预装正版国产操作系统。</w:t>
                  </w:r>
                </w:p>
                <w:p>
                  <w:pPr>
                    <w:pStyle w:val="null3"/>
                    <w:jc w:val="both"/>
                  </w:pPr>
                  <w:r>
                    <w:rPr>
                      <w:rFonts w:ascii="仿宋_GB2312" w:hAnsi="仿宋_GB2312" w:cs="仿宋_GB2312" w:eastAsia="仿宋_GB2312"/>
                      <w:sz w:val="24"/>
                      <w:b/>
                    </w:rPr>
                    <w:t>备授课软件：</w:t>
                  </w:r>
                  <w:r>
                    <w:br/>
                  </w:r>
                  <w:r>
                    <w:rPr>
                      <w:rFonts w:ascii="仿宋_GB2312" w:hAnsi="仿宋_GB2312" w:cs="仿宋_GB2312" w:eastAsia="仿宋_GB2312"/>
                      <w:sz w:val="24"/>
                    </w:rPr>
                    <w:t>1.采用备授课一体化设计。</w:t>
                  </w:r>
                </w:p>
                <w:p>
                  <w:pPr>
                    <w:pStyle w:val="null3"/>
                    <w:jc w:val="both"/>
                  </w:pPr>
                  <w:r>
                    <w:rPr>
                      <w:rFonts w:ascii="仿宋_GB2312" w:hAnsi="仿宋_GB2312" w:cs="仿宋_GB2312" w:eastAsia="仿宋_GB2312"/>
                      <w:sz w:val="24"/>
                    </w:rPr>
                    <w:t>2.▲支持为教师提供云存储空间，教师可在个人云空间中上传存储教学资源，云空间大小支持扩展至≥30T。</w:t>
                  </w:r>
                </w:p>
                <w:p>
                  <w:pPr>
                    <w:pStyle w:val="null3"/>
                    <w:jc w:val="both"/>
                  </w:pPr>
                  <w:r>
                    <w:rPr>
                      <w:rFonts w:ascii="仿宋_GB2312" w:hAnsi="仿宋_GB2312" w:cs="仿宋_GB2312" w:eastAsia="仿宋_GB2312"/>
                      <w:sz w:val="24"/>
                    </w:rPr>
                    <w:t>3.支持教师以链接或二维码等形式进行课件分享。</w:t>
                  </w:r>
                </w:p>
                <w:p>
                  <w:pPr>
                    <w:pStyle w:val="null3"/>
                    <w:jc w:val="both"/>
                  </w:pPr>
                  <w:r>
                    <w:rPr>
                      <w:rFonts w:ascii="仿宋_GB2312" w:hAnsi="仿宋_GB2312" w:cs="仿宋_GB2312" w:eastAsia="仿宋_GB2312"/>
                      <w:sz w:val="24"/>
                    </w:rPr>
                    <w:t>4.提供语文、数学、英语、物理、化学等学科的交互式课件。</w:t>
                  </w:r>
                </w:p>
                <w:p>
                  <w:pPr>
                    <w:pStyle w:val="null3"/>
                    <w:jc w:val="both"/>
                  </w:pPr>
                  <w:r>
                    <w:rPr>
                      <w:rFonts w:ascii="仿宋_GB2312" w:hAnsi="仿宋_GB2312" w:cs="仿宋_GB2312" w:eastAsia="仿宋_GB2312"/>
                      <w:sz w:val="24"/>
                    </w:rPr>
                    <w:t>5.支持快速录制微课，方便教师教学使用。。</w:t>
                  </w:r>
                </w:p>
                <w:p>
                  <w:pPr>
                    <w:pStyle w:val="null3"/>
                    <w:jc w:val="both"/>
                  </w:pPr>
                  <w:r>
                    <w:rPr>
                      <w:rFonts w:ascii="仿宋_GB2312" w:hAnsi="仿宋_GB2312" w:cs="仿宋_GB2312" w:eastAsia="仿宋_GB2312"/>
                      <w:sz w:val="24"/>
                    </w:rPr>
                    <w:t>6.内置课堂活动，如选词填空、判断对错等。</w:t>
                  </w:r>
                </w:p>
                <w:p>
                  <w:pPr>
                    <w:pStyle w:val="null3"/>
                    <w:jc w:val="both"/>
                  </w:pPr>
                  <w:r>
                    <w:rPr>
                      <w:rFonts w:ascii="仿宋_GB2312" w:hAnsi="仿宋_GB2312" w:cs="仿宋_GB2312" w:eastAsia="仿宋_GB2312"/>
                      <w:sz w:val="24"/>
                    </w:rPr>
                    <w:t>7.支持查看个人评的课、个人讲的课的历史评价记录。</w:t>
                  </w:r>
                </w:p>
                <w:p>
                  <w:pPr>
                    <w:pStyle w:val="null3"/>
                    <w:jc w:val="both"/>
                  </w:pPr>
                  <w:r>
                    <w:rPr>
                      <w:rFonts w:ascii="仿宋_GB2312" w:hAnsi="仿宋_GB2312" w:cs="仿宋_GB2312" w:eastAsia="仿宋_GB2312"/>
                      <w:sz w:val="24"/>
                    </w:rPr>
                    <w:t>8.支持在备课场景中搜索课件库课件资源。</w:t>
                  </w:r>
                </w:p>
                <w:p>
                  <w:pPr>
                    <w:pStyle w:val="null3"/>
                    <w:jc w:val="both"/>
                  </w:pPr>
                  <w:r>
                    <w:rPr>
                      <w:rFonts w:ascii="仿宋_GB2312" w:hAnsi="仿宋_GB2312" w:cs="仿宋_GB2312" w:eastAsia="仿宋_GB2312"/>
                      <w:sz w:val="24"/>
                    </w:rPr>
                    <w:t>9.系统内置党建专题微课资源，内容包含革命篇、建设篇、改革篇、复兴篇等，微课总数量≥80节。</w:t>
                  </w:r>
                </w:p>
                <w:p>
                  <w:pPr>
                    <w:pStyle w:val="null3"/>
                    <w:jc w:val="both"/>
                  </w:pPr>
                  <w:r>
                    <w:rPr>
                      <w:rFonts w:ascii="仿宋_GB2312" w:hAnsi="仿宋_GB2312" w:cs="仿宋_GB2312" w:eastAsia="仿宋_GB2312"/>
                      <w:sz w:val="24"/>
                    </w:rPr>
                    <w:t>10.提供覆盖多个学段的的古诗词资源，包含原文、翻译、背景介绍、作者介绍、朗诵音频等。内嵌诗词百科链接，一键跳转展示诗词及作者背景介绍等内容。</w:t>
                  </w:r>
                </w:p>
                <w:p>
                  <w:pPr>
                    <w:pStyle w:val="null3"/>
                    <w:jc w:val="both"/>
                  </w:pPr>
                  <w:r>
                    <w:rPr>
                      <w:rFonts w:ascii="仿宋_GB2312" w:hAnsi="仿宋_GB2312" w:cs="仿宋_GB2312" w:eastAsia="仿宋_GB2312"/>
                      <w:sz w:val="24"/>
                    </w:rPr>
                    <w:t>11.云课堂功能内置于交互式备授课软件中，无需再额外安装部署软件。</w:t>
                  </w:r>
                </w:p>
                <w:p>
                  <w:pPr>
                    <w:pStyle w:val="null3"/>
                    <w:jc w:val="both"/>
                  </w:pPr>
                  <w:r>
                    <w:rPr>
                      <w:rFonts w:ascii="仿宋_GB2312" w:hAnsi="仿宋_GB2312" w:cs="仿宋_GB2312" w:eastAsia="仿宋_GB2312"/>
                      <w:sz w:val="24"/>
                    </w:rPr>
                    <w:t>12.支持快捷抠图，无需借助专业图片处理软件，即可在白板软件中对导入的图片进行快捷抠图。</w:t>
                  </w:r>
                </w:p>
                <w:p>
                  <w:pPr>
                    <w:pStyle w:val="null3"/>
                    <w:jc w:val="both"/>
                  </w:pPr>
                  <w:r>
                    <w:rPr>
                      <w:rFonts w:ascii="仿宋_GB2312" w:hAnsi="仿宋_GB2312" w:cs="仿宋_GB2312" w:eastAsia="仿宋_GB2312"/>
                      <w:sz w:val="24"/>
                    </w:rPr>
                    <w:t>13.支持对书写英文文本开展校验，并支持一键修正错误内容。</w:t>
                  </w:r>
                </w:p>
                <w:p>
                  <w:pPr>
                    <w:pStyle w:val="null3"/>
                    <w:jc w:val="both"/>
                  </w:pPr>
                  <w:r>
                    <w:rPr>
                      <w:rFonts w:ascii="仿宋_GB2312" w:hAnsi="仿宋_GB2312" w:cs="仿宋_GB2312" w:eastAsia="仿宋_GB2312"/>
                      <w:sz w:val="24"/>
                    </w:rPr>
                    <w:t>14.支持将互动课件导出为 pptx、pdf、H5 等链接。</w:t>
                  </w:r>
                </w:p>
                <w:p>
                  <w:pPr>
                    <w:pStyle w:val="null3"/>
                    <w:jc w:val="both"/>
                  </w:pPr>
                  <w:r>
                    <w:rPr>
                      <w:rFonts w:ascii="仿宋_GB2312" w:hAnsi="仿宋_GB2312" w:cs="仿宋_GB2312" w:eastAsia="仿宋_GB2312"/>
                      <w:sz w:val="24"/>
                    </w:rPr>
                    <w:t>15.内置元素周期表，包括常规样式、原子序数、相对原子质量等展示方式。</w:t>
                  </w:r>
                </w:p>
                <w:p>
                  <w:pPr>
                    <w:pStyle w:val="null3"/>
                    <w:jc w:val="both"/>
                  </w:pPr>
                  <w:r>
                    <w:rPr>
                      <w:rFonts w:ascii="仿宋_GB2312" w:hAnsi="仿宋_GB2312" w:cs="仿宋_GB2312" w:eastAsia="仿宋_GB2312"/>
                      <w:sz w:val="24"/>
                      <w:b/>
                    </w:rPr>
                    <w:t>教研软件</w:t>
                  </w:r>
                  <w:r>
                    <w:br/>
                  </w:r>
                  <w:r>
                    <w:rPr>
                      <w:rFonts w:ascii="仿宋_GB2312" w:hAnsi="仿宋_GB2312" w:cs="仿宋_GB2312" w:eastAsia="仿宋_GB2312"/>
                      <w:sz w:val="24"/>
                    </w:rPr>
                    <w:t>1.数据平台采用云平台设计，方便管理员登录使用。</w:t>
                  </w:r>
                </w:p>
                <w:p>
                  <w:pPr>
                    <w:pStyle w:val="null3"/>
                    <w:jc w:val="both"/>
                  </w:pPr>
                  <w:r>
                    <w:rPr>
                      <w:rFonts w:ascii="仿宋_GB2312" w:hAnsi="仿宋_GB2312" w:cs="仿宋_GB2312" w:eastAsia="仿宋_GB2312"/>
                      <w:sz w:val="24"/>
                    </w:rPr>
                    <w:t>2.平台在后台可为不同使用教师设置使用权限，高效便捷。</w:t>
                  </w:r>
                </w:p>
                <w:p>
                  <w:pPr>
                    <w:pStyle w:val="null3"/>
                    <w:jc w:val="both"/>
                  </w:pPr>
                  <w:r>
                    <w:rPr>
                      <w:rFonts w:ascii="仿宋_GB2312" w:hAnsi="仿宋_GB2312" w:cs="仿宋_GB2312" w:eastAsia="仿宋_GB2312"/>
                      <w:sz w:val="24"/>
                    </w:rPr>
                    <w:t>3.平台可在后台对集体备课、听课评课等数据进行汇总。</w:t>
                  </w:r>
                </w:p>
                <w:p>
                  <w:pPr>
                    <w:pStyle w:val="null3"/>
                    <w:jc w:val="both"/>
                  </w:pPr>
                  <w:r>
                    <w:rPr>
                      <w:rFonts w:ascii="仿宋_GB2312" w:hAnsi="仿宋_GB2312" w:cs="仿宋_GB2312" w:eastAsia="仿宋_GB2312"/>
                      <w:sz w:val="24"/>
                    </w:rPr>
                    <w:t>4.教学数据资源汇聚在平台后，可统一进行管理操作。</w:t>
                  </w:r>
                </w:p>
                <w:p>
                  <w:pPr>
                    <w:pStyle w:val="null3"/>
                    <w:jc w:val="both"/>
                  </w:pPr>
                  <w:r>
                    <w:rPr>
                      <w:rFonts w:ascii="仿宋_GB2312" w:hAnsi="仿宋_GB2312" w:cs="仿宋_GB2312" w:eastAsia="仿宋_GB2312"/>
                      <w:sz w:val="24"/>
                    </w:rPr>
                    <w:t>5.▲支持查看以教师维度统计的集备记录，查看教师所属学段学科、发起次数、参备次数、评论数、批注数、最近集备时间等数据。支持管理员导出教师集备数据表格。</w:t>
                  </w:r>
                </w:p>
                <w:p>
                  <w:pPr>
                    <w:pStyle w:val="null3"/>
                    <w:jc w:val="both"/>
                  </w:pPr>
                  <w:r>
                    <w:rPr>
                      <w:rFonts w:ascii="仿宋_GB2312" w:hAnsi="仿宋_GB2312" w:cs="仿宋_GB2312" w:eastAsia="仿宋_GB2312"/>
                      <w:sz w:val="24"/>
                    </w:rPr>
                    <w:t>6.学校管理员可设置考勤时间、考勤范围，还可以查看和导出考勤数据报表,支持上班、下班、迟到、早退、缺勤 等多种打卡状态。</w:t>
                  </w:r>
                  <w:r>
                    <w:br/>
                  </w:r>
                  <w:r>
                    <w:rPr>
                      <w:rFonts w:ascii="仿宋_GB2312" w:hAnsi="仿宋_GB2312" w:cs="仿宋_GB2312" w:eastAsia="仿宋_GB2312"/>
                      <w:sz w:val="24"/>
                    </w:rPr>
                    <w:t>7.校本资源库提供学科目录模板/教材目录模板。</w:t>
                  </w:r>
                </w:p>
                <w:p>
                  <w:pPr>
                    <w:pStyle w:val="null3"/>
                    <w:jc w:val="both"/>
                  </w:pPr>
                  <w:r>
                    <w:rPr>
                      <w:rFonts w:ascii="仿宋_GB2312" w:hAnsi="仿宋_GB2312" w:cs="仿宋_GB2312" w:eastAsia="仿宋_GB2312"/>
                      <w:sz w:val="24"/>
                    </w:rPr>
                    <w:t>8.支持以文件夹的维度进行查阅权限设置。</w:t>
                  </w:r>
                </w:p>
                <w:p>
                  <w:pPr>
                    <w:pStyle w:val="null3"/>
                    <w:jc w:val="both"/>
                  </w:pPr>
                  <w:r>
                    <w:rPr>
                      <w:rFonts w:ascii="仿宋_GB2312" w:hAnsi="仿宋_GB2312" w:cs="仿宋_GB2312" w:eastAsia="仿宋_GB2312"/>
                      <w:sz w:val="24"/>
                    </w:rPr>
                    <w:t>9.教师可对本人上传的校本资源进行分类移动，删除或重命名。</w:t>
                  </w:r>
                </w:p>
                <w:p>
                  <w:pPr>
                    <w:pStyle w:val="null3"/>
                    <w:jc w:val="both"/>
                  </w:pPr>
                  <w:r>
                    <w:rPr>
                      <w:rFonts w:ascii="仿宋_GB2312" w:hAnsi="仿宋_GB2312" w:cs="仿宋_GB2312" w:eastAsia="仿宋_GB2312"/>
                      <w:sz w:val="24"/>
                    </w:rPr>
                    <w:t>10.管理者通过学校数据可视化看板，查看学校云课件教案数、累计校本研修次数等情况。</w:t>
                  </w:r>
                </w:p>
                <w:p>
                  <w:pPr>
                    <w:pStyle w:val="null3"/>
                    <w:jc w:val="both"/>
                  </w:pPr>
                  <w:r>
                    <w:rPr>
                      <w:rFonts w:ascii="仿宋_GB2312" w:hAnsi="仿宋_GB2312" w:cs="仿宋_GB2312" w:eastAsia="仿宋_GB2312"/>
                      <w:sz w:val="24"/>
                    </w:rPr>
                    <w:t>11.支持全局资源搜索，按年级、学科等筛选资源，可快速定位到当前资源文件夹。</w:t>
                  </w:r>
                </w:p>
                <w:p>
                  <w:pPr>
                    <w:pStyle w:val="null3"/>
                    <w:jc w:val="both"/>
                  </w:pPr>
                  <w:r>
                    <w:rPr>
                      <w:rFonts w:ascii="仿宋_GB2312" w:hAnsi="仿宋_GB2312" w:cs="仿宋_GB2312" w:eastAsia="仿宋_GB2312"/>
                      <w:sz w:val="24"/>
                    </w:rPr>
                    <w:t>12.支持查看资源文件夹的创建者、资源的上传作者、更新时间、校本容量等数据。校本资源支持在线预览，方便资源的审核和检查。</w:t>
                  </w:r>
                </w:p>
              </w:tc>
              <w:tc>
                <w:tcPr>
                  <w:tcW w:type="dxa" w:w="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86</w:t>
                  </w:r>
                </w:p>
              </w:tc>
              <w:tc>
                <w:tcPr>
                  <w:tcW w:type="dxa" w:w="2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视频展台</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1.支持画面实时对比，方便进行演示、对比教学。</w:t>
                  </w:r>
                </w:p>
                <w:p>
                  <w:pPr>
                    <w:pStyle w:val="null3"/>
                    <w:jc w:val="both"/>
                  </w:pPr>
                  <w:r>
                    <w:rPr>
                      <w:rFonts w:ascii="仿宋_GB2312" w:hAnsi="仿宋_GB2312" w:cs="仿宋_GB2312" w:eastAsia="仿宋_GB2312"/>
                      <w:sz w:val="24"/>
                    </w:rPr>
                    <w:t>2.采用不小于800W像素自动对焦摄像头。</w:t>
                  </w:r>
                </w:p>
              </w:tc>
              <w:tc>
                <w:tcPr>
                  <w:tcW w:type="dxa" w:w="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86</w:t>
                  </w:r>
                </w:p>
              </w:tc>
              <w:tc>
                <w:tcPr>
                  <w:tcW w:type="dxa" w:w="2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r>
          </w:tbl>
          <w:p/>
        </w:tc>
      </w:tr>
    </w:tbl>
    <w:p>
      <w:pPr>
        <w:pStyle w:val="null3"/>
      </w:pPr>
      <w:r>
        <w:rPr>
          <w:rFonts w:ascii="仿宋_GB2312" w:hAnsi="仿宋_GB2312" w:cs="仿宋_GB2312" w:eastAsia="仿宋_GB2312"/>
        </w:rPr>
        <w:t>标的名称：计算机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tbl>
            <w:tblPr>
              <w:tblBorders>
                <w:top w:val="none" w:color="000000" w:sz="4"/>
                <w:left w:val="none" w:color="000000" w:sz="4"/>
                <w:bottom w:val="none" w:color="000000" w:sz="4"/>
                <w:right w:val="none" w:color="000000" w:sz="4"/>
                <w:insideH w:val="none"/>
                <w:insideV w:val="none"/>
              </w:tblBorders>
            </w:tblPr>
            <w:tblGrid>
              <w:gridCol w:w="307"/>
              <w:gridCol w:w="1556"/>
              <w:gridCol w:w="373"/>
              <w:gridCol w:w="317"/>
            </w:tblGrid>
            <w:tr>
              <w:tc>
                <w:tcPr>
                  <w:tcW w:type="dxa" w:w="30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名称</w:t>
                  </w:r>
                </w:p>
              </w:tc>
              <w:tc>
                <w:tcPr>
                  <w:tcW w:type="dxa" w:w="155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规格参数</w:t>
                  </w:r>
                </w:p>
              </w:tc>
              <w:tc>
                <w:tcPr>
                  <w:tcW w:type="dxa" w:w="37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数量</w:t>
                  </w:r>
                </w:p>
              </w:tc>
              <w:tc>
                <w:tcPr>
                  <w:tcW w:type="dxa" w:w="31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单位</w:t>
                  </w:r>
                </w:p>
              </w:tc>
            </w:tr>
            <w:tr>
              <w:tc>
                <w:tcPr>
                  <w:tcW w:type="dxa" w:w="3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计算机</w:t>
                  </w:r>
                </w:p>
                <w:p>
                  <w:pPr>
                    <w:pStyle w:val="null3"/>
                    <w:jc w:val="center"/>
                  </w:pPr>
                  <w:r>
                    <w:rPr>
                      <w:rFonts w:ascii="仿宋_GB2312" w:hAnsi="仿宋_GB2312" w:cs="仿宋_GB2312" w:eastAsia="仿宋_GB2312"/>
                      <w:sz w:val="24"/>
                      <w:b/>
                    </w:rPr>
                    <w:t>（核心产品）</w:t>
                  </w:r>
                </w:p>
              </w:tc>
              <w:tc>
                <w:tcPr>
                  <w:tcW w:type="dxa" w:w="1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国产品牌教师机</w:t>
                  </w:r>
                  <w:r>
                    <w:br/>
                  </w: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▲CPU：核心数≥8，最高主频≥2.</w:t>
                  </w:r>
                  <w:r>
                    <w:rPr>
                      <w:rFonts w:ascii="仿宋_GB2312" w:hAnsi="仿宋_GB2312" w:cs="仿宋_GB2312" w:eastAsia="仿宋_GB2312"/>
                      <w:sz w:val="24"/>
                    </w:rPr>
                    <w:t>0</w:t>
                  </w:r>
                  <w:r>
                    <w:rPr>
                      <w:rFonts w:ascii="仿宋_GB2312" w:hAnsi="仿宋_GB2312" w:cs="仿宋_GB2312" w:eastAsia="仿宋_GB2312"/>
                      <w:sz w:val="24"/>
                    </w:rPr>
                    <w:t>GHz</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CPU性能：线程数≥10线程</w:t>
                  </w:r>
                </w:p>
                <w:p>
                  <w:pPr>
                    <w:pStyle w:val="null3"/>
                    <w:jc w:val="both"/>
                  </w:pPr>
                  <w:r>
                    <w:rPr>
                      <w:rFonts w:ascii="仿宋_GB2312" w:hAnsi="仿宋_GB2312" w:cs="仿宋_GB2312" w:eastAsia="仿宋_GB2312"/>
                      <w:sz w:val="24"/>
                    </w:rPr>
                    <w:t>3.</w:t>
                  </w:r>
                  <w:r>
                    <w:rPr>
                      <w:rFonts w:ascii="仿宋_GB2312" w:hAnsi="仿宋_GB2312" w:cs="仿宋_GB2312" w:eastAsia="仿宋_GB2312"/>
                      <w:sz w:val="24"/>
                    </w:rPr>
                    <w:t>内存容量：</w:t>
                  </w:r>
                  <w:r>
                    <w:rPr>
                      <w:rFonts w:ascii="仿宋_GB2312" w:hAnsi="仿宋_GB2312" w:cs="仿宋_GB2312" w:eastAsia="仿宋_GB2312"/>
                      <w:sz w:val="24"/>
                    </w:rPr>
                    <w:t>≥16G DDR5</w:t>
                  </w:r>
                  <w:r>
                    <w:rPr>
                      <w:rFonts w:ascii="仿宋_GB2312" w:hAnsi="仿宋_GB2312" w:cs="仿宋_GB2312" w:eastAsia="仿宋_GB2312"/>
                      <w:sz w:val="24"/>
                    </w:rPr>
                    <w:t>/LPDDR5</w:t>
                  </w:r>
                  <w:r>
                    <w:br/>
                  </w:r>
                  <w:r>
                    <w:rPr>
                      <w:rFonts w:ascii="仿宋_GB2312" w:hAnsi="仿宋_GB2312" w:cs="仿宋_GB2312" w:eastAsia="仿宋_GB2312"/>
                      <w:sz w:val="24"/>
                    </w:rPr>
                    <w:t>4.</w:t>
                  </w:r>
                  <w:r>
                    <w:rPr>
                      <w:rFonts w:ascii="仿宋_GB2312" w:hAnsi="仿宋_GB2312" w:cs="仿宋_GB2312" w:eastAsia="仿宋_GB2312"/>
                      <w:sz w:val="24"/>
                    </w:rPr>
                    <w:t>内存频率：</w:t>
                  </w:r>
                  <w:r>
                    <w:rPr>
                      <w:rFonts w:ascii="仿宋_GB2312" w:hAnsi="仿宋_GB2312" w:cs="仿宋_GB2312" w:eastAsia="仿宋_GB2312"/>
                      <w:sz w:val="24"/>
                    </w:rPr>
                    <w:t>≥5600MT/</w:t>
                  </w:r>
                  <w:r>
                    <w:rPr>
                      <w:rFonts w:ascii="仿宋_GB2312" w:hAnsi="仿宋_GB2312" w:cs="仿宋_GB2312" w:eastAsia="仿宋_GB2312"/>
                      <w:sz w:val="24"/>
                    </w:rPr>
                    <w:t>s</w:t>
                  </w:r>
                  <w:r>
                    <w:br/>
                  </w:r>
                  <w:r>
                    <w:rPr>
                      <w:rFonts w:ascii="仿宋_GB2312" w:hAnsi="仿宋_GB2312" w:cs="仿宋_GB2312" w:eastAsia="仿宋_GB2312"/>
                      <w:sz w:val="24"/>
                    </w:rPr>
                    <w:t>5.</w:t>
                  </w:r>
                  <w:r>
                    <w:rPr>
                      <w:rFonts w:ascii="仿宋_GB2312" w:hAnsi="仿宋_GB2312" w:cs="仿宋_GB2312" w:eastAsia="仿宋_GB2312"/>
                      <w:sz w:val="24"/>
                    </w:rPr>
                    <w:t>硬盘：</w:t>
                  </w:r>
                  <w:r>
                    <w:rPr>
                      <w:rFonts w:ascii="仿宋_GB2312" w:hAnsi="仿宋_GB2312" w:cs="仿宋_GB2312" w:eastAsia="仿宋_GB2312"/>
                      <w:sz w:val="24"/>
                    </w:rPr>
                    <w:t>≥256GB 固态硬盘+1T机械硬盘</w:t>
                  </w:r>
                  <w:r>
                    <w:br/>
                  </w:r>
                  <w:r>
                    <w:rPr>
                      <w:rFonts w:ascii="仿宋_GB2312" w:hAnsi="仿宋_GB2312" w:cs="仿宋_GB2312" w:eastAsia="仿宋_GB2312"/>
                      <w:sz w:val="24"/>
                    </w:rPr>
                    <w:t>6.</w:t>
                  </w:r>
                  <w:r>
                    <w:rPr>
                      <w:rFonts w:ascii="仿宋_GB2312" w:hAnsi="仿宋_GB2312" w:cs="仿宋_GB2312" w:eastAsia="仿宋_GB2312"/>
                      <w:sz w:val="24"/>
                    </w:rPr>
                    <w:t>固态存储接口协议：</w:t>
                  </w:r>
                  <w:r>
                    <w:rPr>
                      <w:rFonts w:ascii="仿宋_GB2312" w:hAnsi="仿宋_GB2312" w:cs="仿宋_GB2312" w:eastAsia="仿宋_GB2312"/>
                      <w:sz w:val="24"/>
                    </w:rPr>
                    <w:t>UFS/SATA/PCIe/NVMe 等类型接口协议</w:t>
                  </w:r>
                  <w:r>
                    <w:br/>
                  </w:r>
                  <w:r>
                    <w:rPr>
                      <w:rFonts w:ascii="仿宋_GB2312" w:hAnsi="仿宋_GB2312" w:cs="仿宋_GB2312" w:eastAsia="仿宋_GB2312"/>
                      <w:sz w:val="24"/>
                    </w:rPr>
                    <w:t>7</w:t>
                  </w:r>
                  <w:r>
                    <w:rPr>
                      <w:rFonts w:ascii="仿宋_GB2312" w:hAnsi="仿宋_GB2312" w:cs="仿宋_GB2312" w:eastAsia="仿宋_GB2312"/>
                      <w:sz w:val="24"/>
                    </w:rPr>
                    <w:t>.</w:t>
                  </w:r>
                  <w:r>
                    <w:rPr>
                      <w:rFonts w:ascii="仿宋_GB2312" w:hAnsi="仿宋_GB2312" w:cs="仿宋_GB2312" w:eastAsia="仿宋_GB2312"/>
                      <w:sz w:val="24"/>
                    </w:rPr>
                    <w:t>USB接口：≥8个USB接口（含Type-C），其中USB 3.0接口≥6个</w:t>
                  </w:r>
                  <w:r>
                    <w:br/>
                  </w:r>
                  <w:r>
                    <w:rPr>
                      <w:rFonts w:ascii="仿宋_GB2312" w:hAnsi="仿宋_GB2312" w:cs="仿宋_GB2312" w:eastAsia="仿宋_GB2312"/>
                      <w:sz w:val="24"/>
                    </w:rPr>
                    <w:t>8</w:t>
                  </w:r>
                  <w:r>
                    <w:rPr>
                      <w:rFonts w:ascii="仿宋_GB2312" w:hAnsi="仿宋_GB2312" w:cs="仿宋_GB2312" w:eastAsia="仿宋_GB2312"/>
                      <w:sz w:val="24"/>
                    </w:rPr>
                    <w:t>.</w:t>
                  </w:r>
                  <w:r>
                    <w:rPr>
                      <w:rFonts w:ascii="仿宋_GB2312" w:hAnsi="仿宋_GB2312" w:cs="仿宋_GB2312" w:eastAsia="仿宋_GB2312"/>
                      <w:sz w:val="24"/>
                    </w:rPr>
                    <w:t>▲CPU 应当符合安全可靠等级 II 级要求</w:t>
                  </w:r>
                  <w:r>
                    <w:br/>
                  </w:r>
                  <w:r>
                    <w:rPr>
                      <w:rFonts w:ascii="仿宋_GB2312" w:hAnsi="仿宋_GB2312" w:cs="仿宋_GB2312" w:eastAsia="仿宋_GB2312"/>
                      <w:sz w:val="24"/>
                    </w:rPr>
                    <w:t>9</w:t>
                  </w:r>
                  <w:r>
                    <w:rPr>
                      <w:rFonts w:ascii="仿宋_GB2312" w:hAnsi="仿宋_GB2312" w:cs="仿宋_GB2312" w:eastAsia="仿宋_GB2312"/>
                      <w:sz w:val="24"/>
                    </w:rPr>
                    <w:t>.</w:t>
                  </w:r>
                  <w:r>
                    <w:rPr>
                      <w:rFonts w:ascii="仿宋_GB2312" w:hAnsi="仿宋_GB2312" w:cs="仿宋_GB2312" w:eastAsia="仿宋_GB2312"/>
                      <w:sz w:val="24"/>
                    </w:rPr>
                    <w:t>显示器：</w:t>
                  </w:r>
                  <w:r>
                    <w:rPr>
                      <w:rFonts w:ascii="仿宋_GB2312" w:hAnsi="仿宋_GB2312" w:cs="仿宋_GB2312" w:eastAsia="仿宋_GB2312"/>
                      <w:sz w:val="24"/>
                    </w:rPr>
                    <w:t>≥23.8英寸</w:t>
                  </w:r>
                  <w:r>
                    <w:br/>
                  </w:r>
                  <w:r>
                    <w:rPr>
                      <w:rFonts w:ascii="仿宋_GB2312" w:hAnsi="仿宋_GB2312" w:cs="仿宋_GB2312" w:eastAsia="仿宋_GB2312"/>
                      <w:sz w:val="24"/>
                    </w:rPr>
                    <w:t>10</w:t>
                  </w:r>
                  <w:r>
                    <w:rPr>
                      <w:rFonts w:ascii="仿宋_GB2312" w:hAnsi="仿宋_GB2312" w:cs="仿宋_GB2312" w:eastAsia="仿宋_GB2312"/>
                      <w:sz w:val="24"/>
                    </w:rPr>
                    <w:t>.</w:t>
                  </w:r>
                  <w:r>
                    <w:rPr>
                      <w:rFonts w:ascii="仿宋_GB2312" w:hAnsi="仿宋_GB2312" w:cs="仿宋_GB2312" w:eastAsia="仿宋_GB2312"/>
                      <w:sz w:val="24"/>
                    </w:rPr>
                    <w:t>▲投标时须提供厂家授权及原厂售后服务承诺。</w:t>
                  </w:r>
                </w:p>
              </w:tc>
              <w:tc>
                <w:tcPr>
                  <w:tcW w:type="dxa" w:w="3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500</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r>
            <w:tr>
              <w:tc>
                <w:tcPr>
                  <w:tcW w:type="dxa" w:w="3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融合云桌面系统</w:t>
                  </w:r>
                </w:p>
              </w:tc>
              <w:tc>
                <w:tcPr>
                  <w:tcW w:type="dxa" w:w="1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通过单机安装部署，不额外增加服务器的方式适配业务系统，产品符合知识产权合规要求；</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▲同时支持ARM架构和C86架构，支持麒麟操作系统KOS、统信操作系统UOS、鸿蒙操作系统</w:t>
                  </w:r>
                  <w:r>
                    <w:rPr>
                      <w:rFonts w:ascii="仿宋_GB2312" w:hAnsi="仿宋_GB2312" w:cs="仿宋_GB2312" w:eastAsia="仿宋_GB2312"/>
                      <w:sz w:val="24"/>
                    </w:rPr>
                    <w:t>等国产操作系统，</w:t>
                  </w:r>
                  <w:r>
                    <w:rPr>
                      <w:rFonts w:ascii="仿宋_GB2312" w:hAnsi="仿宋_GB2312" w:cs="仿宋_GB2312" w:eastAsia="仿宋_GB2312"/>
                      <w:sz w:val="24"/>
                    </w:rPr>
                    <w:t>支持</w:t>
                  </w:r>
                  <w:r>
                    <w:rPr>
                      <w:rFonts w:ascii="仿宋_GB2312" w:hAnsi="仿宋_GB2312" w:cs="仿宋_GB2312" w:eastAsia="仿宋_GB2312"/>
                      <w:sz w:val="24"/>
                    </w:rPr>
                    <w:t>GPU加速能力；</w:t>
                  </w:r>
                </w:p>
                <w:p>
                  <w:pPr>
                    <w:pStyle w:val="null3"/>
                    <w:jc w:val="both"/>
                  </w:pPr>
                  <w:r>
                    <w:rPr>
                      <w:rFonts w:ascii="仿宋_GB2312" w:hAnsi="仿宋_GB2312" w:cs="仿宋_GB2312" w:eastAsia="仿宋_GB2312"/>
                      <w:sz w:val="24"/>
                    </w:rPr>
                    <w:t>3</w:t>
                  </w:r>
                  <w:r>
                    <w:rPr>
                      <w:rFonts w:ascii="仿宋_GB2312" w:hAnsi="仿宋_GB2312" w:cs="仿宋_GB2312" w:eastAsia="仿宋_GB2312"/>
                      <w:sz w:val="24"/>
                    </w:rPr>
                    <w:t>.</w:t>
                  </w:r>
                  <w:r>
                    <w:rPr>
                      <w:rFonts w:ascii="仿宋_GB2312" w:hAnsi="仿宋_GB2312" w:cs="仿宋_GB2312" w:eastAsia="仿宋_GB2312"/>
                      <w:sz w:val="24"/>
                    </w:rPr>
                    <w:t>满足运行客户常用</w:t>
                  </w:r>
                  <w:r>
                    <w:rPr>
                      <w:rFonts w:ascii="仿宋_GB2312" w:hAnsi="仿宋_GB2312" w:cs="仿宋_GB2312" w:eastAsia="仿宋_GB2312"/>
                      <w:sz w:val="24"/>
                    </w:rPr>
                    <w:t>OA业务系统、办公软件及外设。</w:t>
                  </w:r>
                </w:p>
              </w:tc>
              <w:tc>
                <w:tcPr>
                  <w:tcW w:type="dxa" w:w="3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500</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r>
          </w:tbl>
          <w:p/>
        </w:tc>
      </w:tr>
    </w:tbl>
    <w:p>
      <w:pPr>
        <w:pStyle w:val="null3"/>
      </w:pPr>
      <w:r>
        <w:rPr>
          <w:rFonts w:ascii="仿宋_GB2312" w:hAnsi="仿宋_GB2312" w:cs="仿宋_GB2312" w:eastAsia="仿宋_GB2312"/>
        </w:rPr>
        <w:t>标的名称：课桌椅</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170"/>
              <w:gridCol w:w="1881"/>
              <w:gridCol w:w="271"/>
              <w:gridCol w:w="230"/>
            </w:tblGrid>
            <w:tr>
              <w:tc>
                <w:tcPr>
                  <w:tcW w:type="dxa" w:w="17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名称</w:t>
                  </w:r>
                </w:p>
              </w:tc>
              <w:tc>
                <w:tcPr>
                  <w:tcW w:type="dxa" w:w="188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规格参数</w:t>
                  </w:r>
                </w:p>
              </w:tc>
              <w:tc>
                <w:tcPr>
                  <w:tcW w:type="dxa" w:w="2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数量</w:t>
                  </w:r>
                </w:p>
              </w:tc>
              <w:tc>
                <w:tcPr>
                  <w:tcW w:type="dxa" w:w="23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单位</w:t>
                  </w:r>
                </w:p>
              </w:tc>
            </w:tr>
            <w:tr>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课桌椅</w:t>
                  </w:r>
                </w:p>
              </w:tc>
              <w:tc>
                <w:tcPr>
                  <w:tcW w:type="dxa" w:w="18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规格：</w:t>
                  </w:r>
                  <w:r>
                    <w:rPr>
                      <w:rFonts w:ascii="仿宋_GB2312" w:hAnsi="仿宋_GB2312" w:cs="仿宋_GB2312" w:eastAsia="仿宋_GB2312"/>
                      <w:sz w:val="24"/>
                    </w:rPr>
                    <w:t>≥长620*宽450*高（670-760）mm</w:t>
                  </w:r>
                  <w:r>
                    <w:br/>
                  </w: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桌面规格：</w:t>
                  </w:r>
                  <w:r>
                    <w:rPr>
                      <w:rFonts w:ascii="仿宋_GB2312" w:hAnsi="仿宋_GB2312" w:cs="仿宋_GB2312" w:eastAsia="仿宋_GB2312"/>
                      <w:sz w:val="24"/>
                    </w:rPr>
                    <w:t>≥620mm×450mm×30mm（±2mm），采用全新ABS一级耐冲击工程塑料，一体注塑成型。桌面正前方设有专用笔槽；前沿设有整根挡物条、两侧挡物条，内侧靠近胸口位置做弧形人体工学内凹设计；桌面下方内置矩形加强固定管。</w:t>
                  </w:r>
                  <w:r>
                    <w:br/>
                  </w: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书箱：采用</w:t>
                  </w:r>
                  <w:r>
                    <w:rPr>
                      <w:rFonts w:ascii="仿宋_GB2312" w:hAnsi="仿宋_GB2312" w:cs="仿宋_GB2312" w:eastAsia="仿宋_GB2312"/>
                      <w:sz w:val="24"/>
                    </w:rPr>
                    <w:t>PP 一次注塑成型，规格≥500mm×155mm×355mm（±2mm）.书箱底部有排水槽缝,书箱前端设置有一长型凹形笔槽，笔槽左右两侧各设有一排水沟缝，书箱两侧各有一个书包挂钩，与书箱一体注塑成型。</w:t>
                  </w:r>
                  <w:r>
                    <w:br/>
                  </w:r>
                  <w:r>
                    <w:rPr>
                      <w:rFonts w:ascii="仿宋_GB2312" w:hAnsi="仿宋_GB2312" w:cs="仿宋_GB2312" w:eastAsia="仿宋_GB2312"/>
                      <w:sz w:val="24"/>
                    </w:rPr>
                    <w:t>3</w:t>
                  </w:r>
                  <w:r>
                    <w:rPr>
                      <w:rFonts w:ascii="仿宋_GB2312" w:hAnsi="仿宋_GB2312" w:cs="仿宋_GB2312" w:eastAsia="仿宋_GB2312"/>
                      <w:sz w:val="24"/>
                    </w:rPr>
                    <w:t>.</w:t>
                  </w:r>
                  <w:r>
                    <w:rPr>
                      <w:rFonts w:ascii="仿宋_GB2312" w:hAnsi="仿宋_GB2312" w:cs="仿宋_GB2312" w:eastAsia="仿宋_GB2312"/>
                      <w:sz w:val="24"/>
                    </w:rPr>
                    <w:t>钢架要求：桌腿采用单立柱的椭圆管，规格</w:t>
                  </w:r>
                  <w:r>
                    <w:rPr>
                      <w:rFonts w:ascii="仿宋_GB2312" w:hAnsi="仿宋_GB2312" w:cs="仿宋_GB2312" w:eastAsia="仿宋_GB2312"/>
                      <w:sz w:val="24"/>
                    </w:rPr>
                    <w:t>≥30*60mm，厚度1.2mm。地脚管≥30*60的椭圆管，厚度1.2mm，内套管20*50mm的椭圆管，厚度1.2mm，单连接管采用20*50mm椭圆管，厚度为1.0mm,可升降；</w:t>
                  </w:r>
                  <w:r>
                    <w:br/>
                  </w:r>
                  <w:r>
                    <w:rPr>
                      <w:rFonts w:ascii="仿宋_GB2312" w:hAnsi="仿宋_GB2312" w:cs="仿宋_GB2312" w:eastAsia="仿宋_GB2312"/>
                      <w:sz w:val="24"/>
                    </w:rPr>
                    <w:t>4</w:t>
                  </w:r>
                  <w:r>
                    <w:rPr>
                      <w:rFonts w:ascii="仿宋_GB2312" w:hAnsi="仿宋_GB2312" w:cs="仿宋_GB2312" w:eastAsia="仿宋_GB2312"/>
                      <w:sz w:val="24"/>
                    </w:rPr>
                    <w:t>.</w:t>
                  </w:r>
                  <w:r>
                    <w:rPr>
                      <w:rFonts w:ascii="仿宋_GB2312" w:hAnsi="仿宋_GB2312" w:cs="仿宋_GB2312" w:eastAsia="仿宋_GB2312"/>
                      <w:sz w:val="24"/>
                    </w:rPr>
                    <w:t>桌子升降中间套：</w:t>
                  </w:r>
                  <w:r>
                    <w:rPr>
                      <w:rFonts w:ascii="仿宋_GB2312" w:hAnsi="仿宋_GB2312" w:cs="仿宋_GB2312" w:eastAsia="仿宋_GB2312"/>
                      <w:sz w:val="24"/>
                    </w:rPr>
                    <w:t>≥长65mm*宽35mm*高80mm（±2mm），采用耐冲击 PP 塑料一次注塑成型，与钢管紧密咬合。</w:t>
                  </w:r>
                </w:p>
                <w:p>
                  <w:pPr>
                    <w:pStyle w:val="null3"/>
                    <w:jc w:val="left"/>
                  </w:pPr>
                  <w:r>
                    <w:rPr>
                      <w:rFonts w:ascii="仿宋_GB2312" w:hAnsi="仿宋_GB2312" w:cs="仿宋_GB2312" w:eastAsia="仿宋_GB2312"/>
                      <w:sz w:val="24"/>
                    </w:rPr>
                    <w:t>5.</w:t>
                  </w:r>
                  <w:r>
                    <w:rPr>
                      <w:rFonts w:ascii="仿宋_GB2312" w:hAnsi="仿宋_GB2312" w:cs="仿宋_GB2312" w:eastAsia="仿宋_GB2312"/>
                      <w:sz w:val="24"/>
                    </w:rPr>
                    <w:t>椅面规格</w:t>
                  </w:r>
                  <w:r>
                    <w:rPr>
                      <w:rFonts w:ascii="仿宋_GB2312" w:hAnsi="仿宋_GB2312" w:cs="仿宋_GB2312" w:eastAsia="仿宋_GB2312"/>
                      <w:sz w:val="24"/>
                    </w:rPr>
                    <w:t>:≥405*365mm（±2mm），椅背规格：≥405*345mm（±2mm），椅面、椅背采用全新PP 塑料经大型注塑机一次成型；椅面开设多道横向透气明槽；座板两侧设置双腿限位凹槽；椅背为波浪式分层弧形结构。</w:t>
                  </w:r>
                  <w:r>
                    <w:br/>
                  </w:r>
                  <w:r>
                    <w:rPr>
                      <w:rFonts w:ascii="仿宋_GB2312" w:hAnsi="仿宋_GB2312" w:cs="仿宋_GB2312" w:eastAsia="仿宋_GB2312"/>
                      <w:sz w:val="24"/>
                    </w:rPr>
                    <w:t>6</w:t>
                  </w:r>
                  <w:r>
                    <w:rPr>
                      <w:rFonts w:ascii="仿宋_GB2312" w:hAnsi="仿宋_GB2312" w:cs="仿宋_GB2312" w:eastAsia="仿宋_GB2312"/>
                      <w:sz w:val="24"/>
                    </w:rPr>
                    <w:t>.</w:t>
                  </w:r>
                  <w:r>
                    <w:rPr>
                      <w:rFonts w:ascii="仿宋_GB2312" w:hAnsi="仿宋_GB2312" w:cs="仿宋_GB2312" w:eastAsia="仿宋_GB2312"/>
                      <w:sz w:val="24"/>
                    </w:rPr>
                    <w:t>钢材要求：椅腿采用单立柱的椭圆管，规格</w:t>
                  </w:r>
                  <w:r>
                    <w:rPr>
                      <w:rFonts w:ascii="仿宋_GB2312" w:hAnsi="仿宋_GB2312" w:cs="仿宋_GB2312" w:eastAsia="仿宋_GB2312"/>
                      <w:sz w:val="24"/>
                    </w:rPr>
                    <w:t>≥30*60mm，厚度1.2mm，内套管20*50mm的椭圆管，厚度1.2mm, 连接管采用20*50mm椭圆管，厚度为1.2mm,可升降。</w:t>
                  </w:r>
                  <w:r>
                    <w:br/>
                  </w:r>
                  <w:r>
                    <w:rPr>
                      <w:rFonts w:ascii="仿宋_GB2312" w:hAnsi="仿宋_GB2312" w:cs="仿宋_GB2312" w:eastAsia="仿宋_GB2312"/>
                      <w:sz w:val="24"/>
                    </w:rPr>
                    <w:t>7</w:t>
                  </w:r>
                  <w:r>
                    <w:rPr>
                      <w:rFonts w:ascii="仿宋_GB2312" w:hAnsi="仿宋_GB2312" w:cs="仿宋_GB2312" w:eastAsia="仿宋_GB2312"/>
                      <w:sz w:val="24"/>
                    </w:rPr>
                    <w:t>.</w:t>
                  </w:r>
                  <w:r>
                    <w:rPr>
                      <w:rFonts w:ascii="仿宋_GB2312" w:hAnsi="仿宋_GB2312" w:cs="仿宋_GB2312" w:eastAsia="仿宋_GB2312"/>
                      <w:sz w:val="24"/>
                    </w:rPr>
                    <w:t>脚套采用全新环保</w:t>
                  </w:r>
                  <w:r>
                    <w:rPr>
                      <w:rFonts w:ascii="仿宋_GB2312" w:hAnsi="仿宋_GB2312" w:cs="仿宋_GB2312" w:eastAsia="仿宋_GB2312"/>
                      <w:sz w:val="24"/>
                    </w:rPr>
                    <w:t>PP塑料一次成型静音脚垫，倒钩嵌入式。</w:t>
                  </w:r>
                </w:p>
                <w:p>
                  <w:pPr>
                    <w:pStyle w:val="null3"/>
                    <w:jc w:val="left"/>
                  </w:pPr>
                  <w:r>
                    <w:rPr>
                      <w:rFonts w:ascii="仿宋_GB2312" w:hAnsi="仿宋_GB2312" w:cs="仿宋_GB2312" w:eastAsia="仿宋_GB2312"/>
                      <w:sz w:val="24"/>
                    </w:rPr>
                    <w:t>8</w:t>
                  </w:r>
                  <w:r>
                    <w:rPr>
                      <w:rFonts w:ascii="仿宋_GB2312" w:hAnsi="仿宋_GB2312" w:cs="仿宋_GB2312" w:eastAsia="仿宋_GB2312"/>
                      <w:sz w:val="24"/>
                    </w:rPr>
                    <w:t>.</w:t>
                  </w:r>
                  <w:r>
                    <w:rPr>
                      <w:rFonts w:ascii="仿宋_GB2312" w:hAnsi="仿宋_GB2312" w:cs="仿宋_GB2312" w:eastAsia="仿宋_GB2312"/>
                      <w:sz w:val="24"/>
                    </w:rPr>
                    <w:t>安装要求：升降调节部位统一使用</w:t>
                  </w:r>
                  <w:r>
                    <w:rPr>
                      <w:rFonts w:ascii="仿宋_GB2312" w:hAnsi="仿宋_GB2312" w:cs="仿宋_GB2312" w:eastAsia="仿宋_GB2312"/>
                      <w:sz w:val="24"/>
                    </w:rPr>
                    <w:t>Φ8国标防退透丝，所有焊点满焊打磨平整，钢架连接处加固处理。</w:t>
                  </w:r>
                </w:p>
              </w:tc>
              <w:tc>
                <w:tcPr>
                  <w:tcW w:type="dxa" w:w="2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3700</w:t>
                  </w:r>
                </w:p>
              </w:tc>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r>
          </w:tbl>
          <w:p/>
        </w:tc>
      </w:tr>
    </w:tbl>
    <w:p>
      <w:pPr>
        <w:pStyle w:val="null3"/>
      </w:pPr>
      <w:r>
        <w:rPr>
          <w:rFonts w:ascii="仿宋_GB2312" w:hAnsi="仿宋_GB2312" w:cs="仿宋_GB2312" w:eastAsia="仿宋_GB2312"/>
        </w:rPr>
        <w:t>标的名称：可午休课桌椅</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230"/>
              <w:gridCol w:w="1659"/>
              <w:gridCol w:w="442"/>
              <w:gridCol w:w="221"/>
            </w:tblGrid>
            <w:tr>
              <w:tc>
                <w:tcPr>
                  <w:tcW w:type="dxa" w:w="23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名称</w:t>
                  </w:r>
                </w:p>
              </w:tc>
              <w:tc>
                <w:tcPr>
                  <w:tcW w:type="dxa" w:w="165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规格参数</w:t>
                  </w:r>
                </w:p>
              </w:tc>
              <w:tc>
                <w:tcPr>
                  <w:tcW w:type="dxa" w:w="44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数量</w:t>
                  </w:r>
                </w:p>
              </w:tc>
              <w:tc>
                <w:tcPr>
                  <w:tcW w:type="dxa" w:w="22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单位</w:t>
                  </w:r>
                </w:p>
              </w:tc>
            </w:tr>
            <w:tr>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午休课桌椅</w:t>
                  </w:r>
                </w:p>
              </w:tc>
              <w:tc>
                <w:tcPr>
                  <w:tcW w:type="dxa" w:w="16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规格：</w:t>
                  </w:r>
                  <w:r>
                    <w:rPr>
                      <w:rFonts w:ascii="仿宋_GB2312" w:hAnsi="仿宋_GB2312" w:cs="仿宋_GB2312" w:eastAsia="仿宋_GB2312"/>
                      <w:sz w:val="24"/>
                    </w:rPr>
                    <w:t>≥620*450*（670-790）mm</w:t>
                  </w:r>
                  <w:r>
                    <w:br/>
                  </w: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桌面规格</w:t>
                  </w:r>
                  <w:r>
                    <w:rPr>
                      <w:rFonts w:ascii="仿宋_GB2312" w:hAnsi="仿宋_GB2312" w:cs="仿宋_GB2312" w:eastAsia="仿宋_GB2312"/>
                      <w:sz w:val="24"/>
                    </w:rPr>
                    <w:t>:≥620mm×450mm×30mm，采用全新ABS一体注塑成型；桌面正前方设有专用笔槽；前沿设有整根挡物条、两侧门字型防滑落凸型挡物条，凸条呈斜坡形设计；内侧靠近胸口位置做弧形人体工学内凹设计；桌面下方内置矩形加强固定管。</w:t>
                  </w:r>
                  <w:r>
                    <w:br/>
                  </w: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桌斗</w:t>
                  </w:r>
                  <w:r>
                    <w:rPr>
                      <w:rFonts w:ascii="仿宋_GB2312" w:hAnsi="仿宋_GB2312" w:cs="仿宋_GB2312" w:eastAsia="仿宋_GB2312"/>
                      <w:sz w:val="24"/>
                    </w:rPr>
                    <w:t>:内径尺寸≥长450mm×宽330mm，高130mm，采用一级PP工程塑料一体注塑成型，书箱后方设有5根加强筋，长度20mm，箱体侧壁带加强筋结构，提升抗冲击、抗形变能力，承重性更强，达到环保要求，底部设计有20条圆柱形排水槽，书箱底部靠胸前设有挡笔槽，方便学生放置文具。</w:t>
                  </w:r>
                  <w:r>
                    <w:br/>
                  </w:r>
                  <w:r>
                    <w:rPr>
                      <w:rFonts w:ascii="仿宋_GB2312" w:hAnsi="仿宋_GB2312" w:cs="仿宋_GB2312" w:eastAsia="仿宋_GB2312"/>
                      <w:sz w:val="24"/>
                    </w:rPr>
                    <w:t>3</w:t>
                  </w:r>
                  <w:r>
                    <w:rPr>
                      <w:rFonts w:ascii="仿宋_GB2312" w:hAnsi="仿宋_GB2312" w:cs="仿宋_GB2312" w:eastAsia="仿宋_GB2312"/>
                      <w:sz w:val="24"/>
                    </w:rPr>
                    <w:t>.</w:t>
                  </w:r>
                  <w:r>
                    <w:rPr>
                      <w:rFonts w:ascii="仿宋_GB2312" w:hAnsi="仿宋_GB2312" w:cs="仿宋_GB2312" w:eastAsia="仿宋_GB2312"/>
                      <w:sz w:val="24"/>
                    </w:rPr>
                    <w:t>桌架：桌子立柱采用</w:t>
                  </w:r>
                  <w:r>
                    <w:rPr>
                      <w:rFonts w:ascii="仿宋_GB2312" w:hAnsi="仿宋_GB2312" w:cs="仿宋_GB2312" w:eastAsia="仿宋_GB2312"/>
                      <w:sz w:val="24"/>
                    </w:rPr>
                    <w:t>≥30*70*1.2mm优质冷轧椭圆形钢管，连接横档管25*54*1.2mm优质扁圆管，桌子升降内管采用：25*54*1.2mm优质冷轧椭圆形钢管，桌子地脚采用30*60*1.2mm优质椭圆钢管。采用焊接，满焊无焊缝。</w:t>
                  </w:r>
                  <w:r>
                    <w:br/>
                  </w:r>
                  <w:r>
                    <w:rPr>
                      <w:rFonts w:ascii="仿宋_GB2312" w:hAnsi="仿宋_GB2312" w:cs="仿宋_GB2312" w:eastAsia="仿宋_GB2312"/>
                      <w:sz w:val="24"/>
                    </w:rPr>
                    <w:t>4</w:t>
                  </w:r>
                  <w:r>
                    <w:rPr>
                      <w:rFonts w:ascii="仿宋_GB2312" w:hAnsi="仿宋_GB2312" w:cs="仿宋_GB2312" w:eastAsia="仿宋_GB2312"/>
                      <w:sz w:val="24"/>
                    </w:rPr>
                    <w:t>.</w:t>
                  </w:r>
                  <w:r>
                    <w:rPr>
                      <w:rFonts w:ascii="仿宋_GB2312" w:hAnsi="仿宋_GB2312" w:cs="仿宋_GB2312" w:eastAsia="仿宋_GB2312"/>
                      <w:sz w:val="24"/>
                    </w:rPr>
                    <w:t>桌面翻转结构：翻转结构位于桌斗两侧，整体分为上方支撑架、中间塑料扳手和下方底座三个部分组成，底座扣在支撑架内，将调节塑料扳手隐藏在中间，通过不锈钢卡梢连接；支撑架采用</w:t>
                  </w:r>
                  <w:r>
                    <w:rPr>
                      <w:rFonts w:ascii="仿宋_GB2312" w:hAnsi="仿宋_GB2312" w:cs="仿宋_GB2312" w:eastAsia="仿宋_GB2312"/>
                      <w:sz w:val="24"/>
                    </w:rPr>
                    <w:t>2mm厚钢板经激光切割机切割一次冲压成型，规格：≥长320mm*宽33mm*高50mm，支撑架位于桌面下方，可同时起到支撑桌面的作用；底座采用2mm厚钢板经激光切割机切割一次冲压成型，规格：≥长85mm*宽29mm*高45mm，桌子上叉两侧各配一只PP塑料挂勾，底座与桌架升降管采用焊接，左右满焊焊接在一起；通过轻按调节塑料扳手的方式使桌面桌斗可整体翻转呈130°倾斜状态，便于前排学生躺平时不用升起课桌，午睡时操作方便实用。</w:t>
                  </w:r>
                  <w:r>
                    <w:br/>
                  </w:r>
                  <w:r>
                    <w:rPr>
                      <w:rFonts w:ascii="仿宋_GB2312" w:hAnsi="仿宋_GB2312" w:cs="仿宋_GB2312" w:eastAsia="仿宋_GB2312"/>
                      <w:sz w:val="24"/>
                    </w:rPr>
                    <w:t>5</w:t>
                  </w:r>
                  <w:r>
                    <w:rPr>
                      <w:rFonts w:ascii="仿宋_GB2312" w:hAnsi="仿宋_GB2312" w:cs="仿宋_GB2312" w:eastAsia="仿宋_GB2312"/>
                      <w:sz w:val="24"/>
                    </w:rPr>
                    <w:t>.</w:t>
                  </w:r>
                  <w:r>
                    <w:rPr>
                      <w:rFonts w:ascii="仿宋_GB2312" w:hAnsi="仿宋_GB2312" w:cs="仿宋_GB2312" w:eastAsia="仿宋_GB2312"/>
                      <w:sz w:val="24"/>
                    </w:rPr>
                    <w:t>桌下储物腿托：</w:t>
                  </w:r>
                  <w:r>
                    <w:rPr>
                      <w:rFonts w:ascii="仿宋_GB2312" w:hAnsi="仿宋_GB2312" w:cs="仿宋_GB2312" w:eastAsia="仿宋_GB2312"/>
                      <w:sz w:val="24"/>
                    </w:rPr>
                    <w:t>≥长435×宽105×高235mm，采用符合国家标准的PP一级新料一体注塑成型，无拼接缝隙</w:t>
                  </w:r>
                  <w:r>
                    <w:rPr>
                      <w:rFonts w:ascii="仿宋_GB2312" w:hAnsi="仿宋_GB2312" w:cs="仿宋_GB2312" w:eastAsia="仿宋_GB2312"/>
                      <w:sz w:val="24"/>
                    </w:rPr>
                    <w:t>。</w:t>
                  </w:r>
                  <w:r>
                    <w:br/>
                  </w:r>
                  <w:r>
                    <w:rPr>
                      <w:rFonts w:ascii="仿宋_GB2312" w:hAnsi="仿宋_GB2312" w:cs="仿宋_GB2312" w:eastAsia="仿宋_GB2312"/>
                      <w:sz w:val="24"/>
                    </w:rPr>
                    <w:t>6</w:t>
                  </w:r>
                  <w:r>
                    <w:rPr>
                      <w:rFonts w:ascii="仿宋_GB2312" w:hAnsi="仿宋_GB2312" w:cs="仿宋_GB2312" w:eastAsia="仿宋_GB2312"/>
                      <w:sz w:val="24"/>
                    </w:rPr>
                    <w:t>.</w:t>
                  </w:r>
                  <w:r>
                    <w:rPr>
                      <w:rFonts w:ascii="仿宋_GB2312" w:hAnsi="仿宋_GB2312" w:cs="仿宋_GB2312" w:eastAsia="仿宋_GB2312"/>
                      <w:sz w:val="24"/>
                    </w:rPr>
                    <w:t>腿托固定件规格：</w:t>
                  </w:r>
                  <w:r>
                    <w:rPr>
                      <w:rFonts w:ascii="仿宋_GB2312" w:hAnsi="仿宋_GB2312" w:cs="仿宋_GB2312" w:eastAsia="仿宋_GB2312"/>
                      <w:sz w:val="24"/>
                    </w:rPr>
                    <w:t>≥110*45*40（±2）mm，采用符合国家标准的PP一级新料一体注塑成型，耐冲击，耐抗压，耐磨；功能：午休时可通过翻转即可托起腿部不滑落，学习端坐的时候可储物。</w:t>
                  </w:r>
                  <w:r>
                    <w:br/>
                  </w:r>
                  <w:r>
                    <w:rPr>
                      <w:rFonts w:ascii="仿宋_GB2312" w:hAnsi="仿宋_GB2312" w:cs="仿宋_GB2312" w:eastAsia="仿宋_GB2312"/>
                      <w:sz w:val="24"/>
                    </w:rPr>
                    <w:t>7</w:t>
                  </w:r>
                  <w:r>
                    <w:rPr>
                      <w:rFonts w:ascii="仿宋_GB2312" w:hAnsi="仿宋_GB2312" w:cs="仿宋_GB2312" w:eastAsia="仿宋_GB2312"/>
                      <w:sz w:val="24"/>
                    </w:rPr>
                    <w:t>.</w:t>
                  </w:r>
                  <w:r>
                    <w:rPr>
                      <w:rFonts w:ascii="仿宋_GB2312" w:hAnsi="仿宋_GB2312" w:cs="仿宋_GB2312" w:eastAsia="仿宋_GB2312"/>
                      <w:sz w:val="24"/>
                    </w:rPr>
                    <w:t>课桌升降方式：升降采用套管式内机权螺杆手摇式升降。</w:t>
                  </w:r>
                </w:p>
                <w:p>
                  <w:pPr>
                    <w:pStyle w:val="null3"/>
                    <w:jc w:val="left"/>
                  </w:pPr>
                  <w:r>
                    <w:rPr>
                      <w:rFonts w:ascii="仿宋_GB2312" w:hAnsi="仿宋_GB2312" w:cs="仿宋_GB2312" w:eastAsia="仿宋_GB2312"/>
                      <w:sz w:val="24"/>
                    </w:rPr>
                    <w:t>8.</w:t>
                  </w:r>
                  <w:r>
                    <w:rPr>
                      <w:rFonts w:ascii="仿宋_GB2312" w:hAnsi="仿宋_GB2312" w:cs="仿宋_GB2312" w:eastAsia="仿宋_GB2312"/>
                      <w:sz w:val="24"/>
                    </w:rPr>
                    <w:t>脚套规格：</w:t>
                  </w:r>
                  <w:r>
                    <w:rPr>
                      <w:rFonts w:ascii="仿宋_GB2312" w:hAnsi="仿宋_GB2312" w:cs="仿宋_GB2312" w:eastAsia="仿宋_GB2312"/>
                      <w:sz w:val="24"/>
                    </w:rPr>
                    <w:t>≥长75*宽45mm*高85mm。</w:t>
                  </w:r>
                  <w:r>
                    <w:br/>
                  </w:r>
                  <w:r>
                    <w:rPr>
                      <w:rFonts w:ascii="仿宋_GB2312" w:hAnsi="仿宋_GB2312" w:cs="仿宋_GB2312" w:eastAsia="仿宋_GB2312"/>
                      <w:sz w:val="24"/>
                    </w:rPr>
                    <w:t>9</w:t>
                  </w:r>
                  <w:r>
                    <w:rPr>
                      <w:rFonts w:ascii="仿宋_GB2312" w:hAnsi="仿宋_GB2312" w:cs="仿宋_GB2312" w:eastAsia="仿宋_GB2312"/>
                      <w:sz w:val="24"/>
                    </w:rPr>
                    <w:t>.</w:t>
                  </w:r>
                  <w:r>
                    <w:rPr>
                      <w:rFonts w:ascii="仿宋_GB2312" w:hAnsi="仿宋_GB2312" w:cs="仿宋_GB2312" w:eastAsia="仿宋_GB2312"/>
                      <w:sz w:val="24"/>
                    </w:rPr>
                    <w:t>靠背及头枕：靠背规格</w:t>
                  </w:r>
                  <w:r>
                    <w:rPr>
                      <w:rFonts w:ascii="仿宋_GB2312" w:hAnsi="仿宋_GB2312" w:cs="仿宋_GB2312" w:eastAsia="仿宋_GB2312"/>
                      <w:sz w:val="24"/>
                    </w:rPr>
                    <w:t>≥长440*高460mm，采用国标PP一级全新原料，无回料、无杂料，环保安全无异味，一体注塑成型，无拼接缝隙；靠背上设有一个尺寸为≥245*155（±2）mm的头枕，圆润椭圆造型，适配头部贴合弧度，采用ABS耐冲击塑料一级新料一体注塑成型。</w:t>
                  </w:r>
                </w:p>
                <w:p>
                  <w:pPr>
                    <w:pStyle w:val="null3"/>
                    <w:jc w:val="left"/>
                  </w:pPr>
                  <w:r>
                    <w:rPr>
                      <w:rFonts w:ascii="仿宋_GB2312" w:hAnsi="仿宋_GB2312" w:cs="仿宋_GB2312" w:eastAsia="仿宋_GB2312"/>
                      <w:sz w:val="24"/>
                    </w:rPr>
                    <w:t>10</w:t>
                  </w:r>
                  <w:r>
                    <w:rPr>
                      <w:rFonts w:ascii="仿宋_GB2312" w:hAnsi="仿宋_GB2312" w:cs="仿宋_GB2312" w:eastAsia="仿宋_GB2312"/>
                      <w:sz w:val="24"/>
                    </w:rPr>
                    <w:t>.</w:t>
                  </w:r>
                  <w:r>
                    <w:rPr>
                      <w:rFonts w:ascii="仿宋_GB2312" w:hAnsi="仿宋_GB2312" w:cs="仿宋_GB2312" w:eastAsia="仿宋_GB2312"/>
                      <w:sz w:val="24"/>
                    </w:rPr>
                    <w:t>椅面规格：</w:t>
                  </w:r>
                  <w:r>
                    <w:rPr>
                      <w:rFonts w:ascii="仿宋_GB2312" w:hAnsi="仿宋_GB2312" w:cs="仿宋_GB2312" w:eastAsia="仿宋_GB2312"/>
                      <w:sz w:val="24"/>
                    </w:rPr>
                    <w:t>≥座宽430mm*座深450mm座高60mm，采用人体工学微弧形设计，采用一级全新PP塑料一体注塑成型。</w:t>
                  </w:r>
                  <w:r>
                    <w:br/>
                  </w:r>
                  <w:r>
                    <w:rPr>
                      <w:rFonts w:ascii="仿宋_GB2312" w:hAnsi="仿宋_GB2312" w:cs="仿宋_GB2312" w:eastAsia="仿宋_GB2312"/>
                      <w:sz w:val="24"/>
                    </w:rPr>
                    <w:t>11</w:t>
                  </w:r>
                  <w:r>
                    <w:rPr>
                      <w:rFonts w:ascii="仿宋_GB2312" w:hAnsi="仿宋_GB2312" w:cs="仿宋_GB2312" w:eastAsia="仿宋_GB2312"/>
                      <w:sz w:val="24"/>
                    </w:rPr>
                    <w:t>.</w:t>
                  </w:r>
                  <w:r>
                    <w:rPr>
                      <w:rFonts w:ascii="仿宋_GB2312" w:hAnsi="仿宋_GB2312" w:cs="仿宋_GB2312" w:eastAsia="仿宋_GB2312"/>
                      <w:sz w:val="24"/>
                    </w:rPr>
                    <w:t>液压杆规格：采用直径</w:t>
                  </w:r>
                  <w:r>
                    <w:rPr>
                      <w:rFonts w:ascii="仿宋_GB2312" w:hAnsi="仿宋_GB2312" w:cs="仿宋_GB2312" w:eastAsia="仿宋_GB2312"/>
                      <w:sz w:val="24"/>
                    </w:rPr>
                    <w:t>≥φ30mm钢制圆管，长度350mm。</w:t>
                  </w:r>
                </w:p>
                <w:p>
                  <w:pPr>
                    <w:pStyle w:val="null3"/>
                    <w:jc w:val="left"/>
                  </w:pPr>
                  <w:r>
                    <w:rPr>
                      <w:rFonts w:ascii="仿宋_GB2312" w:hAnsi="仿宋_GB2312" w:cs="仿宋_GB2312" w:eastAsia="仿宋_GB2312"/>
                      <w:sz w:val="24"/>
                    </w:rPr>
                    <w:t>12</w:t>
                  </w:r>
                  <w:r>
                    <w:rPr>
                      <w:rFonts w:ascii="仿宋_GB2312" w:hAnsi="仿宋_GB2312" w:cs="仿宋_GB2312" w:eastAsia="仿宋_GB2312"/>
                      <w:sz w:val="24"/>
                    </w:rPr>
                    <w:t>.</w:t>
                  </w:r>
                  <w:r>
                    <w:rPr>
                      <w:rFonts w:ascii="仿宋_GB2312" w:hAnsi="仿宋_GB2312" w:cs="仿宋_GB2312" w:eastAsia="仿宋_GB2312"/>
                      <w:sz w:val="24"/>
                    </w:rPr>
                    <w:t>液压杆固定件规格：采用</w:t>
                  </w:r>
                  <w:r>
                    <w:rPr>
                      <w:rFonts w:ascii="仿宋_GB2312" w:hAnsi="仿宋_GB2312" w:cs="仿宋_GB2312" w:eastAsia="仿宋_GB2312"/>
                      <w:sz w:val="24"/>
                    </w:rPr>
                    <w:t>45*80*4mm厚钢板经激光切割机切割成型。</w:t>
                  </w:r>
                  <w:r>
                    <w:br/>
                  </w:r>
                  <w:r>
                    <w:rPr>
                      <w:rFonts w:ascii="仿宋_GB2312" w:hAnsi="仿宋_GB2312" w:cs="仿宋_GB2312" w:eastAsia="仿宋_GB2312"/>
                      <w:sz w:val="24"/>
                    </w:rPr>
                    <w:t>13</w:t>
                  </w:r>
                  <w:r>
                    <w:rPr>
                      <w:rFonts w:ascii="仿宋_GB2312" w:hAnsi="仿宋_GB2312" w:cs="仿宋_GB2312" w:eastAsia="仿宋_GB2312"/>
                      <w:sz w:val="24"/>
                    </w:rPr>
                    <w:t>.</w:t>
                  </w:r>
                  <w:r>
                    <w:rPr>
                      <w:rFonts w:ascii="仿宋_GB2312" w:hAnsi="仿宋_GB2312" w:cs="仿宋_GB2312" w:eastAsia="仿宋_GB2312"/>
                      <w:sz w:val="24"/>
                    </w:rPr>
                    <w:t>液压杆保护罩规格：</w:t>
                  </w:r>
                  <w:r>
                    <w:rPr>
                      <w:rFonts w:ascii="仿宋_GB2312" w:hAnsi="仿宋_GB2312" w:cs="仿宋_GB2312" w:eastAsia="仿宋_GB2312"/>
                      <w:sz w:val="24"/>
                    </w:rPr>
                    <w:t>≥405*95*100mm，采用符合国家标准的ABS耐冲击一级新料一体注塑成型。</w:t>
                  </w:r>
                  <w:r>
                    <w:br/>
                  </w:r>
                  <w:r>
                    <w:rPr>
                      <w:rFonts w:ascii="仿宋_GB2312" w:hAnsi="仿宋_GB2312" w:cs="仿宋_GB2312" w:eastAsia="仿宋_GB2312"/>
                      <w:sz w:val="24"/>
                    </w:rPr>
                    <w:t>14</w:t>
                  </w:r>
                  <w:r>
                    <w:rPr>
                      <w:rFonts w:ascii="仿宋_GB2312" w:hAnsi="仿宋_GB2312" w:cs="仿宋_GB2312" w:eastAsia="仿宋_GB2312"/>
                      <w:sz w:val="24"/>
                    </w:rPr>
                    <w:t>.</w:t>
                  </w:r>
                  <w:r>
                    <w:rPr>
                      <w:rFonts w:ascii="仿宋_GB2312" w:hAnsi="仿宋_GB2312" w:cs="仿宋_GB2312" w:eastAsia="仿宋_GB2312"/>
                      <w:sz w:val="24"/>
                    </w:rPr>
                    <w:t>椅架：椅子立柱采用</w:t>
                  </w:r>
                  <w:r>
                    <w:rPr>
                      <w:rFonts w:ascii="仿宋_GB2312" w:hAnsi="仿宋_GB2312" w:cs="仿宋_GB2312" w:eastAsia="仿宋_GB2312"/>
                      <w:sz w:val="24"/>
                    </w:rPr>
                    <w:t>≥30*70*1.2mm优质冷轧椭圆形钢管，连接横档管采用2根25*54*1.2mm优质扁圆管，椅子升降内管采用：≥25*54*1.2mm优质冷轧椭圆形钢管，椅子地脚采用≥30*60*1.2mm优质椭圆钢管，座板支架采用≥30*40*1.2mm加≥20*30*1.2mm优质矩形管，口字型焊接，预留座板螺丝孔位，靠背管采用≥28*28*1.5mm圆管加≥15*30*1.5mm椭圆管。</w:t>
                  </w:r>
                </w:p>
                <w:p>
                  <w:pPr>
                    <w:pStyle w:val="null3"/>
                    <w:jc w:val="left"/>
                  </w:pPr>
                  <w:r>
                    <w:rPr>
                      <w:rFonts w:ascii="仿宋_GB2312" w:hAnsi="仿宋_GB2312" w:cs="仿宋_GB2312" w:eastAsia="仿宋_GB2312"/>
                      <w:sz w:val="24"/>
                    </w:rPr>
                    <w:t>15</w:t>
                  </w:r>
                  <w:r>
                    <w:rPr>
                      <w:rFonts w:ascii="仿宋_GB2312" w:hAnsi="仿宋_GB2312" w:cs="仿宋_GB2312" w:eastAsia="仿宋_GB2312"/>
                      <w:sz w:val="24"/>
                    </w:rPr>
                    <w:t>.</w:t>
                  </w:r>
                  <w:r>
                    <w:rPr>
                      <w:rFonts w:ascii="仿宋_GB2312" w:hAnsi="仿宋_GB2312" w:cs="仿宋_GB2312" w:eastAsia="仿宋_GB2312"/>
                      <w:sz w:val="24"/>
                    </w:rPr>
                    <w:t>椅子升降方式：升降采用套管式内机权螺杆手摇式升降。</w:t>
                  </w:r>
                  <w:r>
                    <w:rPr>
                      <w:rFonts w:ascii="仿宋_GB2312" w:hAnsi="仿宋_GB2312" w:cs="仿宋_GB2312" w:eastAsia="仿宋_GB2312"/>
                      <w:sz w:val="24"/>
                    </w:rPr>
                    <w:t>16、脚套规格：≥长75*宽45mm*高85mm。</w:t>
                  </w:r>
                </w:p>
              </w:tc>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1000</w:t>
                  </w:r>
                </w:p>
              </w:tc>
              <w:tc>
                <w:tcPr>
                  <w:tcW w:type="dxa" w:w="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自合同签订生效起30日历天</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其他，合同签订生效后，达到付款条件起10个工作日内，支付合同总金额的30.0%</w:t>
      </w:r>
    </w:p>
    <w:p>
      <w:pPr>
        <w:pStyle w:val="null3"/>
        <w:ind w:firstLine="1200"/>
      </w:pPr>
      <w:r>
        <w:rPr>
          <w:rFonts w:ascii="仿宋_GB2312" w:hAnsi="仿宋_GB2312" w:cs="仿宋_GB2312" w:eastAsia="仿宋_GB2312"/>
        </w:rPr>
        <w:t>2、</w:t>
      </w:r>
      <w:r>
        <w:rPr>
          <w:rFonts w:ascii="仿宋_GB2312" w:hAnsi="仿宋_GB2312" w:cs="仿宋_GB2312" w:eastAsia="仿宋_GB2312"/>
        </w:rPr>
        <w:t>其他，全部货物运抵甲方指定地点，经甲方开箱初步检验合格并安装调试到位后，达到付款条件起10个工作日内，支付合同总金额的30.0%</w:t>
      </w:r>
    </w:p>
    <w:p>
      <w:pPr>
        <w:pStyle w:val="null3"/>
        <w:ind w:firstLine="1200"/>
      </w:pPr>
      <w:r>
        <w:rPr>
          <w:rFonts w:ascii="仿宋_GB2312" w:hAnsi="仿宋_GB2312" w:cs="仿宋_GB2312" w:eastAsia="仿宋_GB2312"/>
        </w:rPr>
        <w:t>3、</w:t>
      </w:r>
      <w:r>
        <w:rPr>
          <w:rFonts w:ascii="仿宋_GB2312" w:hAnsi="仿宋_GB2312" w:cs="仿宋_GB2312" w:eastAsia="仿宋_GB2312"/>
        </w:rPr>
        <w:t>其他，终验合格后一年内，达到付款条件起10个工作日内，支付合同总金额的40.0%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1.项目验收分初验和终验: 初验：货物到达交货地点后，由使用单位根据合同对货物（设备）的名称、品牌、规格、型号、产地、数量进行检查。 终验：所有货物(设备)安装、调试完毕，正常使用10个日历日后， 由采购人进行终验（最终验收），合格后签发《终验合格单》。 2.验收不合格的中标单位，必须在接到通知后7个日历日内确保货物通过验收。如接到通知后7个日历日内验收仍不合格，采购人可提出索赔或取消其供货合同。采购代理机构将把中标资格授予评审排序下一名的中标单位。</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质保期为终验合格后1年（如参数中有具体要求的，按参数要求提供质保）</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根据合同约定执行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具有独立承担民事责任能力的法人、其他组织或自然人，提供合法注册的法人或者其他组织的营业执照等证明文件、自然人的身份证明；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具有财务审计资质单位出具的2025年度财务审计报告（成立时间至开标时间不足一年的可提供成立后任意时段的资产负债表）或开标前六个月内其基本账户银行出具的资信证明（附开户许可证或基本账户证明）或政府采购信用担保机构出具的投标担保函；</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提供截止至开标时间前一年内任意一个月已缴纳的纳税证明或完税证明（包含增值税、企业所得税、营业税至少一种）；（依法免税的投标人应提供相关文件证明）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提供截止至开标时间前一年内任意一个月已缴纳的社保缴费凭据或社保机构开具的社会保险参保缴费情况证明；（依法不需要缴纳社会保障资金的投标人应提供相关证明）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具有履行本合同所必需的设备和专业技术能力的说明及承诺</w:t>
            </w:r>
          </w:p>
        </w:tc>
        <w:tc>
          <w:tcPr>
            <w:tcW w:type="dxa" w:w="3322"/>
          </w:tcPr>
          <w:p>
            <w:pPr>
              <w:pStyle w:val="null3"/>
            </w:pPr>
            <w:r>
              <w:rPr>
                <w:rFonts w:ascii="仿宋_GB2312" w:hAnsi="仿宋_GB2312" w:cs="仿宋_GB2312" w:eastAsia="仿宋_GB2312"/>
              </w:rPr>
              <w:t>提供具有履行本合同所必需的设备和专业技术能力的说明及承诺；（格式自拟，加盖投标人公章）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参加政府采购活动前三年内在经营活动中没有重大违法记录的书面声明</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提供参加政府采购活动前三年内在经营活动中没有重大违法记录的书面声明；（格式自拟，加盖投标人公章）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法定代表人或负责人资格证明书</w:t>
            </w:r>
          </w:p>
        </w:tc>
        <w:tc>
          <w:tcPr>
            <w:tcW w:type="dxa" w:w="3322"/>
          </w:tcPr>
          <w:p>
            <w:pPr>
              <w:pStyle w:val="null3"/>
            </w:pPr>
            <w:r>
              <w:rPr>
                <w:rFonts w:ascii="仿宋_GB2312" w:hAnsi="仿宋_GB2312" w:cs="仿宋_GB2312" w:eastAsia="仿宋_GB2312"/>
              </w:rPr>
              <w:t>法定代表人或负责人参与投标时需提供法定代表人或负责人资格证明书；（附法定代表人或负责人身份证复印件）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法定代表人或负责人授权委托书</w:t>
            </w:r>
          </w:p>
        </w:tc>
        <w:tc>
          <w:tcPr>
            <w:tcW w:type="dxa" w:w="3322"/>
          </w:tcPr>
          <w:p>
            <w:pPr>
              <w:pStyle w:val="null3"/>
            </w:pPr>
            <w:r>
              <w:rPr>
                <w:rFonts w:ascii="仿宋_GB2312" w:hAnsi="仿宋_GB2312" w:cs="仿宋_GB2312" w:eastAsia="仿宋_GB2312"/>
              </w:rPr>
              <w:t>被授权人参与投标时需提供法定代表人或负责人授权委托书；（附法定代表人或负责人及被授权人身份证复印件）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投标人不得为“信用中国”网站（www.creditchina.gov.cn）中列入失信被执行人和重大税收违法案件当事人名单的投标人，不得为中国政府采购网（www.ccgp.gov.cn）政府采购严重违法失信行为记录名单中被财政部门禁止参加政府采购活动的投标人；</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单位负责人为同一人或者存在直接控股、管理关系的不同投标人，不得参加同一合同项下的政府采购活动</w:t>
            </w:r>
          </w:p>
        </w:tc>
        <w:tc>
          <w:tcPr>
            <w:tcW w:type="dxa" w:w="3322"/>
          </w:tcPr>
          <w:p>
            <w:pPr>
              <w:pStyle w:val="null3"/>
            </w:pPr>
            <w:r>
              <w:rPr>
                <w:rFonts w:ascii="仿宋_GB2312" w:hAnsi="仿宋_GB2312" w:cs="仿宋_GB2312" w:eastAsia="仿宋_GB2312"/>
              </w:rPr>
              <w:t>单位负责人为同一人或者存在直接控股、管理关系的不同投标人，不得参加同一合同项下的政府采购活动；（提供书面承诺函，格式自拟加盖投标人公章）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本项目不接受联合体投标</w:t>
            </w:r>
          </w:p>
        </w:tc>
        <w:tc>
          <w:tcPr>
            <w:tcW w:type="dxa" w:w="3322"/>
          </w:tcPr>
          <w:p>
            <w:pPr>
              <w:pStyle w:val="null3"/>
            </w:pPr>
            <w:r>
              <w:rPr>
                <w:rFonts w:ascii="仿宋_GB2312" w:hAnsi="仿宋_GB2312" w:cs="仿宋_GB2312" w:eastAsia="仿宋_GB2312"/>
              </w:rPr>
              <w:t>本项目不接受联合体投标。（提供书面承诺函，格式自拟加盖投标人公章）</w:t>
            </w:r>
          </w:p>
        </w:tc>
        <w:tc>
          <w:tcPr>
            <w:tcW w:type="dxa" w:w="1661"/>
          </w:tcPr>
          <w:p>
            <w:pPr>
              <w:pStyle w:val="null3"/>
            </w:pPr>
            <w:r>
              <w:rPr>
                <w:rFonts w:ascii="仿宋_GB2312" w:hAnsi="仿宋_GB2312" w:cs="仿宋_GB2312" w:eastAsia="仿宋_GB2312"/>
              </w:rPr>
              <w:t>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分项报价表.docx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投标文件按招标文件要求的数量、计量单位、报价货币及签字盖章</w:t>
            </w:r>
          </w:p>
        </w:tc>
        <w:tc>
          <w:tcPr>
            <w:tcW w:type="dxa" w:w="3322"/>
          </w:tcPr>
          <w:p>
            <w:pPr>
              <w:pStyle w:val="null3"/>
            </w:pPr>
            <w:r>
              <w:rPr>
                <w:rFonts w:ascii="仿宋_GB2312" w:hAnsi="仿宋_GB2312" w:cs="仿宋_GB2312" w:eastAsia="仿宋_GB2312"/>
              </w:rPr>
              <w:t>投标文件按招标文件要求的计量单位、报价货币及签字盖章（合格）投标文件未按招标文件要求的计量单位、报价货币及签字盖章（不合格）</w:t>
            </w:r>
          </w:p>
        </w:tc>
        <w:tc>
          <w:tcPr>
            <w:tcW w:type="dxa" w:w="1661"/>
          </w:tcPr>
          <w:p>
            <w:pPr>
              <w:pStyle w:val="null3"/>
            </w:pPr>
            <w:r>
              <w:rPr>
                <w:rFonts w:ascii="仿宋_GB2312" w:hAnsi="仿宋_GB2312" w:cs="仿宋_GB2312" w:eastAsia="仿宋_GB2312"/>
              </w:rPr>
              <w:t>开标一览表 本国产品说明 中小企业声明函 商务应答表 承诺书.docx 中国境内生产的组件成本核算基本规则 项目实施方案.docx 资格证明文件.docx 投标人应提交的相关资格证明材料 产品技术参数表 分项报价表.docx 投标函 残疾人福利性单位声明函 技术响应偏离表.docx 业绩证明材料.docx 标的清单 关于符合本国产品标准的声明函 产品的合法渠道证明文件.docx 投标文件封面 供应商认为有必要说明的事宜.docx 节能环保、环境标志产品明细表.docx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投标文件有效期</w:t>
            </w:r>
          </w:p>
        </w:tc>
        <w:tc>
          <w:tcPr>
            <w:tcW w:type="dxa" w:w="3322"/>
          </w:tcPr>
          <w:p>
            <w:pPr>
              <w:pStyle w:val="null3"/>
            </w:pPr>
            <w:r>
              <w:rPr>
                <w:rFonts w:ascii="仿宋_GB2312" w:hAnsi="仿宋_GB2312" w:cs="仿宋_GB2312" w:eastAsia="仿宋_GB2312"/>
              </w:rPr>
              <w:t>符合招标文件的要求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只能有一个有效报价，且报价不超过采购预算或最高限价</w:t>
            </w:r>
          </w:p>
        </w:tc>
        <w:tc>
          <w:tcPr>
            <w:tcW w:type="dxa" w:w="1661"/>
          </w:tcPr>
          <w:p>
            <w:pPr>
              <w:pStyle w:val="null3"/>
            </w:pPr>
            <w:r>
              <w:rPr>
                <w:rFonts w:ascii="仿宋_GB2312" w:hAnsi="仿宋_GB2312" w:cs="仿宋_GB2312" w:eastAsia="仿宋_GB2312"/>
              </w:rPr>
              <w:t>分项报价表.docx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交货期/合同履行期限</w:t>
            </w:r>
          </w:p>
        </w:tc>
        <w:tc>
          <w:tcPr>
            <w:tcW w:type="dxa" w:w="3322"/>
          </w:tcPr>
          <w:p>
            <w:pPr>
              <w:pStyle w:val="null3"/>
            </w:pPr>
            <w:r>
              <w:rPr>
                <w:rFonts w:ascii="仿宋_GB2312" w:hAnsi="仿宋_GB2312" w:cs="仿宋_GB2312" w:eastAsia="仿宋_GB2312"/>
              </w:rPr>
              <w:t>应满足招标文件中的规定</w:t>
            </w:r>
          </w:p>
        </w:tc>
        <w:tc>
          <w:tcPr>
            <w:tcW w:type="dxa" w:w="1661"/>
          </w:tcPr>
          <w:p>
            <w:pPr>
              <w:pStyle w:val="null3"/>
            </w:pPr>
            <w:r>
              <w:rPr>
                <w:rFonts w:ascii="仿宋_GB2312" w:hAnsi="仿宋_GB2312" w:cs="仿宋_GB2312" w:eastAsia="仿宋_GB2312"/>
              </w:rPr>
              <w:t>商务应答表 承诺书.docx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其他实质性要求</w:t>
            </w:r>
          </w:p>
        </w:tc>
        <w:tc>
          <w:tcPr>
            <w:tcW w:type="dxa" w:w="3322"/>
          </w:tcPr>
          <w:p>
            <w:pPr>
              <w:pStyle w:val="null3"/>
            </w:pPr>
            <w:r>
              <w:rPr>
                <w:rFonts w:ascii="仿宋_GB2312" w:hAnsi="仿宋_GB2312" w:cs="仿宋_GB2312" w:eastAsia="仿宋_GB2312"/>
              </w:rPr>
              <w:t>法律、法规和招标文件中规定的其他实质性要求</w:t>
            </w:r>
          </w:p>
        </w:tc>
        <w:tc>
          <w:tcPr>
            <w:tcW w:type="dxa" w:w="1661"/>
          </w:tcPr>
          <w:p>
            <w:pPr>
              <w:pStyle w:val="null3"/>
            </w:pPr>
            <w:r>
              <w:rPr>
                <w:rFonts w:ascii="仿宋_GB2312" w:hAnsi="仿宋_GB2312" w:cs="仿宋_GB2312" w:eastAsia="仿宋_GB2312"/>
              </w:rPr>
              <w:t>商务应答表 技术响应偏离表.docx 承诺书.docx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技术响应</w:t>
            </w:r>
          </w:p>
        </w:tc>
        <w:tc>
          <w:tcPr>
            <w:tcW w:type="dxa" w:w="2492"/>
          </w:tcPr>
          <w:p>
            <w:pPr>
              <w:pStyle w:val="null3"/>
            </w:pPr>
            <w:r>
              <w:rPr>
                <w:rFonts w:ascii="仿宋_GB2312" w:hAnsi="仿宋_GB2312" w:cs="仿宋_GB2312" w:eastAsia="仿宋_GB2312"/>
              </w:rPr>
              <w:t>评标委员会将根据投标文件中对技术部分的应答，并结合投标人提供的佐证资料，对技术部分进行综合评价。 投标人所投产品的技术参数▲项（共13项），完全满足招标文件要求的得19.5分，负偏离每项扣1.5分，非▲项参数条款（共85项），完全满足招标文件要求的得25.5分，负偏离每项扣0.3分，扣完为止。 注：若佐证材料（包括但不限于检测报告、技术白皮书、厂家产品说明等）低于招标文件规定的相应技术指标、参数时视为负偏离。</w:t>
            </w:r>
          </w:p>
        </w:tc>
        <w:tc>
          <w:tcPr>
            <w:tcW w:type="dxa" w:w="831"/>
          </w:tcPr>
          <w:p>
            <w:pPr>
              <w:pStyle w:val="null3"/>
              <w:jc w:val="right"/>
            </w:pPr>
            <w:r>
              <w:rPr>
                <w:rFonts w:ascii="仿宋_GB2312" w:hAnsi="仿宋_GB2312" w:cs="仿宋_GB2312" w:eastAsia="仿宋_GB2312"/>
              </w:rPr>
              <w:t>45.0000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技术响应偏离表.docx</w:t>
            </w:r>
          </w:p>
          <w:p>
            <w:pPr>
              <w:pStyle w:val="null3"/>
            </w:pPr>
            <w:r>
              <w:rPr>
                <w:rFonts w:ascii="仿宋_GB2312" w:hAnsi="仿宋_GB2312" w:cs="仿宋_GB2312" w:eastAsia="仿宋_GB2312"/>
              </w:rPr>
              <w:t>供应商认为有必要说明的事宜.docx</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 投标人需针对本项目提供完整的项目实施方案。内容包含：①供货方案；②运输、包装方案；③安装、调试、进度保障方案；④质量保障方案；并按照以下标准评审： 二、评审标准：以上4项，以序号①、②、③、④为项数，内容无缺项且无缺陷的得6分，其中每有一项内容存在缺项扣1.5分，每项内容中每有一处存在缺陷的扣0.2分，扣完为止，未提供不得分。 三、赋分说明：“缺陷”是指套用其他项目方案内容；存在不适用项目实际情况的情形，未能体现出本项目的特点或与本项目实际需求不完全相符；引用科学原理错误以及无法实现的情形，引用的法律法规、标准（方法）或其他规范性文件错误；语言错误或存在歧义，前后内容不一，逻辑错误。</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供应商认为有必要说明的事宜.docx</w:t>
            </w:r>
          </w:p>
          <w:p>
            <w:pPr>
              <w:pStyle w:val="null3"/>
            </w:pPr>
            <w:r>
              <w:rPr>
                <w:rFonts w:ascii="仿宋_GB2312" w:hAnsi="仿宋_GB2312" w:cs="仿宋_GB2312" w:eastAsia="仿宋_GB2312"/>
              </w:rPr>
              <w:t>项目实施方案.docx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一、评审内容 根据项目实际需求，提供质量保证方案。内容包含：①产品性能、使用寿命及效果②质量保证措施。二、评审标准：以上2项，以序号①、②为项数，内容无缺项且无缺陷的得6分，其中每有一项内容存在缺项扣3分，每项内容中每有一处存在缺陷的扣0.2分，扣完为止，未提供不得分。 三、赋分说明：“缺陷”是指套用其他项目方案内容；存在不适用项目实际情况的情形，未能体现出本项目的特点或与本项目实际需求不完全相符；引用科学原理错误以及无法实现的情形，引用的法律法规、标准（方法）或其他规范性文件错误；语言错误或存在歧义，前后内容不一，逻辑错误。</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供应商认为有必要说明的事宜.docx</w:t>
            </w:r>
          </w:p>
          <w:p>
            <w:pPr>
              <w:pStyle w:val="null3"/>
            </w:pPr>
            <w:r>
              <w:rPr>
                <w:rFonts w:ascii="仿宋_GB2312" w:hAnsi="仿宋_GB2312" w:cs="仿宋_GB2312" w:eastAsia="仿宋_GB2312"/>
              </w:rPr>
              <w:t>项目实施方案.docx</w:t>
            </w:r>
          </w:p>
        </w:tc>
      </w:tr>
      <w:tr>
        <w:tc>
          <w:tcPr>
            <w:tcW w:type="dxa" w:w="831"/>
            <w:vMerge/>
          </w:tcPr>
          <w:p/>
        </w:tc>
        <w:tc>
          <w:tcPr>
            <w:tcW w:type="dxa" w:w="1661"/>
          </w:tcPr>
          <w:p>
            <w:pPr>
              <w:pStyle w:val="null3"/>
            </w:pPr>
            <w:r>
              <w:rPr>
                <w:rFonts w:ascii="仿宋_GB2312" w:hAnsi="仿宋_GB2312" w:cs="仿宋_GB2312" w:eastAsia="仿宋_GB2312"/>
              </w:rPr>
              <w:t>产品渠道</w:t>
            </w:r>
          </w:p>
        </w:tc>
        <w:tc>
          <w:tcPr>
            <w:tcW w:type="dxa" w:w="2492"/>
          </w:tcPr>
          <w:p>
            <w:pPr>
              <w:pStyle w:val="null3"/>
            </w:pPr>
            <w:r>
              <w:rPr>
                <w:rFonts w:ascii="仿宋_GB2312" w:hAnsi="仿宋_GB2312" w:cs="仿宋_GB2312" w:eastAsia="仿宋_GB2312"/>
              </w:rPr>
              <w:t>能提供所投核心产品（共2项）的合法来源渠道证明文件（不限于产品制造商授权、销售协议、代理协议等），每提供一个产品计0.5分，满分1分，未提供不计分。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产品的合法渠道证明文件.docx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以合同复印件形式提供投标人2023年1月1日至今类似项目业绩，每份计1分，计满2分为止。 注：投标人需提供采购合同（含采购设备品牌型号页、配置清单页、签字盖章页）复印件，否则业绩不予认可。</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业绩证明材料.docx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一、评审内容 根据项目实际需求提供售后服务方案。内容包含：①售后服务范围及保障措施②售后服务流程③售后服务响应时间及响应方式；并按以下标准评审： 二、评审标准：以上3项，以序号①、②、③为项数，内容无缺项且无缺陷的得5分，其中①售后服务范围及保障措施满分2.0分，每项内容中每有一处存在缺陷的扣0.2分，扣完为止，未提供不得分；②、③其中每有一项内容存在缺项扣1.5分，每项内容中每有一处存在缺陷的扣0.2分，扣完为止，未提供不得分。 三、赋分说明：“缺陷”是指套用其他项目方案内容；存在不适用项目实际情况的情形，未能体现出本项目的特点或与本项目实际需求不完全相符；引用科学原理错误以及无法实现的情形，引用的法律法规、标准（方法）或其他规范性文件错误；语言错误或存在歧义，前后内容不一，逻辑错误。</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供应商认为有必要说明的事宜.docx</w:t>
            </w:r>
          </w:p>
          <w:p>
            <w:pPr>
              <w:pStyle w:val="null3"/>
            </w:pPr>
            <w:r>
              <w:rPr>
                <w:rFonts w:ascii="仿宋_GB2312" w:hAnsi="仿宋_GB2312" w:cs="仿宋_GB2312" w:eastAsia="仿宋_GB2312"/>
              </w:rPr>
              <w:t>项目实施方案.docx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一、评审内容 根据项目实际需求提供培训方案。内容包含：①培训方式、培训时间安排②培训范围及内容；并按以下标准评审： 二、评审标准：以上2项，以序号①、②为项数，内容无缺项且无缺陷的得3分，其中每有一项内容存在缺项扣1.5分，每项内容中每有一处存在缺陷的扣0.2分，扣完为止，未提供不得分。 三、赋分说明：“缺陷”是指套用其他项目方案内容；存在不适用项目实际情况的情形，未能体现出本项目的特点或与本项目实际需求不完全相符；引用科学原理错误以及无法实现的情形，引用的法律法规、标准（方法）或其他规范性文件错误；语言错误或存在歧义，前后内容不一，逻辑错误。</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供应商认为有必要说明的事宜.docx</w:t>
            </w:r>
          </w:p>
          <w:p>
            <w:pPr>
              <w:pStyle w:val="null3"/>
            </w:pPr>
            <w:r>
              <w:rPr>
                <w:rFonts w:ascii="仿宋_GB2312" w:hAnsi="仿宋_GB2312" w:cs="仿宋_GB2312" w:eastAsia="仿宋_GB2312"/>
              </w:rPr>
              <w:t>项目实施方案.docx</w:t>
            </w:r>
          </w:p>
        </w:tc>
      </w:tr>
      <w:tr>
        <w:tc>
          <w:tcPr>
            <w:tcW w:type="dxa" w:w="831"/>
            <w:vMerge/>
          </w:tcPr>
          <w:p/>
        </w:tc>
        <w:tc>
          <w:tcPr>
            <w:tcW w:type="dxa" w:w="1661"/>
          </w:tcPr>
          <w:p>
            <w:pPr>
              <w:pStyle w:val="null3"/>
            </w:pPr>
            <w:r>
              <w:rPr>
                <w:rFonts w:ascii="仿宋_GB2312" w:hAnsi="仿宋_GB2312" w:cs="仿宋_GB2312" w:eastAsia="仿宋_GB2312"/>
              </w:rPr>
              <w:t>节能环保</w:t>
            </w:r>
          </w:p>
        </w:tc>
        <w:tc>
          <w:tcPr>
            <w:tcW w:type="dxa" w:w="2492"/>
          </w:tcPr>
          <w:p>
            <w:pPr>
              <w:pStyle w:val="null3"/>
            </w:pPr>
            <w:r>
              <w:rPr>
                <w:rFonts w:ascii="仿宋_GB2312" w:hAnsi="仿宋_GB2312" w:cs="仿宋_GB2312" w:eastAsia="仿宋_GB2312"/>
              </w:rPr>
              <w:t>所投产品属于《节能产品政府采购品目清单》内产品，提供有效期内的节能产品证书，属于《环境标志产品政府采购品目清单》内产品的，提供有效期内的环境标志产品证书，每提供1项得0.5分，最高得2分。（备注：以《中国政府采购网》颁布品目清单为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供应商认为有必要说明的事宜.docx</w:t>
            </w:r>
          </w:p>
          <w:p>
            <w:pPr>
              <w:pStyle w:val="null3"/>
            </w:pPr>
            <w:r>
              <w:rPr>
                <w:rFonts w:ascii="仿宋_GB2312" w:hAnsi="仿宋_GB2312" w:cs="仿宋_GB2312" w:eastAsia="仿宋_GB2312"/>
              </w:rPr>
              <w:t>节能环保、环境标志产品明细表.docx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按照财政部《政府采购货物和服务招标投标管理办法》（财政部令第87号）的有关规定：价格分采用低价优先法计算，即满足招标文件要求且投标价格最低的投标报价为评标基准价，其价格分为满分。其他投标人的价格分统一按照下列公式计算： 投标报价得分=（评标基准价/投标报价）×价格权值×100 （因落实政府采购政策进行价格调整的，以调整后的价格计算评标基准价和投标报价）</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ind w:firstLine="960"/>
      </w:pPr>
      <w:r>
        <w:rPr>
          <w:rFonts w:ascii="仿宋_GB2312" w:hAnsi="仿宋_GB2312" w:cs="仿宋_GB2312" w:eastAsia="仿宋_GB2312"/>
        </w:rPr>
        <w:t>详见附件：承诺书.docx</w:t>
      </w:r>
    </w:p>
    <w:p>
      <w:pPr>
        <w:pStyle w:val="null3"/>
        <w:ind w:firstLine="960"/>
      </w:pPr>
      <w:r>
        <w:rPr>
          <w:rFonts w:ascii="仿宋_GB2312" w:hAnsi="仿宋_GB2312" w:cs="仿宋_GB2312" w:eastAsia="仿宋_GB2312"/>
        </w:rPr>
        <w:t>详见附件：产品的合法渠道证明文件.docx</w:t>
      </w:r>
    </w:p>
    <w:p>
      <w:pPr>
        <w:pStyle w:val="null3"/>
        <w:ind w:firstLine="960"/>
      </w:pPr>
      <w:r>
        <w:rPr>
          <w:rFonts w:ascii="仿宋_GB2312" w:hAnsi="仿宋_GB2312" w:cs="仿宋_GB2312" w:eastAsia="仿宋_GB2312"/>
        </w:rPr>
        <w:t>详见附件：技术响应偏离表.docx</w:t>
      </w:r>
    </w:p>
    <w:p>
      <w:pPr>
        <w:pStyle w:val="null3"/>
        <w:ind w:firstLine="960"/>
      </w:pPr>
      <w:r>
        <w:rPr>
          <w:rFonts w:ascii="仿宋_GB2312" w:hAnsi="仿宋_GB2312" w:cs="仿宋_GB2312" w:eastAsia="仿宋_GB2312"/>
        </w:rPr>
        <w:t>详见附件：供应商认为有必要说明的事宜.docx</w:t>
      </w:r>
    </w:p>
    <w:p>
      <w:pPr>
        <w:pStyle w:val="null3"/>
        <w:ind w:firstLine="960"/>
      </w:pPr>
      <w:r>
        <w:rPr>
          <w:rFonts w:ascii="仿宋_GB2312" w:hAnsi="仿宋_GB2312" w:cs="仿宋_GB2312" w:eastAsia="仿宋_GB2312"/>
        </w:rPr>
        <w:t>详见附件：业绩证明材料.docx</w:t>
      </w:r>
    </w:p>
    <w:p>
      <w:pPr>
        <w:pStyle w:val="null3"/>
        <w:ind w:firstLine="960"/>
      </w:pPr>
      <w:r>
        <w:rPr>
          <w:rFonts w:ascii="仿宋_GB2312" w:hAnsi="仿宋_GB2312" w:cs="仿宋_GB2312" w:eastAsia="仿宋_GB2312"/>
        </w:rPr>
        <w:t>详见附件：节能环保、环境标志产品明细表.docx</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详见附件：项目实施方案.docx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详见附件：合同格式.docx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