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版本号：ZX2026-05-55.1B120260623001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老年人能力评估师培训与鉴定项目(二次)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ZX2026-05-55.1B1</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老年人能力评估师培训与鉴定项目(二次)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ZX2026-05-55.1B1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老年人能力评估师培训与鉴定项目(二次)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面相有意愿从事老年人能力评估工作，希望通过培训提升技术水平并取得老年人能力评估师证书的人员。拟培训150人，分2个班，每班约75人。线下培训课时不少于60课时，完成培训后组织开展老年人能力评估师技能等级鉴定工作；需规范编印培训教材，教材内容贴合老年人能力评估岗位需求，涵盖理论知识、实操技巧、案例解析等核心内容，确保教材质量达标、实用性强。具体采购需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029-63917459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采购包1保证金金额：9,055.50元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代理服务费收费标准：参照国家计委计价格[2002]1980号及发改办价格[2003]857号通知规定，按标准收取，由成交供应商支付代理服务费。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本项目拟面相有意愿从事老年人能力评估工作，希望通过培训提升技术水平并取得老年人能力评估师证书的人员。拟培训</w:t>
      </w:r>
      <w:r>
        <w:rPr>
          <w:rFonts w:ascii="仿宋_GB2312" w:hAnsi="仿宋_GB2312" w:cs="仿宋_GB2312" w:eastAsia="仿宋_GB2312"/>
        </w:rPr>
        <w:t>150人，分2个班，每班约75人。线下培训课时不少于</w:t>
      </w:r>
      <w:r>
        <w:rPr>
          <w:rFonts w:ascii="仿宋_GB2312" w:hAnsi="仿宋_GB2312" w:cs="仿宋_GB2312" w:eastAsia="仿宋_GB2312"/>
        </w:rPr>
        <w:t>60</w:t>
      </w:r>
      <w:r>
        <w:rPr>
          <w:rFonts w:ascii="仿宋_GB2312" w:hAnsi="仿宋_GB2312" w:cs="仿宋_GB2312" w:eastAsia="仿宋_GB2312"/>
        </w:rPr>
        <w:t>课时，完成培训后组织开展老年人能力评估师技能等级鉴定工作；需规范编印培训教材，教材内容贴合老年人能力评估岗位需求，涵盖理论知识、实操技巧、案例解析等核心内容，确保教材质量达标、实用性强。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老年人能力评估师培训与鉴定项目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标的名称：老年人能力评估师培训与鉴定项目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一、招标内容</w:t>
            </w:r>
          </w:p>
          <w:p>
            <w:pPr>
              <w:pStyle w:val="null3"/>
            </w:pPr>
            <w:r>
              <w:rPr>
                <w:rFonts w:ascii="仿宋_GB2312" w:hAnsi="仿宋_GB2312" w:cs="仿宋_GB2312" w:eastAsia="仿宋_GB2312"/>
              </w:rPr>
              <w:t>面相有意愿从事老年人能力评估工作，希望通过培训提升技术水平并取得老年人能力评估师证书的人员（中标单位须负责招生）。拟培训150人，分2个班，每班约75人。线下培训课时不少于60课时，完成培训后组织开展老年人能力评估师技能等级鉴定工作；需规范编印培训教材，教材内容贴合老年人能力评估岗位需求，涵盖理论知识、实操技巧、案例解析等核心内容，确保教材质量达标、实用性强。</w:t>
            </w:r>
          </w:p>
          <w:p>
            <w:pPr>
              <w:pStyle w:val="null3"/>
            </w:pPr>
            <w:r>
              <w:rPr>
                <w:rFonts w:ascii="仿宋_GB2312" w:hAnsi="仿宋_GB2312" w:cs="仿宋_GB2312" w:eastAsia="仿宋_GB2312"/>
              </w:rPr>
              <w:t>二、相关费用参考标准（供应商负责承担）</w:t>
            </w:r>
          </w:p>
          <w:p>
            <w:pPr>
              <w:pStyle w:val="null3"/>
            </w:pPr>
            <w:r>
              <w:rPr>
                <w:rFonts w:ascii="仿宋_GB2312" w:hAnsi="仿宋_GB2312" w:cs="仿宋_GB2312" w:eastAsia="仿宋_GB2312"/>
              </w:rPr>
              <w:t>约400元/人/天，包含住宿、伙食、场地、耗材及资料印刷费用等（不含等级评价费用）</w:t>
            </w:r>
          </w:p>
          <w:p>
            <w:pPr>
              <w:pStyle w:val="null3"/>
            </w:pPr>
            <w:r>
              <w:rPr>
                <w:rFonts w:ascii="仿宋_GB2312" w:hAnsi="仿宋_GB2312" w:cs="仿宋_GB2312" w:eastAsia="仿宋_GB2312"/>
              </w:rPr>
              <w:t>课程设置、师资聘请、第三方质量监管、考试组织及鉴定等费用，供应商负责承担。</w:t>
            </w:r>
          </w:p>
          <w:p>
            <w:pPr>
              <w:pStyle w:val="null3"/>
            </w:pPr>
            <w:r>
              <w:rPr>
                <w:rFonts w:ascii="仿宋_GB2312" w:hAnsi="仿宋_GB2312" w:cs="仿宋_GB2312" w:eastAsia="仿宋_GB2312"/>
              </w:rPr>
              <w:t>三、资质及服务要求</w:t>
            </w:r>
          </w:p>
          <w:p>
            <w:pPr>
              <w:pStyle w:val="null3"/>
            </w:pPr>
            <w:r>
              <w:rPr>
                <w:rFonts w:ascii="仿宋_GB2312" w:hAnsi="仿宋_GB2312" w:cs="仿宋_GB2312" w:eastAsia="仿宋_GB2312"/>
              </w:rPr>
              <w:t>1、主体要求：投标单位具备开展老年人能力评估师培训、鉴定的相关资质。</w:t>
            </w:r>
          </w:p>
          <w:p>
            <w:pPr>
              <w:pStyle w:val="null3"/>
            </w:pPr>
            <w:r>
              <w:rPr>
                <w:rFonts w:ascii="仿宋_GB2312" w:hAnsi="仿宋_GB2312" w:cs="仿宋_GB2312" w:eastAsia="仿宋_GB2312"/>
              </w:rPr>
              <w:t>2、教学及师资能力：能够完成培训资料编写、培训视频拍摄制作及课程体系科学设置；可组织省内资深养老领域专家，采取线上网络授课、线下实操讲解相结合的方式开展教学，具备网络直播、视频录制及线上教学运维能力；师资团队需专业过硬，在省内养老评估领域具有一定知名度和丰富的教学、实操经验。</w:t>
            </w:r>
          </w:p>
          <w:p>
            <w:pPr>
              <w:pStyle w:val="null3"/>
            </w:pPr>
            <w:r>
              <w:rPr>
                <w:rFonts w:ascii="仿宋_GB2312" w:hAnsi="仿宋_GB2312" w:cs="仿宋_GB2312" w:eastAsia="仿宋_GB2312"/>
              </w:rPr>
              <w:t>3、教学及食宿保障：具备完善的教学保障条件，拥有能同时容纳100人左右的多功能厅、符合国家标准的老年人能力评估实操实训室，配备充足的培训器材、教学设备及降温设备；能为线下培训人员提供合规的食宿保障，住宿环境整洁达标，符合国家食品安全相关标准；具备采用信息化手段收集、汇总、管理参培人员信息的能力，实现培训全过程可追溯。</w:t>
            </w:r>
          </w:p>
          <w:p>
            <w:pPr>
              <w:pStyle w:val="null3"/>
            </w:pPr>
            <w:r>
              <w:rPr>
                <w:rFonts w:ascii="仿宋_GB2312" w:hAnsi="仿宋_GB2312" w:cs="仿宋_GB2312" w:eastAsia="仿宋_GB2312"/>
              </w:rPr>
              <w:t>4、鉴定及补贴相关：需具备民政部门和人社部门认可的老年人能力评估师及相关职业技能等级评价认定资质；中标单位需规范组织培训后的技能等级考试，负责考试筹备、考场布置、监考评判等全流程工作，确保考试公平、公正、合规；按规定积极向人社部门申请相关培训及鉴定补贴，配合完成补贴申请相关资料准备、提交等工作。</w:t>
            </w:r>
          </w:p>
          <w:p>
            <w:pPr>
              <w:pStyle w:val="null3"/>
            </w:pPr>
            <w:r>
              <w:rPr>
                <w:rFonts w:ascii="仿宋_GB2312" w:hAnsi="仿宋_GB2312" w:cs="仿宋_GB2312" w:eastAsia="仿宋_GB2312"/>
              </w:rPr>
              <w:t>5、教材及资料保障：负责培训教材的编印、审核及发放，教材需贴合培训课程和岗位实际，内容准确、全面，满足参培人员学习及实操需求，确保每位学员人手一套规范教材。</w:t>
            </w:r>
          </w:p>
          <w:p>
            <w:pPr>
              <w:pStyle w:val="null3"/>
            </w:pPr>
            <w:r>
              <w:rPr>
                <w:rFonts w:ascii="仿宋_GB2312" w:hAnsi="仿宋_GB2312" w:cs="仿宋_GB2312" w:eastAsia="仿宋_GB2312"/>
              </w:rPr>
              <w:t>四、项目效果</w:t>
            </w:r>
          </w:p>
          <w:p>
            <w:pPr>
              <w:pStyle w:val="null3"/>
            </w:pPr>
            <w:r>
              <w:rPr>
                <w:rFonts w:ascii="仿宋_GB2312" w:hAnsi="仿宋_GB2312" w:cs="仿宋_GB2312" w:eastAsia="仿宋_GB2312"/>
              </w:rPr>
              <w:t>参训与参加鉴定率达100%，取得职业技能等级证书率需达到50%以上，本项目报价须包含等级评价费用。</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陕西省民政厅指定地点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（1）质量标准，符合国家行业相关标准。 （2）验收：根据磋商文件、成交供应商响应文件和合同文本执行。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进度款，项目服务期结束并经采购人验收合格后，达到付款条件起10个工作日内，支付合同总金额的30.0%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应在响应文件递交截止时间前到账，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保函必须由具有开具投标保函资格的单位开具；若供应商违约，开具保函单位承担连带责任；（2）磋商保证金的提交金额、时间不满足磋商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培训方案整体设计</w:t>
            </w:r>
          </w:p>
        </w:tc>
        <w:tc>
          <w:tcPr>
            <w:tcW w:type="dxa" w:w="2492"/>
          </w:tcPr>
          <w:p>
            <w:pPr>
              <w:pStyle w:val="null3"/>
            </w:pPr>
            <w:r>
              <w:rPr>
                <w:rFonts w:ascii="仿宋_GB2312" w:hAnsi="仿宋_GB2312" w:cs="仿宋_GB2312" w:eastAsia="仿宋_GB2312"/>
              </w:rPr>
              <w:t>供应商根据本项目采购需求提供培训方案整体设计，内容包括但不限于①招生工作安排；②培训课程体系设置；③线上/线下培训组织安排；④培训效果考核措施。 上述4项内容，每提供1项内容计2分，每项内容存在1处瑕疵扣0.5分；满分8分。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6培训方案整体设计.docx</w:t>
            </w:r>
          </w:p>
        </w:tc>
      </w:tr>
      <w:tr>
        <w:tc>
          <w:tcPr>
            <w:tcW w:type="dxa" w:w="831"/>
            <w:vMerge/>
          </w:tcPr>
          <w:p/>
        </w:tc>
        <w:tc>
          <w:tcPr>
            <w:tcW w:type="dxa" w:w="1661"/>
          </w:tcPr>
          <w:p>
            <w:pPr>
              <w:pStyle w:val="null3"/>
            </w:pPr>
            <w:r>
              <w:rPr>
                <w:rFonts w:ascii="仿宋_GB2312" w:hAnsi="仿宋_GB2312" w:cs="仿宋_GB2312" w:eastAsia="仿宋_GB2312"/>
              </w:rPr>
              <w:t>师资团队安排</w:t>
            </w:r>
          </w:p>
        </w:tc>
        <w:tc>
          <w:tcPr>
            <w:tcW w:type="dxa" w:w="2492"/>
          </w:tcPr>
          <w:p>
            <w:pPr>
              <w:pStyle w:val="null3"/>
            </w:pPr>
            <w:r>
              <w:rPr>
                <w:rFonts w:ascii="仿宋_GB2312" w:hAnsi="仿宋_GB2312" w:cs="仿宋_GB2312" w:eastAsia="仿宋_GB2312"/>
              </w:rPr>
              <w:t>供应商提供针对本项目培训师资团队安排，提供拟聘请的师资团队名单： 1、师资团队中每有一人具备养老评估方面教学、实操经验的计1分，满分4分。提供相关履历表予以佐证。 2、师资团队中每有一人具备本项目相关专业证书或者老年人能力评估师证书的计2分，满分6分。提供人员证书予以佐证。（评分点2，同一人员只计1次分。）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7师资团队安排.docx</w:t>
            </w:r>
          </w:p>
        </w:tc>
      </w:tr>
      <w:tr>
        <w:tc>
          <w:tcPr>
            <w:tcW w:type="dxa" w:w="831"/>
            <w:vMerge/>
          </w:tcPr>
          <w:p/>
        </w:tc>
        <w:tc>
          <w:tcPr>
            <w:tcW w:type="dxa" w:w="1661"/>
          </w:tcPr>
          <w:p>
            <w:pPr>
              <w:pStyle w:val="null3"/>
            </w:pPr>
            <w:r>
              <w:rPr>
                <w:rFonts w:ascii="仿宋_GB2312" w:hAnsi="仿宋_GB2312" w:cs="仿宋_GB2312" w:eastAsia="仿宋_GB2312"/>
              </w:rPr>
              <w:t>培训教材编印方案</w:t>
            </w:r>
          </w:p>
        </w:tc>
        <w:tc>
          <w:tcPr>
            <w:tcW w:type="dxa" w:w="2492"/>
          </w:tcPr>
          <w:p>
            <w:pPr>
              <w:pStyle w:val="null3"/>
            </w:pPr>
            <w:r>
              <w:rPr>
                <w:rFonts w:ascii="仿宋_GB2312" w:hAnsi="仿宋_GB2312" w:cs="仿宋_GB2312" w:eastAsia="仿宋_GB2312"/>
              </w:rPr>
              <w:t>供应商根据本项目采购需求，提供培训教材编印方案，内容包括但不限于①提供教材内容框架设计；②建立审核制度，能够聘请行业专家对教材进行审核；③教材排版印刷等质量保证。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8培训教材编印方案.docx</w:t>
            </w:r>
          </w:p>
        </w:tc>
      </w:tr>
      <w:tr>
        <w:tc>
          <w:tcPr>
            <w:tcW w:type="dxa" w:w="831"/>
            <w:vMerge/>
          </w:tcPr>
          <w:p/>
        </w:tc>
        <w:tc>
          <w:tcPr>
            <w:tcW w:type="dxa" w:w="1661"/>
          </w:tcPr>
          <w:p>
            <w:pPr>
              <w:pStyle w:val="null3"/>
            </w:pPr>
            <w:r>
              <w:rPr>
                <w:rFonts w:ascii="仿宋_GB2312" w:hAnsi="仿宋_GB2312" w:cs="仿宋_GB2312" w:eastAsia="仿宋_GB2312"/>
              </w:rPr>
              <w:t>多功能厅</w:t>
            </w:r>
          </w:p>
        </w:tc>
        <w:tc>
          <w:tcPr>
            <w:tcW w:type="dxa" w:w="2492"/>
          </w:tcPr>
          <w:p>
            <w:pPr>
              <w:pStyle w:val="null3"/>
            </w:pPr>
            <w:r>
              <w:rPr>
                <w:rFonts w:ascii="仿宋_GB2312" w:hAnsi="仿宋_GB2312" w:cs="仿宋_GB2312" w:eastAsia="仿宋_GB2312"/>
              </w:rPr>
              <w:t>投标人提供拟投入的多功能厅场地（能同时容纳100人左右）介绍、照片、以及场地自有或租赁证明材料。满足此要求计3分，否则不计分。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9多功能厅.docx</w:t>
            </w:r>
          </w:p>
        </w:tc>
      </w:tr>
      <w:tr>
        <w:tc>
          <w:tcPr>
            <w:tcW w:type="dxa" w:w="831"/>
            <w:vMerge/>
          </w:tcPr>
          <w:p/>
        </w:tc>
        <w:tc>
          <w:tcPr>
            <w:tcW w:type="dxa" w:w="1661"/>
          </w:tcPr>
          <w:p>
            <w:pPr>
              <w:pStyle w:val="null3"/>
            </w:pPr>
            <w:r>
              <w:rPr>
                <w:rFonts w:ascii="仿宋_GB2312" w:hAnsi="仿宋_GB2312" w:cs="仿宋_GB2312" w:eastAsia="仿宋_GB2312"/>
              </w:rPr>
              <w:t>信息化管理能力</w:t>
            </w:r>
          </w:p>
        </w:tc>
        <w:tc>
          <w:tcPr>
            <w:tcW w:type="dxa" w:w="2492"/>
          </w:tcPr>
          <w:p>
            <w:pPr>
              <w:pStyle w:val="null3"/>
            </w:pPr>
            <w:r>
              <w:rPr>
                <w:rFonts w:ascii="仿宋_GB2312" w:hAnsi="仿宋_GB2312" w:cs="仿宋_GB2312" w:eastAsia="仿宋_GB2312"/>
              </w:rPr>
              <w:t>投标人具备采用信息化手段收集、汇总、管理参培人员信息的能力，实现培训全过程可追溯。提供相关证明材料，满足此要求计3分，否则不计分。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10信息化管理能力.docx</w:t>
            </w:r>
          </w:p>
        </w:tc>
      </w:tr>
      <w:tr>
        <w:tc>
          <w:tcPr>
            <w:tcW w:type="dxa" w:w="831"/>
            <w:vMerge/>
          </w:tcPr>
          <w:p/>
        </w:tc>
        <w:tc>
          <w:tcPr>
            <w:tcW w:type="dxa" w:w="1661"/>
          </w:tcPr>
          <w:p>
            <w:pPr>
              <w:pStyle w:val="null3"/>
            </w:pPr>
            <w:r>
              <w:rPr>
                <w:rFonts w:ascii="仿宋_GB2312" w:hAnsi="仿宋_GB2312" w:cs="仿宋_GB2312" w:eastAsia="仿宋_GB2312"/>
              </w:rPr>
              <w:t>教学保障条件</w:t>
            </w:r>
          </w:p>
        </w:tc>
        <w:tc>
          <w:tcPr>
            <w:tcW w:type="dxa" w:w="2492"/>
          </w:tcPr>
          <w:p>
            <w:pPr>
              <w:pStyle w:val="null3"/>
            </w:pPr>
            <w:r>
              <w:rPr>
                <w:rFonts w:ascii="仿宋_GB2312" w:hAnsi="仿宋_GB2312" w:cs="仿宋_GB2312" w:eastAsia="仿宋_GB2312"/>
              </w:rPr>
              <w:t>供应商根据本项目采购需求，对教学保障条件进行说明，内容包括但不限于①拟投入的实操实训室场地介绍、照片；②住宿条件说明；③餐饮供应方案。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11教学保障条件.docx</w:t>
            </w:r>
          </w:p>
        </w:tc>
      </w:tr>
      <w:tr>
        <w:tc>
          <w:tcPr>
            <w:tcW w:type="dxa" w:w="831"/>
            <w:vMerge/>
          </w:tcPr>
          <w:p/>
        </w:tc>
        <w:tc>
          <w:tcPr>
            <w:tcW w:type="dxa" w:w="1661"/>
          </w:tcPr>
          <w:p>
            <w:pPr>
              <w:pStyle w:val="null3"/>
            </w:pPr>
            <w:r>
              <w:rPr>
                <w:rFonts w:ascii="仿宋_GB2312" w:hAnsi="仿宋_GB2312" w:cs="仿宋_GB2312" w:eastAsia="仿宋_GB2312"/>
              </w:rPr>
              <w:t>项目管理组织方案</w:t>
            </w:r>
          </w:p>
        </w:tc>
        <w:tc>
          <w:tcPr>
            <w:tcW w:type="dxa" w:w="2492"/>
          </w:tcPr>
          <w:p>
            <w:pPr>
              <w:pStyle w:val="null3"/>
            </w:pPr>
            <w:r>
              <w:rPr>
                <w:rFonts w:ascii="仿宋_GB2312" w:hAnsi="仿宋_GB2312" w:cs="仿宋_GB2312" w:eastAsia="仿宋_GB2312"/>
              </w:rPr>
              <w:t>供应商针对本项目提供项目管理组织方案，内容包括但不限于①项目整体进度安排；②人员安全保障措施；③应急响应措施。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12项目管理组织方案.docx</w:t>
            </w:r>
          </w:p>
        </w:tc>
      </w:tr>
      <w:tr>
        <w:tc>
          <w:tcPr>
            <w:tcW w:type="dxa" w:w="831"/>
            <w:vMerge/>
          </w:tcPr>
          <w:p/>
        </w:tc>
        <w:tc>
          <w:tcPr>
            <w:tcW w:type="dxa" w:w="1661"/>
          </w:tcPr>
          <w:p>
            <w:pPr>
              <w:pStyle w:val="null3"/>
            </w:pPr>
            <w:r>
              <w:rPr>
                <w:rFonts w:ascii="仿宋_GB2312" w:hAnsi="仿宋_GB2312" w:cs="仿宋_GB2312" w:eastAsia="仿宋_GB2312"/>
              </w:rPr>
              <w:t>技能等级考试组织方案</w:t>
            </w:r>
          </w:p>
        </w:tc>
        <w:tc>
          <w:tcPr>
            <w:tcW w:type="dxa" w:w="2492"/>
          </w:tcPr>
          <w:p>
            <w:pPr>
              <w:pStyle w:val="null3"/>
            </w:pPr>
            <w:r>
              <w:rPr>
                <w:rFonts w:ascii="仿宋_GB2312" w:hAnsi="仿宋_GB2312" w:cs="仿宋_GB2312" w:eastAsia="仿宋_GB2312"/>
              </w:rPr>
              <w:t>供应商根据本项目采购需求，提供技能等级考试组织方案，内容包括但不限于①考试前期筹备工作；②考场布置；③保密措施；④首次考核未通过的培训补考机制。 上述4项内容，每提供1项内容计2分，每项内容存在1处瑕疵扣0.5分；满分8分。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13技能等级考试组织方案.docx</w:t>
            </w:r>
          </w:p>
        </w:tc>
      </w:tr>
      <w:tr>
        <w:tc>
          <w:tcPr>
            <w:tcW w:type="dxa" w:w="831"/>
            <w:vMerge/>
          </w:tcPr>
          <w:p/>
        </w:tc>
        <w:tc>
          <w:tcPr>
            <w:tcW w:type="dxa" w:w="1661"/>
          </w:tcPr>
          <w:p>
            <w:pPr>
              <w:pStyle w:val="null3"/>
            </w:pPr>
            <w:r>
              <w:rPr>
                <w:rFonts w:ascii="仿宋_GB2312" w:hAnsi="仿宋_GB2312" w:cs="仿宋_GB2312" w:eastAsia="仿宋_GB2312"/>
              </w:rPr>
              <w:t>项目实施团队人员</w:t>
            </w:r>
          </w:p>
        </w:tc>
        <w:tc>
          <w:tcPr>
            <w:tcW w:type="dxa" w:w="2492"/>
          </w:tcPr>
          <w:p>
            <w:pPr>
              <w:pStyle w:val="null3"/>
            </w:pPr>
            <w:r>
              <w:rPr>
                <w:rFonts w:ascii="仿宋_GB2312" w:hAnsi="仿宋_GB2312" w:cs="仿宋_GB2312" w:eastAsia="仿宋_GB2312"/>
              </w:rPr>
              <w:t>供应商提供针对本项目项目实施团队人员安排： 1、供应商提供本项目实施团队人员（含项目负责人）达到6人及以上的，得4分；达到4人及以上不足6人的，得3分；达到2人及以上不足4人的，得2分；否则不得分。 2、实施团队人员（含项目负责人）中每有1人具备与本项目相关专业证书或者老年人能力评估师证书，计2分，满分4分。 3、供应商拟派本项目项目负责人具有三年及以上组织养老评估培训项目的相关经验，提供工作履历表予以佐证。满足此要求计3分，否则不得分。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14项目实施团队人员.docx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供应商承诺规范组织培训后的技能等级考试，确保考试公平、公正、合规，提供此承诺并加盖供应商公章计2分。 供应商承诺在项目实施过程中引入第三方质量监管，提供此承诺并加盖供应商公章计2分。 供应商承诺按规定积极向人社部门申请相关培训及鉴定补贴，配合完成补贴申请相关资料准备、提交等工作，提供此承诺并加盖供应商公章计3分。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提供供应商2023年1月1日至今同类项目合同扫描件（以合同签订日期为准），扫描件必须清晰体现签约主体和日期、项目名称及内容等核心要素，否则不计为有效业绩。每提供1个有效业绩得1.5分，最高得6分。 备注：响应文件中附合同扫描件并加盖公章。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详见附件：6培训方案整体设计.docx</w:t>
      </w:r>
    </w:p>
    <w:p>
      <w:pPr>
        <w:pStyle w:val="null3"/>
        <w:ind w:firstLine="960"/>
      </w:pPr>
      <w:r>
        <w:rPr>
          <w:rFonts w:ascii="仿宋_GB2312" w:hAnsi="仿宋_GB2312" w:cs="仿宋_GB2312" w:eastAsia="仿宋_GB2312"/>
        </w:rPr>
        <w:t>详见附件：7师资团队安排.docx</w:t>
      </w:r>
    </w:p>
    <w:p>
      <w:pPr>
        <w:pStyle w:val="null3"/>
        <w:ind w:firstLine="960"/>
      </w:pPr>
      <w:r>
        <w:rPr>
          <w:rFonts w:ascii="仿宋_GB2312" w:hAnsi="仿宋_GB2312" w:cs="仿宋_GB2312" w:eastAsia="仿宋_GB2312"/>
        </w:rPr>
        <w:t>详见附件：8培训教材编印方案.docx</w:t>
      </w:r>
    </w:p>
    <w:p>
      <w:pPr>
        <w:pStyle w:val="null3"/>
        <w:ind w:firstLine="960"/>
      </w:pPr>
      <w:r>
        <w:rPr>
          <w:rFonts w:ascii="仿宋_GB2312" w:hAnsi="仿宋_GB2312" w:cs="仿宋_GB2312" w:eastAsia="仿宋_GB2312"/>
        </w:rPr>
        <w:t>详见附件：9多功能厅.docx</w:t>
      </w:r>
    </w:p>
    <w:p>
      <w:pPr>
        <w:pStyle w:val="null3"/>
        <w:ind w:firstLine="960"/>
      </w:pPr>
      <w:r>
        <w:rPr>
          <w:rFonts w:ascii="仿宋_GB2312" w:hAnsi="仿宋_GB2312" w:cs="仿宋_GB2312" w:eastAsia="仿宋_GB2312"/>
        </w:rPr>
        <w:t>详见附件：10信息化管理能力.docx</w:t>
      </w:r>
    </w:p>
    <w:p>
      <w:pPr>
        <w:pStyle w:val="null3"/>
        <w:ind w:firstLine="960"/>
      </w:pPr>
      <w:r>
        <w:rPr>
          <w:rFonts w:ascii="仿宋_GB2312" w:hAnsi="仿宋_GB2312" w:cs="仿宋_GB2312" w:eastAsia="仿宋_GB2312"/>
        </w:rPr>
        <w:t>详见附件：11教学保障条件.docx</w:t>
      </w:r>
    </w:p>
    <w:p>
      <w:pPr>
        <w:pStyle w:val="null3"/>
        <w:ind w:firstLine="960"/>
      </w:pPr>
      <w:r>
        <w:rPr>
          <w:rFonts w:ascii="仿宋_GB2312" w:hAnsi="仿宋_GB2312" w:cs="仿宋_GB2312" w:eastAsia="仿宋_GB2312"/>
        </w:rPr>
        <w:t>详见附件：12项目管理组织方案.docx</w:t>
      </w:r>
    </w:p>
    <w:p>
      <w:pPr>
        <w:pStyle w:val="null3"/>
        <w:ind w:firstLine="960"/>
      </w:pPr>
      <w:r>
        <w:rPr>
          <w:rFonts w:ascii="仿宋_GB2312" w:hAnsi="仿宋_GB2312" w:cs="仿宋_GB2312" w:eastAsia="仿宋_GB2312"/>
        </w:rPr>
        <w:t>详见附件：13技能等级考试组织方案.docx</w:t>
      </w:r>
    </w:p>
    <w:p>
      <w:pPr>
        <w:pStyle w:val="null3"/>
        <w:ind w:firstLine="960"/>
      </w:pPr>
      <w:r>
        <w:rPr>
          <w:rFonts w:ascii="仿宋_GB2312" w:hAnsi="仿宋_GB2312" w:cs="仿宋_GB2312" w:eastAsia="仿宋_GB2312"/>
        </w:rPr>
        <w:t>详见附件：14项目实施团队人员.docx</w:t>
      </w:r>
    </w:p>
    <w:p>
      <w:pPr>
        <w:pStyle w:val="null3"/>
        <w:ind w:firstLine="960"/>
      </w:pPr>
      <w:r>
        <w:rPr>
          <w:rFonts w:ascii="仿宋_GB2312" w:hAnsi="仿宋_GB2312" w:cs="仿宋_GB2312" w:eastAsia="仿宋_GB2312"/>
        </w:rPr>
        <w:t>详见附件：15服务承诺.docx</w:t>
      </w:r>
    </w:p>
    <w:p>
      <w:pPr>
        <w:pStyle w:val="null3"/>
        <w:ind w:firstLine="960"/>
      </w:pPr>
      <w:r>
        <w:rPr>
          <w:rFonts w:ascii="仿宋_GB2312" w:hAnsi="仿宋_GB2312" w:cs="仿宋_GB2312" w:eastAsia="仿宋_GB2312"/>
        </w:rPr>
        <w:t>详见附件：16业绩.docx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