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版本号：GR26-CS-006.1B120260506001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2025年度陕西省经营主体质量指数测评(二次)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GR26-CS-006.1B1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2025年度陕西省经营主体质量指数测评(二次)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GR26-CS-006.1B1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2025年度陕西省经营主体质量指数测评(二次)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本项目为陕西省市场监督管理局2025年度陕西省经营主体质量指数测评项目(二次)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采购包1（2025年度陕西省经营主体质量指数测评项目）：属于专门面向小微企业采购。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代理服务费收费标准：本项目采购代理服务费为人民币柒仟元整。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 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2025年度陕西省经营主体质量指数测评的采购项目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2025年度陕西省经营主体质量指数测评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标的名称：2025年度陕西省经营主体质量指数测评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single" w:color="000000" w:sz="4"/>
                <w:left w:val="single" w:color="000000" w:sz="4"/>
                <w:bottom w:val="single" w:color="000000" w:sz="4"/>
                <w:right w:val="single" w:color="000000" w:sz="4"/>
                <w:insideH w:val="single"/>
                <w:insideV w:val="single"/>
              </w:tblBorders>
            </w:tblPr>
            <w:tblGrid>
              <w:gridCol w:w="186"/>
              <w:gridCol w:w="521"/>
              <w:gridCol w:w="310"/>
              <w:gridCol w:w="1489"/>
            </w:tblGrid>
            <w:tr>
              <w:tc>
                <w:tcPr>
                  <w:tcW w:type="dxa" w:w="186"/>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序号</w:t>
                  </w:r>
                </w:p>
              </w:tc>
              <w:tc>
                <w:tcPr>
                  <w:tcW w:type="dxa" w:w="52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项目模块</w:t>
                  </w:r>
                </w:p>
              </w:tc>
              <w:tc>
                <w:tcPr>
                  <w:tcW w:type="dxa" w:w="310"/>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参数性质</w:t>
                  </w:r>
                </w:p>
              </w:tc>
              <w:tc>
                <w:tcPr>
                  <w:tcW w:type="dxa" w:w="1489"/>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技术参数与性能指标</w:t>
                  </w:r>
                </w:p>
              </w:tc>
            </w:tr>
            <w:tr>
              <w:tc>
                <w:tcPr>
                  <w:tcW w:type="dxa" w:w="186"/>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1</w:t>
                  </w:r>
                </w:p>
              </w:tc>
              <w:tc>
                <w:tcPr>
                  <w:tcW w:type="dxa" w:w="52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指标体系迭代</w:t>
                  </w:r>
                </w:p>
              </w:tc>
              <w:tc>
                <w:tcPr>
                  <w:tcW w:type="dxa" w:w="310"/>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w:t>
                  </w:r>
                </w:p>
              </w:tc>
              <w:tc>
                <w:tcPr>
                  <w:tcW w:type="dxa" w:w="1489"/>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围绕全省经营主体高质量发展监测与科学决策需要，系统优化指标体系。聚焦规模结构、发展活力、创新能力、质量效益等维度，结合</w:t>
                  </w:r>
                  <w:r>
                    <w:rPr>
                      <w:rFonts w:ascii="仿宋_GB2312" w:hAnsi="仿宋_GB2312" w:cs="仿宋_GB2312" w:eastAsia="仿宋_GB2312"/>
                      <w:sz w:val="21"/>
                    </w:rPr>
                    <w:t>2025年高质量发展导向，完善三级指标设计、测算方法、权重设置及标准化处理规则，确保指标体系具备科学性、系统性、前瞻性、可比性和可操作性。</w:t>
                  </w:r>
                </w:p>
              </w:tc>
            </w:tr>
            <w:tr>
              <w:tc>
                <w:tcPr>
                  <w:tcW w:type="dxa" w:w="186"/>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2</w:t>
                  </w:r>
                </w:p>
              </w:tc>
              <w:tc>
                <w:tcPr>
                  <w:tcW w:type="dxa" w:w="52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多维数据测算与画像</w:t>
                  </w:r>
                </w:p>
              </w:tc>
              <w:tc>
                <w:tcPr>
                  <w:tcW w:type="dxa" w:w="310"/>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w:t>
                  </w:r>
                </w:p>
              </w:tc>
              <w:tc>
                <w:tcPr>
                  <w:tcW w:type="dxa" w:w="1489"/>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依托统计数据、登记注册数据及相关大数据资源，对全省及</w:t>
                  </w:r>
                  <w:r>
                    <w:rPr>
                      <w:rFonts w:ascii="仿宋_GB2312" w:hAnsi="仿宋_GB2312" w:cs="仿宋_GB2312" w:eastAsia="仿宋_GB2312"/>
                      <w:sz w:val="21"/>
                    </w:rPr>
                    <w:t>12个市（区）经营主体高质量发展情况开展综合指数、分维度指数测算；形成多维交叉评价结果和数字画像，全面反映各地经营主体发展质量水平、结构特征和变化趋势。</w:t>
                  </w:r>
                </w:p>
              </w:tc>
            </w:tr>
            <w:tr>
              <w:tc>
                <w:tcPr>
                  <w:tcW w:type="dxa" w:w="186"/>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3</w:t>
                  </w:r>
                </w:p>
              </w:tc>
              <w:tc>
                <w:tcPr>
                  <w:tcW w:type="dxa" w:w="52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深度剖析与瓶颈诊断</w:t>
                  </w:r>
                </w:p>
              </w:tc>
              <w:tc>
                <w:tcPr>
                  <w:tcW w:type="dxa" w:w="310"/>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w:t>
                  </w:r>
                </w:p>
              </w:tc>
              <w:tc>
                <w:tcPr>
                  <w:tcW w:type="dxa" w:w="1489"/>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对全省经营主体高质量发展总体态势进行综合评价，系统分析区域差异、行业特征、时序演进及短板弱项；通过横向对标全国标杆地区、纵向比较历史变化，深入识别市场准入、经营活跃度、生存韧性、创新转型、产业升级等方面存在的问题、堵点及风险，为精准治理提供依据。</w:t>
                  </w:r>
                </w:p>
              </w:tc>
            </w:tr>
            <w:tr>
              <w:tc>
                <w:tcPr>
                  <w:tcW w:type="dxa" w:w="186"/>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4</w:t>
                  </w:r>
                </w:p>
              </w:tc>
              <w:tc>
                <w:tcPr>
                  <w:tcW w:type="dxa" w:w="521"/>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靶向施策与成果转化</w:t>
                  </w:r>
                </w:p>
              </w:tc>
              <w:tc>
                <w:tcPr>
                  <w:tcW w:type="dxa" w:w="310"/>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w:t>
                  </w:r>
                </w:p>
              </w:tc>
              <w:tc>
                <w:tcPr>
                  <w:tcW w:type="dxa" w:w="1489"/>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立足市场监管职责和陕西发展实际，形成高质量研究报告、专题报告、数据画像及相关应用成果，构建成果转化机制。</w:t>
                  </w:r>
                </w:p>
                <w:p>
                  <w:pPr>
                    <w:pStyle w:val="null3"/>
                    <w:jc w:val="left"/>
                  </w:pPr>
                  <w:r>
                    <w:rPr>
                      <w:rFonts w:ascii="仿宋_GB2312" w:hAnsi="仿宋_GB2312" w:cs="仿宋_GB2312" w:eastAsia="仿宋_GB2312"/>
                      <w:sz w:val="21"/>
                    </w:rPr>
                    <w:t>围绕经营主体培育壮大、营商环境优化、信用监管提升、质量效益增强和新动能培育等重点领域，提出针对性强、操作性强、可实施的政策建议，为省委、省政府及市场监管部门提供决策支撑和智力服务。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 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标的清单 报价表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项目整体的理解及需求认识程度</w:t>
            </w:r>
          </w:p>
        </w:tc>
        <w:tc>
          <w:tcPr>
            <w:tcW w:type="dxa" w:w="2492"/>
          </w:tcPr>
          <w:p>
            <w:pPr>
              <w:pStyle w:val="null3"/>
            </w:pPr>
            <w:r>
              <w:rPr>
                <w:rFonts w:ascii="仿宋_GB2312" w:hAnsi="仿宋_GB2312" w:cs="仿宋_GB2312" w:eastAsia="仿宋_GB2312"/>
              </w:rPr>
              <w:t>对项目整体的理解及需求认识程度，内容包括：①服务目标、②技术路线及方法、③工作程序、④工作成果、⑤合理化建议 1、准确理解省级及12个市（区）多层级评价要求，紧扣指标体系迭代、数据测算与画像、深度诊断、成果转化核心任务，明确三级指标、测算方法、权重设置、标准化规则，结合陕西实际提出针对性、可落地的建议，各项内容全面详细，阐述条理清晰，完全满足或优于磋商文件要求的，得15分； 2、理解省级及12个市（区）多层级评价要求，围绕核心任务，明确指标测算规则，结合陕西实际提出建议，各项内容齐全，阐述条理清晰，满足磋商文件要求的，得10分； 3、基本理解省级及12个市（区）多层级评价要求，基本围绕核心任务，基本明确指标测算规则，提出建议，各项内容基本齐全或有少数遗漏，阐述条理基本清晰，基本满足磋商文件要求的，得5分； 4、未能理解省级及12个市（区）多层级评价要求，未能围绕核心任务，无法明确指标测算规则，未能提出合理建议，各项内容有重大遗漏，阐述条理不清晰，不能满足磋商文件要求的，得1分； 5、无提供不得分。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根据供应商针对本项目工作重点、难点的分析，内容包括：①本项目工作重点阐述、②本项目工作难点阐述、③针对本项目重点难点采取的对应措施 1、对项目工作内容熟悉和理解全面，对指数测算、交叉评价、深度诊断、对策建议等重点、难点分析准确，解决思路合理，完全满足磋商文件要求的，得10分； 2、对项目工作内容基本熟悉，对指数测算、交叉评价、深度诊断、对策建议等重点、难点分析基本准确，解决思路可行，基本满足磋商文件要求的，得6分； 3、对项目工作内容的理解有误，对指数测算、交叉评价、深度诊断、对策建议等重点、难点分析基本不够准确，解决思路不清晰，制定的对策措施有所欠缺，不满足磋商文件要求的，得4分； 4、无提供不得分。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项目实施计划</w:t>
            </w:r>
          </w:p>
        </w:tc>
        <w:tc>
          <w:tcPr>
            <w:tcW w:type="dxa" w:w="2492"/>
          </w:tcPr>
          <w:p>
            <w:pPr>
              <w:pStyle w:val="null3"/>
            </w:pPr>
            <w:r>
              <w:rPr>
                <w:rFonts w:ascii="仿宋_GB2312" w:hAnsi="仿宋_GB2312" w:cs="仿宋_GB2312" w:eastAsia="仿宋_GB2312"/>
              </w:rPr>
              <w:t>供应商针对本项目制作的实施计划，内容包括：①项目进度安排、②组织协调措施、③进度控制与管理、④对潜在风险的预测及控制 1、实施项目进度安排详细全面，时间计划把握准确，项目组织结构清晰，有完整明确的进度控制与管理措施，同时对进度控制中的风险进行分析，并在分析的基础上采取风险管理措施，可行性高，完全满足或优于磋商文件要求的，得10分； 2、实施项目进度安排总体详细全面，时间计划把握准确，项目组织结构总体清晰，有明确的进度控制与管理措施，同时对进度控制中的风险进行简单分析，并在分析的基础上采取风险管理措施，具有一定的可行性，能满足磋商文件要求的，得7分； 3、实施项目进度安排基本详细全面，时间计划把握基本准确，项目组织结构基本清晰，有进度控制与管理措施，同时对进度控制中的风险进行分析，并在分析的基础上采取风险管理措施，部分具有可行性，基本满足磋商文件要求的，得4分； 4、实施项目进度安排不全面，时间计划把握不准确，项目组织结构不清晰，缺乏进度控制与管理措施，同时对进度控制中的风险进行分析，并在分析的基础上采取风险管理措施，可行性低，不满足磋商文件要求的，得1分； 5、无提供不得分。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供应商针对本项目开展所制定的质量保障措施，内容包括：①成果清单、②质量控制、③转化机制 1、成果明确、交付标准清晰，建立明确的质量控制机制，提出可落地的政策建议并具备决策支撑转化能力，完全满足或优于磋商文件要求的，得10分； 2、 成果较明确，有基本的质量控制和成果转化机制，基本满足磋商文件要求的，得6分； 3、成果内容笼统，质量控制或转化机制不完整，不能满足磋商文件要求的，得2分； 4、无提供不得分。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项目管理及人员配备方案</w:t>
            </w:r>
          </w:p>
        </w:tc>
        <w:tc>
          <w:tcPr>
            <w:tcW w:type="dxa" w:w="2492"/>
          </w:tcPr>
          <w:p>
            <w:pPr>
              <w:pStyle w:val="null3"/>
            </w:pPr>
            <w:r>
              <w:rPr>
                <w:rFonts w:ascii="仿宋_GB2312" w:hAnsi="仿宋_GB2312" w:cs="仿宋_GB2312" w:eastAsia="仿宋_GB2312"/>
              </w:rPr>
              <w:t>供应商针对本项目提供的项目管理制度和人员配备方案，内容包括：①项目负责人经验、②内部组织管理框架、③团队分工 1、供应商项目负责人具备丰富的同类项目统筹经验，内部组织管理框架清晰合理，职责分工全面细致，能完全满足磋商文件要求的，得10分； 2、供应商项目负责人具备同类项目统筹经验，内部组织管理框架基本清晰合理，职责分工基本全面，基本满足磋商文件要求的，得6分； 3、供应商项目负责人不具备同类项目统筹经验，内部组织管理框架不够合理，职责分工不全面，不能满足磋商文件要求的，得2分； 4、无提供不得分。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根据2022年1月1日（以合同签订时间为准）以来供应商能够提供指数测算、政策研究、区域评价、咨询服务等同类调查服务项目业绩的，每提供一个得3分，最高得12分，不提供不得分。 注：须提供合同关键页扫描件（含签订合同双方的单位名称、合同项目名称、合同内容、签订合同双方的落款盖章、签订日期的关键页）作为同类业绩证明资料。不提供或资料不全不得分。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综合科研实力</w:t>
            </w:r>
          </w:p>
        </w:tc>
        <w:tc>
          <w:tcPr>
            <w:tcW w:type="dxa" w:w="2492"/>
          </w:tcPr>
          <w:p>
            <w:pPr>
              <w:pStyle w:val="null3"/>
            </w:pPr>
            <w:r>
              <w:rPr>
                <w:rFonts w:ascii="仿宋_GB2312" w:hAnsi="仿宋_GB2312" w:cs="仿宋_GB2312" w:eastAsia="仿宋_GB2312"/>
              </w:rPr>
              <w:t>供应商具有科研实力，具有指数测算、交叉评价理论基础，开展过指数测算和交叉评价相关实践研究；提供相关证明材料，如相关标准或者论文或者论著等。每提供一项得3分，最高12分，未提供得0分。 注：证明资料至少需要提供出版物的封面页、目录页、文章截图。需体现供应商或项目团队人员的名称。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根据拟派本项目服务团队成员的数量进行评价： 1、提供6人或以上得：6分； 2、提供3～5人得：3分； 3、提供1～2人得：1分。 注：需提供人员清单以及在供应商单位任职的外部证明材料【如社保缴纳证明（磋商前六个月内任意一个月）或劳动合同】。证明材料不清晰无法辨认的不得分。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项目团队人员构成情况</w:t>
            </w:r>
          </w:p>
        </w:tc>
        <w:tc>
          <w:tcPr>
            <w:tcW w:type="dxa" w:w="2492"/>
          </w:tcPr>
          <w:p>
            <w:pPr>
              <w:pStyle w:val="null3"/>
            </w:pPr>
            <w:r>
              <w:rPr>
                <w:rFonts w:ascii="仿宋_GB2312" w:hAnsi="仿宋_GB2312" w:cs="仿宋_GB2312" w:eastAsia="仿宋_GB2312"/>
              </w:rPr>
              <w:t>根据供应商为本项目拟派的团队人员情况进行评审： 拟为本项目配备的团队人员每提供1位博士学位或高级职称人员，得1分，累计最高得5分；未提供或不符合要求的，得0分。 注：须提供上述相应有效证书复印件加盖公章。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详见附件：供应商资质证明文件1.docx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