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43B97">
      <w:pPr>
        <w:adjustRightInd w:val="0"/>
        <w:snapToGrid w:val="0"/>
        <w:spacing w:line="48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w:t>
      </w:r>
      <w:r>
        <w:rPr>
          <w:rFonts w:hint="eastAsia" w:ascii="宋体" w:hAnsi="宋体" w:eastAsia="宋体" w:cs="宋体"/>
          <w:color w:val="auto"/>
          <w:sz w:val="28"/>
          <w:szCs w:val="28"/>
          <w:highlight w:val="none"/>
          <w:lang w:val="en-US" w:eastAsia="zh-CN"/>
        </w:rPr>
        <w:t>合同</w:t>
      </w:r>
      <w:r>
        <w:rPr>
          <w:rFonts w:hint="eastAsia" w:ascii="宋体" w:hAnsi="宋体" w:eastAsia="宋体" w:cs="宋体"/>
          <w:color w:val="auto"/>
          <w:sz w:val="28"/>
          <w:szCs w:val="28"/>
          <w:highlight w:val="none"/>
        </w:rPr>
        <w:t>格式条款</w:t>
      </w:r>
      <w:r>
        <w:rPr>
          <w:rFonts w:hint="eastAsia" w:ascii="宋体" w:hAnsi="宋体" w:eastAsia="宋体" w:cs="宋体"/>
          <w:color w:val="auto"/>
          <w:sz w:val="28"/>
          <w:szCs w:val="28"/>
          <w:highlight w:val="none"/>
          <w:lang w:val="en-US" w:eastAsia="zh-CN"/>
        </w:rPr>
        <w:t>为参考文本</w:t>
      </w:r>
      <w:r>
        <w:rPr>
          <w:rFonts w:hint="eastAsia" w:ascii="宋体" w:hAnsi="宋体" w:eastAsia="宋体" w:cs="宋体"/>
          <w:color w:val="auto"/>
          <w:sz w:val="28"/>
          <w:szCs w:val="28"/>
          <w:highlight w:val="none"/>
        </w:rPr>
        <w:t>，最终以</w:t>
      </w:r>
      <w:r>
        <w:rPr>
          <w:rFonts w:hint="eastAsia" w:ascii="宋体" w:hAnsi="宋体" w:eastAsia="宋体" w:cs="宋体"/>
          <w:color w:val="auto"/>
          <w:sz w:val="28"/>
          <w:szCs w:val="28"/>
          <w:highlight w:val="none"/>
          <w:lang w:val="en-US" w:eastAsia="zh-CN"/>
        </w:rPr>
        <w:t>双方商定合同为准</w:t>
      </w:r>
      <w:r>
        <w:rPr>
          <w:rFonts w:hint="eastAsia" w:ascii="宋体" w:hAnsi="宋体" w:eastAsia="宋体" w:cs="宋体"/>
          <w:color w:val="auto"/>
          <w:sz w:val="28"/>
          <w:szCs w:val="28"/>
          <w:highlight w:val="none"/>
        </w:rPr>
        <w:t>）</w:t>
      </w:r>
    </w:p>
    <w:p w14:paraId="63F68936">
      <w:pPr>
        <w:shd w:val="clear" w:color="auto" w:fill="auto"/>
        <w:spacing w:line="240" w:lineRule="auto"/>
        <w:jc w:val="center"/>
        <w:rPr>
          <w:rFonts w:hint="eastAsia" w:ascii="宋体" w:hAnsi="宋体" w:eastAsia="宋体" w:cs="宋体"/>
          <w:b/>
          <w:bCs/>
          <w:color w:val="auto"/>
          <w:kern w:val="0"/>
          <w:sz w:val="44"/>
          <w:szCs w:val="18"/>
          <w:highlight w:val="none"/>
          <w:u w:val="none"/>
          <w:lang w:eastAsia="zh-CN"/>
        </w:rPr>
      </w:pPr>
      <w:bookmarkStart w:id="1" w:name="_GoBack"/>
      <w:r>
        <w:rPr>
          <w:rFonts w:hint="eastAsia" w:hAnsi="宋体" w:cs="宋体"/>
          <w:b/>
          <w:bCs/>
          <w:color w:val="auto"/>
          <w:kern w:val="0"/>
          <w:sz w:val="44"/>
          <w:szCs w:val="18"/>
          <w:highlight w:val="none"/>
          <w:u w:val="none"/>
          <w:lang w:val="en-US" w:eastAsia="zh-CN"/>
        </w:rPr>
        <w:t>陕西牛背梁国家级自然保护区2026年中央财政林业草原生态保护恢复资金项目</w:t>
      </w:r>
    </w:p>
    <w:bookmarkEnd w:id="1"/>
    <w:p w14:paraId="348CAABB">
      <w:pPr>
        <w:pStyle w:val="12"/>
        <w:spacing w:line="360" w:lineRule="auto"/>
        <w:rPr>
          <w:rFonts w:hint="eastAsia" w:ascii="宋体" w:hAnsi="宋体" w:eastAsia="宋体" w:cs="宋体"/>
          <w:color w:val="auto"/>
          <w:highlight w:val="none"/>
          <w:lang w:eastAsia="zh-CN"/>
        </w:rPr>
      </w:pPr>
    </w:p>
    <w:p w14:paraId="42F677F9">
      <w:pPr>
        <w:pStyle w:val="12"/>
        <w:spacing w:line="360" w:lineRule="auto"/>
        <w:rPr>
          <w:rFonts w:hint="eastAsia" w:ascii="宋体" w:hAnsi="宋体" w:eastAsia="宋体" w:cs="宋体"/>
          <w:color w:val="auto"/>
          <w:highlight w:val="none"/>
          <w:lang w:eastAsia="zh-CN"/>
        </w:rPr>
      </w:pPr>
    </w:p>
    <w:p w14:paraId="255CBD47">
      <w:pPr>
        <w:pStyle w:val="12"/>
        <w:spacing w:line="360" w:lineRule="auto"/>
        <w:rPr>
          <w:rFonts w:hint="eastAsia" w:ascii="宋体" w:hAnsi="宋体" w:eastAsia="宋体" w:cs="宋体"/>
          <w:color w:val="auto"/>
          <w:highlight w:val="none"/>
          <w:lang w:eastAsia="zh-CN"/>
        </w:rPr>
      </w:pPr>
    </w:p>
    <w:p w14:paraId="0B663664">
      <w:pPr>
        <w:pStyle w:val="12"/>
        <w:spacing w:line="360" w:lineRule="auto"/>
        <w:rPr>
          <w:rFonts w:hint="eastAsia" w:ascii="宋体" w:hAnsi="宋体" w:eastAsia="宋体" w:cs="宋体"/>
          <w:color w:val="auto"/>
          <w:highlight w:val="none"/>
          <w:lang w:eastAsia="zh-CN"/>
        </w:rPr>
      </w:pPr>
    </w:p>
    <w:p w14:paraId="60FC884F">
      <w:pPr>
        <w:pStyle w:val="12"/>
        <w:spacing w:line="360" w:lineRule="auto"/>
        <w:rPr>
          <w:rFonts w:hint="eastAsia" w:ascii="宋体" w:hAnsi="宋体" w:eastAsia="宋体" w:cs="宋体"/>
          <w:color w:val="auto"/>
          <w:highlight w:val="none"/>
          <w:lang w:eastAsia="zh-CN"/>
        </w:rPr>
      </w:pPr>
    </w:p>
    <w:p w14:paraId="13420EF1">
      <w:pPr>
        <w:spacing w:line="360" w:lineRule="auto"/>
        <w:jc w:val="center"/>
        <w:outlineLvl w:val="0"/>
        <w:rPr>
          <w:rFonts w:hint="eastAsia" w:ascii="宋体" w:hAnsi="宋体" w:eastAsia="宋体" w:cs="宋体"/>
          <w:color w:val="auto"/>
          <w:sz w:val="44"/>
          <w:szCs w:val="44"/>
          <w:highlight w:val="none"/>
          <w:lang w:eastAsia="zh-CN"/>
        </w:rPr>
      </w:pPr>
      <w:r>
        <w:rPr>
          <w:rFonts w:hint="eastAsia" w:ascii="宋体" w:hAnsi="宋体" w:eastAsia="宋体" w:cs="宋体"/>
          <w:b/>
          <w:bCs/>
          <w:color w:val="auto"/>
          <w:spacing w:val="8"/>
          <w:sz w:val="44"/>
          <w:szCs w:val="44"/>
          <w:highlight w:val="none"/>
          <w:lang w:val="en-US" w:eastAsia="zh-CN"/>
        </w:rPr>
        <w:t>采购</w:t>
      </w:r>
      <w:r>
        <w:rPr>
          <w:rFonts w:hint="eastAsia" w:ascii="宋体" w:hAnsi="宋体" w:eastAsia="宋体" w:cs="宋体"/>
          <w:b/>
          <w:bCs/>
          <w:color w:val="auto"/>
          <w:spacing w:val="8"/>
          <w:sz w:val="44"/>
          <w:szCs w:val="44"/>
          <w:highlight w:val="none"/>
          <w:lang w:eastAsia="zh-CN"/>
        </w:rPr>
        <w:t>合同</w:t>
      </w:r>
    </w:p>
    <w:p w14:paraId="57822951">
      <w:pPr>
        <w:pStyle w:val="12"/>
        <w:spacing w:line="360" w:lineRule="auto"/>
        <w:rPr>
          <w:rFonts w:hint="eastAsia" w:ascii="宋体" w:hAnsi="宋体" w:eastAsia="宋体" w:cs="宋体"/>
          <w:color w:val="auto"/>
          <w:highlight w:val="none"/>
          <w:lang w:eastAsia="zh-CN"/>
        </w:rPr>
      </w:pPr>
    </w:p>
    <w:p w14:paraId="4896585D">
      <w:pPr>
        <w:pStyle w:val="12"/>
        <w:spacing w:line="360" w:lineRule="auto"/>
        <w:rPr>
          <w:rFonts w:hint="eastAsia" w:ascii="宋体" w:hAnsi="宋体" w:eastAsia="宋体" w:cs="宋体"/>
          <w:color w:val="auto"/>
          <w:highlight w:val="none"/>
          <w:lang w:eastAsia="zh-CN"/>
        </w:rPr>
      </w:pPr>
    </w:p>
    <w:p w14:paraId="1FC4E916">
      <w:pPr>
        <w:pStyle w:val="12"/>
        <w:spacing w:line="360" w:lineRule="auto"/>
        <w:rPr>
          <w:rFonts w:hint="eastAsia" w:ascii="宋体" w:hAnsi="宋体" w:eastAsia="宋体" w:cs="宋体"/>
          <w:color w:val="auto"/>
          <w:highlight w:val="none"/>
          <w:lang w:eastAsia="zh-CN"/>
        </w:rPr>
      </w:pPr>
    </w:p>
    <w:p w14:paraId="7962AFBF">
      <w:pPr>
        <w:pStyle w:val="12"/>
        <w:spacing w:line="360" w:lineRule="auto"/>
        <w:rPr>
          <w:rFonts w:hint="eastAsia" w:ascii="宋体" w:hAnsi="宋体" w:eastAsia="宋体" w:cs="宋体"/>
          <w:color w:val="auto"/>
          <w:highlight w:val="none"/>
          <w:lang w:eastAsia="zh-CN"/>
        </w:rPr>
      </w:pPr>
    </w:p>
    <w:p w14:paraId="022E3F2F">
      <w:pPr>
        <w:pStyle w:val="12"/>
        <w:spacing w:line="360" w:lineRule="auto"/>
        <w:rPr>
          <w:rFonts w:hint="eastAsia" w:ascii="宋体" w:hAnsi="宋体" w:eastAsia="宋体" w:cs="宋体"/>
          <w:color w:val="auto"/>
          <w:highlight w:val="none"/>
          <w:lang w:eastAsia="zh-CN"/>
        </w:rPr>
      </w:pPr>
    </w:p>
    <w:p w14:paraId="5867F738">
      <w:pPr>
        <w:pStyle w:val="12"/>
        <w:spacing w:line="360" w:lineRule="auto"/>
        <w:rPr>
          <w:rFonts w:hint="eastAsia" w:ascii="宋体" w:hAnsi="宋体" w:eastAsia="宋体" w:cs="宋体"/>
          <w:color w:val="auto"/>
          <w:highlight w:val="none"/>
          <w:lang w:eastAsia="zh-CN"/>
        </w:rPr>
      </w:pPr>
    </w:p>
    <w:p w14:paraId="2952DB00">
      <w:pPr>
        <w:spacing w:line="360" w:lineRule="auto"/>
        <w:ind w:left="0" w:leftChars="0" w:firstLine="1917" w:firstLineChars="705"/>
        <w:jc w:val="both"/>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pacing w:val="-4"/>
          <w:sz w:val="28"/>
          <w:szCs w:val="28"/>
          <w:highlight w:val="none"/>
          <w:lang w:eastAsia="zh-CN"/>
        </w:rPr>
        <w:t>甲方：</w:t>
      </w:r>
      <w:r>
        <w:rPr>
          <w:rFonts w:hint="eastAsia" w:ascii="宋体" w:hAnsi="宋体" w:eastAsia="宋体" w:cs="宋体"/>
          <w:color w:val="auto"/>
          <w:spacing w:val="-4"/>
          <w:sz w:val="28"/>
          <w:szCs w:val="28"/>
          <w:highlight w:val="none"/>
          <w:u w:val="single"/>
          <w:lang w:val="en-US" w:eastAsia="zh-CN"/>
        </w:rPr>
        <w:t xml:space="preserve">                            </w:t>
      </w:r>
    </w:p>
    <w:p w14:paraId="39B36249">
      <w:pPr>
        <w:spacing w:line="360" w:lineRule="auto"/>
        <w:ind w:left="0" w:leftChars="0" w:firstLine="1931" w:firstLineChars="705"/>
        <w:jc w:val="both"/>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pacing w:val="-3"/>
          <w:sz w:val="28"/>
          <w:szCs w:val="28"/>
          <w:highlight w:val="none"/>
          <w:lang w:eastAsia="zh-CN"/>
        </w:rPr>
        <w:t>乙方：</w:t>
      </w:r>
      <w:r>
        <w:rPr>
          <w:rFonts w:hint="eastAsia" w:ascii="宋体" w:hAnsi="宋体" w:eastAsia="宋体" w:cs="宋体"/>
          <w:color w:val="auto"/>
          <w:spacing w:val="-3"/>
          <w:sz w:val="28"/>
          <w:szCs w:val="28"/>
          <w:highlight w:val="none"/>
          <w:u w:val="single"/>
          <w:lang w:val="en-US" w:eastAsia="zh-CN"/>
        </w:rPr>
        <w:t xml:space="preserve">                            </w:t>
      </w:r>
    </w:p>
    <w:p w14:paraId="1F3EFCB6">
      <w:pPr>
        <w:spacing w:line="360" w:lineRule="auto"/>
        <w:ind w:left="0" w:leftChars="0" w:firstLine="1917" w:firstLineChars="705"/>
        <w:jc w:val="both"/>
        <w:rPr>
          <w:rFonts w:hint="eastAsia" w:ascii="宋体" w:hAnsi="宋体" w:eastAsia="宋体" w:cs="宋体"/>
          <w:color w:val="auto"/>
          <w:spacing w:val="-4"/>
          <w:sz w:val="28"/>
          <w:szCs w:val="28"/>
          <w:highlight w:val="none"/>
          <w:lang w:eastAsia="zh-CN"/>
        </w:rPr>
      </w:pPr>
      <w:r>
        <w:rPr>
          <w:rFonts w:hint="eastAsia" w:ascii="宋体" w:hAnsi="宋体" w:eastAsia="宋体" w:cs="宋体"/>
          <w:color w:val="auto"/>
          <w:spacing w:val="-4"/>
          <w:sz w:val="28"/>
          <w:szCs w:val="28"/>
          <w:highlight w:val="none"/>
          <w:lang w:eastAsia="zh-CN"/>
        </w:rPr>
        <w:t>签订日期：</w:t>
      </w:r>
      <w:r>
        <w:rPr>
          <w:rFonts w:hint="eastAsia" w:ascii="宋体" w:hAnsi="宋体" w:eastAsia="宋体" w:cs="宋体"/>
          <w:color w:val="auto"/>
          <w:spacing w:val="-4"/>
          <w:sz w:val="28"/>
          <w:szCs w:val="28"/>
          <w:highlight w:val="none"/>
          <w:u w:val="single"/>
          <w:lang w:eastAsia="zh-CN"/>
        </w:rPr>
        <w:t xml:space="preserve">      </w:t>
      </w:r>
      <w:r>
        <w:rPr>
          <w:rFonts w:hint="eastAsia" w:ascii="宋体" w:hAnsi="宋体" w:eastAsia="宋体" w:cs="宋体"/>
          <w:color w:val="auto"/>
          <w:spacing w:val="-4"/>
          <w:sz w:val="28"/>
          <w:szCs w:val="28"/>
          <w:highlight w:val="none"/>
          <w:lang w:eastAsia="zh-CN"/>
        </w:rPr>
        <w:t>年</w:t>
      </w:r>
      <w:r>
        <w:rPr>
          <w:rFonts w:hint="eastAsia" w:ascii="宋体" w:hAnsi="宋体" w:eastAsia="宋体" w:cs="宋体"/>
          <w:color w:val="auto"/>
          <w:spacing w:val="-4"/>
          <w:sz w:val="28"/>
          <w:szCs w:val="28"/>
          <w:highlight w:val="none"/>
          <w:u w:val="single"/>
          <w:lang w:eastAsia="zh-CN"/>
        </w:rPr>
        <w:t xml:space="preserve">      </w:t>
      </w:r>
      <w:r>
        <w:rPr>
          <w:rFonts w:hint="eastAsia" w:ascii="宋体" w:hAnsi="宋体" w:eastAsia="宋体" w:cs="宋体"/>
          <w:color w:val="auto"/>
          <w:spacing w:val="-4"/>
          <w:sz w:val="28"/>
          <w:szCs w:val="28"/>
          <w:highlight w:val="none"/>
          <w:lang w:eastAsia="zh-CN"/>
        </w:rPr>
        <w:t>月</w:t>
      </w:r>
      <w:r>
        <w:rPr>
          <w:rFonts w:hint="eastAsia" w:ascii="宋体" w:hAnsi="宋体" w:eastAsia="宋体" w:cs="宋体"/>
          <w:color w:val="auto"/>
          <w:spacing w:val="-4"/>
          <w:sz w:val="28"/>
          <w:szCs w:val="28"/>
          <w:highlight w:val="none"/>
          <w:u w:val="single"/>
          <w:lang w:eastAsia="zh-CN"/>
        </w:rPr>
        <w:t xml:space="preserve">      </w:t>
      </w:r>
      <w:r>
        <w:rPr>
          <w:rFonts w:hint="eastAsia" w:ascii="宋体" w:hAnsi="宋体" w:eastAsia="宋体" w:cs="宋体"/>
          <w:color w:val="auto"/>
          <w:spacing w:val="-4"/>
          <w:sz w:val="28"/>
          <w:szCs w:val="28"/>
          <w:highlight w:val="none"/>
          <w:lang w:eastAsia="zh-CN"/>
        </w:rPr>
        <w:t>日</w:t>
      </w:r>
    </w:p>
    <w:p w14:paraId="6912C03B">
      <w:pPr>
        <w:spacing w:line="360" w:lineRule="auto"/>
        <w:ind w:left="0" w:leftChars="0" w:firstLine="1917" w:firstLineChars="705"/>
        <w:jc w:val="both"/>
        <w:rPr>
          <w:rFonts w:hint="eastAsia" w:ascii="宋体" w:hAnsi="宋体" w:eastAsia="宋体" w:cs="宋体"/>
          <w:color w:val="auto"/>
          <w:spacing w:val="-4"/>
          <w:sz w:val="28"/>
          <w:szCs w:val="28"/>
          <w:highlight w:val="none"/>
          <w:lang w:eastAsia="zh-CN"/>
        </w:rPr>
      </w:pPr>
    </w:p>
    <w:p w14:paraId="22C3CE08">
      <w:pPr>
        <w:keepNext w:val="0"/>
        <w:keepLines w:val="0"/>
        <w:pageBreakBefore w:val="0"/>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rPr>
      </w:pPr>
    </w:p>
    <w:p w14:paraId="30DD2FB8">
      <w:pPr>
        <w:keepNext w:val="0"/>
        <w:keepLines w:val="0"/>
        <w:pageBreakBefore w:val="0"/>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委托方（甲方）：</w:t>
      </w:r>
      <w:r>
        <w:rPr>
          <w:rFonts w:hint="eastAsia" w:ascii="宋体" w:hAnsi="宋体" w:eastAsia="宋体" w:cs="宋体"/>
          <w:color w:val="auto"/>
          <w:sz w:val="24"/>
          <w:szCs w:val="24"/>
          <w:highlight w:val="none"/>
          <w:u w:val="single"/>
        </w:rPr>
        <w:t xml:space="preserve">                         </w:t>
      </w:r>
    </w:p>
    <w:p w14:paraId="165AE977">
      <w:pPr>
        <w:keepNext w:val="0"/>
        <w:keepLines w:val="0"/>
        <w:pageBreakBefore w:val="0"/>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受托方（乙方）：</w:t>
      </w:r>
      <w:r>
        <w:rPr>
          <w:rFonts w:hint="eastAsia" w:ascii="宋体" w:hAnsi="宋体" w:eastAsia="宋体" w:cs="宋体"/>
          <w:color w:val="auto"/>
          <w:sz w:val="24"/>
          <w:szCs w:val="24"/>
          <w:highlight w:val="none"/>
          <w:u w:val="single"/>
        </w:rPr>
        <w:t xml:space="preserve">                         </w:t>
      </w:r>
    </w:p>
    <w:p w14:paraId="50677EB8">
      <w:pPr>
        <w:pStyle w:val="12"/>
        <w:keepNext w:val="0"/>
        <w:keepLines w:val="0"/>
        <w:pageBreakBefore w:val="0"/>
        <w:widowControl/>
        <w:kinsoku w:val="0"/>
        <w:wordWrap/>
        <w:overflowPunct/>
        <w:topLinePunct w:val="0"/>
        <w:autoSpaceDE w:val="0"/>
        <w:autoSpaceDN w:val="0"/>
        <w:bidi w:val="0"/>
        <w:adjustRightInd/>
        <w:snapToGrid/>
        <w:spacing w:after="0" w:afterLines="0" w:line="360" w:lineRule="auto"/>
        <w:ind w:right="86" w:rightChars="0" w:firstLine="488"/>
        <w:jc w:val="both"/>
        <w:textAlignment w:val="baseline"/>
        <w:outlineLvl w:val="9"/>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为切实做好完成</w:t>
      </w:r>
      <w:r>
        <w:rPr>
          <w:rFonts w:hint="eastAsia" w:ascii="宋体" w:hAnsi="宋体" w:cs="宋体"/>
          <w:color w:val="auto"/>
          <w:spacing w:val="-3"/>
          <w:sz w:val="24"/>
          <w:szCs w:val="24"/>
          <w:highlight w:val="none"/>
          <w:u w:val="single"/>
          <w:lang w:val="en-US" w:eastAsia="zh-CN"/>
        </w:rPr>
        <w:t>陕西牛背梁国家级自然保护区2026年中央财政林业草原生态保护恢复资金项目</w:t>
      </w:r>
      <w:r>
        <w:rPr>
          <w:rFonts w:hint="eastAsia" w:ascii="宋体" w:hAnsi="宋体" w:eastAsia="宋体" w:cs="宋体"/>
          <w:color w:val="auto"/>
          <w:spacing w:val="-2"/>
          <w:sz w:val="24"/>
          <w:szCs w:val="24"/>
          <w:highlight w:val="none"/>
        </w:rPr>
        <w:t>。根据《中华人民共和国民法典》和行业有关法律规，甲</w:t>
      </w:r>
      <w:r>
        <w:rPr>
          <w:rFonts w:hint="eastAsia" w:ascii="宋体" w:hAnsi="宋体" w:eastAsia="宋体" w:cs="宋体"/>
          <w:color w:val="auto"/>
          <w:spacing w:val="-3"/>
          <w:sz w:val="24"/>
          <w:szCs w:val="24"/>
          <w:highlight w:val="none"/>
        </w:rPr>
        <w:t>乙双方本着平等互利，诚实守信</w:t>
      </w:r>
      <w:r>
        <w:rPr>
          <w:rFonts w:hint="eastAsia" w:ascii="宋体" w:hAnsi="宋体" w:eastAsia="宋体" w:cs="宋体"/>
          <w:color w:val="auto"/>
          <w:spacing w:val="-1"/>
          <w:sz w:val="24"/>
          <w:szCs w:val="24"/>
          <w:highlight w:val="none"/>
        </w:rPr>
        <w:t>的原则，经双方友好协商，签订本合同，以资共同遵守。</w:t>
      </w:r>
    </w:p>
    <w:p w14:paraId="25211787">
      <w:pPr>
        <w:pStyle w:val="19"/>
        <w:keepNext w:val="0"/>
        <w:keepLines w:val="0"/>
        <w:pageBreakBefore w:val="0"/>
        <w:overflowPunct/>
        <w:topLinePunct w:val="0"/>
        <w:bidi w:val="0"/>
        <w:spacing w:line="360" w:lineRule="auto"/>
        <w:ind w:left="0" w:leftChars="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第一条：合同标的及付款方式</w:t>
      </w:r>
    </w:p>
    <w:p w14:paraId="4FA5701E">
      <w:pPr>
        <w:keepNext w:val="0"/>
        <w:keepLines w:val="0"/>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1、合同标的及标的物</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7026FB5C">
      <w:pPr>
        <w:keepNext w:val="0"/>
        <w:keepLines w:val="0"/>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2、合同总价：</w:t>
      </w:r>
    </w:p>
    <w:p w14:paraId="47C4FA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（1）合同中标总价款为人民币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0CFD23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（2）合同总价包括现场调查费、交通费、食宿费、设备使用费、人工费、成果编制费、税费、管理费及完成本项目所需全部相关费用。</w:t>
      </w:r>
    </w:p>
    <w:p w14:paraId="76D0F4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w:t>
      </w:r>
      <w:r>
        <w:rPr>
          <w:rFonts w:hint="eastAsia" w:ascii="宋体" w:hAnsi="宋体" w:eastAsia="宋体" w:cs="宋体"/>
          <w:color w:val="auto"/>
          <w:sz w:val="24"/>
          <w:szCs w:val="24"/>
          <w:highlight w:val="none"/>
          <w:lang w:val="en-US" w:eastAsia="zh-CN"/>
        </w:rPr>
        <w:t>总价</w:t>
      </w:r>
      <w:r>
        <w:rPr>
          <w:rFonts w:hint="eastAsia" w:ascii="宋体" w:hAnsi="宋体" w:eastAsia="宋体" w:cs="宋体"/>
          <w:color w:val="auto"/>
          <w:sz w:val="24"/>
          <w:szCs w:val="24"/>
          <w:highlight w:val="none"/>
        </w:rPr>
        <w:t>一次性包死，不受市场价变化的影响</w:t>
      </w:r>
      <w:r>
        <w:rPr>
          <w:rFonts w:hint="eastAsia" w:hAnsi="宋体" w:cs="宋体"/>
          <w:color w:val="auto"/>
          <w:sz w:val="24"/>
          <w:szCs w:val="24"/>
          <w:highlight w:val="none"/>
          <w:lang w:eastAsia="zh-CN"/>
        </w:rPr>
        <w:t>，</w:t>
      </w:r>
      <w:r>
        <w:rPr>
          <w:rFonts w:hint="eastAsia" w:ascii="宋体" w:hAnsi="宋体" w:eastAsia="宋体" w:cs="宋体"/>
          <w:color w:val="auto"/>
          <w:sz w:val="24"/>
          <w:szCs w:val="24"/>
          <w:highlight w:val="none"/>
        </w:rPr>
        <w:t>合同履行期间价格不作任何调整。</w:t>
      </w:r>
    </w:p>
    <w:p w14:paraId="72C5672B">
      <w:pPr>
        <w:keepNext w:val="0"/>
        <w:keepLines w:val="0"/>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3、结算方式</w:t>
      </w:r>
    </w:p>
    <w:p w14:paraId="1017A6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付款方式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59D668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结算单位；由甲方负责结算，乙方根据合同条款按甲方要求开具发</w:t>
      </w:r>
      <w:r>
        <w:rPr>
          <w:rFonts w:hint="eastAsia" w:ascii="宋体" w:hAnsi="宋体" w:eastAsia="宋体" w:cs="宋体"/>
          <w:color w:val="auto"/>
          <w:sz w:val="24"/>
          <w:szCs w:val="24"/>
          <w:highlight w:val="none"/>
          <w:lang w:val="en-US" w:eastAsia="zh-CN"/>
        </w:rPr>
        <w:t>票。</w:t>
      </w:r>
    </w:p>
    <w:p w14:paraId="36DAA6E1">
      <w:pPr>
        <w:keepNext w:val="0"/>
        <w:keepLines w:val="0"/>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、支付方式；银行转账。</w:t>
      </w:r>
    </w:p>
    <w:p w14:paraId="3D6D2D30">
      <w:pPr>
        <w:keepNext w:val="0"/>
        <w:keepLines w:val="0"/>
        <w:pageBreakBefore w:val="0"/>
        <w:tabs>
          <w:tab w:val="left" w:pos="6276"/>
        </w:tabs>
        <w:overflowPunct/>
        <w:topLinePunct w:val="0"/>
        <w:bidi w:val="0"/>
        <w:spacing w:line="360" w:lineRule="auto"/>
        <w:ind w:firstLine="42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第二条：项目服务期</w:t>
      </w:r>
    </w:p>
    <w:p w14:paraId="5DF787D2">
      <w:pPr>
        <w:keepNext w:val="0"/>
        <w:keepLines w:val="0"/>
        <w:pageBreakBefore w:val="0"/>
        <w:overflowPunct/>
        <w:topLinePunct w:val="0"/>
        <w:bidi w:val="0"/>
        <w:spacing w:line="360" w:lineRule="auto"/>
        <w:ind w:firstLine="42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自合同签订之日起</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。乙方须在服务期内完成全部调查及成果交付工作，不得逾期。</w:t>
      </w:r>
    </w:p>
    <w:p w14:paraId="07900765">
      <w:pPr>
        <w:keepNext w:val="0"/>
        <w:keepLines w:val="0"/>
        <w:pageBreakBefore w:val="0"/>
        <w:overflowPunct/>
        <w:topLinePunct w:val="0"/>
        <w:bidi w:val="0"/>
        <w:spacing w:line="360" w:lineRule="auto"/>
        <w:ind w:firstLine="42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第三条：服务内容及标准</w:t>
      </w:r>
    </w:p>
    <w:p w14:paraId="24B6667F">
      <w:pPr>
        <w:keepNext w:val="0"/>
        <w:keepLines w:val="0"/>
        <w:pageBreakBefore w:val="0"/>
        <w:overflowPunct/>
        <w:topLinePunct w:val="0"/>
        <w:bidi w:val="0"/>
        <w:spacing w:line="360" w:lineRule="auto"/>
        <w:ind w:firstLine="42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符合国家法律法规及行业规范要求</w:t>
      </w:r>
      <w:r>
        <w:rPr>
          <w:rFonts w:hint="eastAsia" w:ascii="宋体" w:hAnsi="宋体" w:eastAsia="宋体" w:cs="宋体"/>
          <w:color w:val="auto"/>
          <w:sz w:val="24"/>
          <w:szCs w:val="24"/>
          <w:highlight w:val="none"/>
          <w:lang w:eastAsia="zh-CN"/>
        </w:rPr>
        <w:t>。调查工作、成果资料须严格执行野生动物调查相关国家、行业技术标准，同时满足竞争性磋商文件、响应文件全部要求。</w:t>
      </w:r>
    </w:p>
    <w:p w14:paraId="262CA720">
      <w:pPr>
        <w:keepNext w:val="0"/>
        <w:keepLines w:val="0"/>
        <w:pageBreakBefore w:val="0"/>
        <w:overflowPunct/>
        <w:topLinePunct w:val="0"/>
        <w:bidi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第四条：合同期限</w:t>
      </w:r>
    </w:p>
    <w:p w14:paraId="1897D172">
      <w:pPr>
        <w:keepNext w:val="0"/>
        <w:keepLines w:val="0"/>
        <w:pageBreakBefore w:val="0"/>
        <w:overflowPunct/>
        <w:topLinePunct w:val="0"/>
        <w:bidi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1、本合同自双方代表签字、盖章之日起生效。合同期限为自合同签订生效之日起至本项目结束止。</w:t>
      </w:r>
    </w:p>
    <w:p w14:paraId="1393C2D1">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2、本合同到期后，如仍然存在甲乙双方未履行完毕的各项义务，则该义务继续履行；未行使完毕的各项权利，由权利方继续行使。</w:t>
      </w:r>
      <w:r>
        <w:rPr>
          <w:rFonts w:hint="eastAsia" w:ascii="宋体" w:hAnsi="宋体" w:eastAsia="宋体" w:cs="宋体"/>
          <w:color w:val="auto"/>
          <w:sz w:val="24"/>
          <w:szCs w:val="24"/>
          <w:highlight w:val="none"/>
          <w:lang w:val="en-US" w:eastAsia="zh-CN"/>
        </w:rPr>
        <w:t>乙方保密、知识产权相关义务长期有效，不受合同期限约束。</w:t>
      </w:r>
    </w:p>
    <w:p w14:paraId="2AD1F287">
      <w:pPr>
        <w:keepNext w:val="0"/>
        <w:keepLines w:val="0"/>
        <w:pageBreakBefore w:val="0"/>
        <w:overflowPunct/>
        <w:topLinePunct w:val="0"/>
        <w:bidi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第五条：双方的权利义务</w:t>
      </w:r>
    </w:p>
    <w:p w14:paraId="50401483">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（一）采购人的权利和义务</w:t>
      </w:r>
    </w:p>
    <w:p w14:paraId="3A1BFD48">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1、为了保证采购人项目安全和保密要求，在项目服务期间，</w:t>
      </w:r>
      <w:r>
        <w:rPr>
          <w:rFonts w:hint="eastAsia" w:ascii="宋体" w:hAnsi="宋体" w:eastAsia="宋体" w:cs="宋体"/>
          <w:color w:val="auto"/>
          <w:sz w:val="24"/>
          <w:szCs w:val="24"/>
          <w:highlight w:val="none"/>
          <w:lang w:eastAsia="zh-CN"/>
        </w:rPr>
        <w:t>必须遵守采购人相关的规定和要求</w:t>
      </w:r>
      <w:r>
        <w:rPr>
          <w:rFonts w:hint="eastAsia" w:ascii="宋体" w:hAnsi="宋体" w:eastAsia="宋体" w:cs="宋体"/>
          <w:color w:val="auto"/>
          <w:sz w:val="24"/>
          <w:szCs w:val="24"/>
          <w:highlight w:val="none"/>
        </w:rPr>
        <w:t>。</w:t>
      </w:r>
    </w:p>
    <w:p w14:paraId="679E0DBB">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、甲方有权对项目全流程进行监督、现场核查，对违规行为要求乙方立即整改。</w:t>
      </w:r>
    </w:p>
    <w:p w14:paraId="091752C9">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hAnsi="宋体" w:cs="宋体"/>
          <w:color w:val="auto"/>
          <w:sz w:val="24"/>
          <w:szCs w:val="24"/>
          <w:highlight w:val="none"/>
          <w:lang w:val="en-US" w:eastAsia="zh-CN"/>
        </w:rPr>
        <w:t>3、</w:t>
      </w:r>
      <w:r>
        <w:rPr>
          <w:rFonts w:hint="eastAsia" w:ascii="宋体" w:hAnsi="宋体" w:eastAsia="宋体" w:cs="宋体"/>
          <w:color w:val="auto"/>
          <w:sz w:val="24"/>
          <w:szCs w:val="24"/>
          <w:highlight w:val="none"/>
        </w:rPr>
        <w:t>采购人有权对供应商派出人员的工作态度、技术水平进行监督和评判并提出相应的要求</w:t>
      </w:r>
      <w:r>
        <w:rPr>
          <w:rFonts w:hint="eastAsia" w:ascii="宋体" w:hAnsi="宋体" w:eastAsia="宋体" w:cs="宋体"/>
          <w:color w:val="auto"/>
          <w:sz w:val="24"/>
          <w:szCs w:val="24"/>
          <w:highlight w:val="none"/>
          <w:lang w:eastAsia="zh-CN"/>
        </w:rPr>
        <w:t>。</w:t>
      </w:r>
    </w:p>
    <w:p w14:paraId="089D92DA">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4、甲方负责提供项目必要基础资料与现场协调，不承担乙方作业人员人身、财产安全相关责任。</w:t>
      </w:r>
    </w:p>
    <w:p w14:paraId="2559CDBE">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（二）供应商的权利和义务</w:t>
      </w:r>
    </w:p>
    <w:p w14:paraId="61F826E1">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1、供应商确保本项目的完成质量，全面满足磋商文件要求。</w:t>
      </w:r>
    </w:p>
    <w:p w14:paraId="4D0E986C">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2、供应商保证严格按照采购人</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管理要求和工作纪律行事。</w:t>
      </w:r>
    </w:p>
    <w:p w14:paraId="7BBFA0B4">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3、供应商提供完成项目期间，应当保证采购人数据的安全，并对采购人的所有相关数据及信息进行保密，不得外泄。项目结束后乙方须交还全部涉密资料，不得私自留存、转发任何甲方数据信息。</w:t>
      </w:r>
    </w:p>
    <w:p w14:paraId="4854580E">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应确保此次服务</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，不侵犯其他任何第三人知识产权等权利，并承担由此产生的一切责任。</w:t>
      </w:r>
    </w:p>
    <w:p w14:paraId="57647FF3">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5、项目产生的数据成果、技术文档等知识产权归采购人所有，供应商不得将相关成果用于其他商业用途。乙方不得将项目数据、报告、影像资料等转借、授权、对外发布或用于本项目以外任何用途。</w:t>
      </w:r>
    </w:p>
    <w:p w14:paraId="67C0E51F">
      <w:pPr>
        <w:keepNext w:val="0"/>
        <w:keepLines w:val="0"/>
        <w:widowControl/>
        <w:spacing w:line="360" w:lineRule="auto"/>
        <w:ind w:firstLine="480" w:firstLineChars="200"/>
        <w:jc w:val="left"/>
        <w:rPr>
          <w:rFonts w:hint="eastAsia" w:hAnsi="宋体" w:cs="宋体"/>
          <w:color w:val="auto"/>
          <w:szCs w:val="24"/>
          <w:highlight w:val="none"/>
          <w:lang w:val="en-US" w:eastAsia="zh-CN"/>
        </w:rPr>
      </w:pPr>
      <w:r>
        <w:rPr>
          <w:rFonts w:hint="eastAsia" w:hAnsi="宋体" w:cs="宋体"/>
          <w:color w:val="auto"/>
          <w:szCs w:val="24"/>
          <w:highlight w:val="none"/>
          <w:lang w:val="en-US" w:eastAsia="zh-CN"/>
        </w:rPr>
        <w:t xml:space="preserve">6、乙方负责全体作业人员的安全管理、保险购置，野外作业引发的安全事故、经济赔偿、行政处罚等，均由乙方全权承担。 </w:t>
      </w:r>
    </w:p>
    <w:p w14:paraId="3EF7650A">
      <w:pPr>
        <w:keepNext w:val="0"/>
        <w:keepLines w:val="0"/>
        <w:widowControl/>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hAnsi="宋体" w:cs="宋体"/>
          <w:color w:val="auto"/>
          <w:szCs w:val="24"/>
          <w:highlight w:val="none"/>
          <w:lang w:val="en-US" w:eastAsia="zh-CN"/>
        </w:rPr>
        <w:t>7、乙方派驻工作人员须具备对应专业资质，核心人员不得擅自更换，人员名单提前报备甲方。</w:t>
      </w:r>
    </w:p>
    <w:p w14:paraId="090CEA02">
      <w:pPr>
        <w:keepNext w:val="0"/>
        <w:keepLines w:val="0"/>
        <w:pageBreakBefore w:val="0"/>
        <w:widowControl/>
        <w:overflowPunct/>
        <w:topLinePunct w:val="0"/>
        <w:bidi w:val="0"/>
        <w:spacing w:line="360" w:lineRule="auto"/>
        <w:ind w:firstLine="482" w:firstLine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第六条：服务质量保证</w:t>
      </w:r>
    </w:p>
    <w:p w14:paraId="1174FEF8">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服务质量保证内容包括整个项目。本项目质保期自验收合格之日起计算，为期 </w:t>
      </w:r>
      <w:r>
        <w:rPr>
          <w:rFonts w:hint="eastAsia"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年。质保期内出现数据错误、内容缺失等问题，乙方须在 3 个工作日内无偿修正完善。</w:t>
      </w:r>
    </w:p>
    <w:p w14:paraId="514F8CF3">
      <w:pPr>
        <w:keepNext w:val="0"/>
        <w:keepLines w:val="0"/>
        <w:pageBreakBefore w:val="0"/>
        <w:overflowPunct/>
        <w:topLinePunct w:val="0"/>
        <w:bidi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第七条：验收</w:t>
      </w:r>
    </w:p>
    <w:p w14:paraId="033FEE18">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1、完成合同约定的工作后，按照成交供应商所提供的资料进行验收；</w:t>
      </w:r>
    </w:p>
    <w:p w14:paraId="753469DF">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2、最终验收：自合同签订之日起至完成全部项目内容，需按照采购人确定的时间完成交付并验收合格，验收合格后，填写验收单。</w:t>
      </w:r>
    </w:p>
    <w:p w14:paraId="3EA66D84">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验收依据：</w:t>
      </w:r>
    </w:p>
    <w:p w14:paraId="6415A58B">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合同文本。</w:t>
      </w:r>
    </w:p>
    <w:p w14:paraId="3C0DA6EF">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磋商响应文件、磋商文件、澄清函。</w:t>
      </w:r>
    </w:p>
    <w:p w14:paraId="2997B9B0">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国家和行业制定的相应的标准和规范。</w:t>
      </w:r>
    </w:p>
    <w:p w14:paraId="422815AA">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4、验收和评价方式</w:t>
      </w:r>
    </w:p>
    <w:p w14:paraId="4501F3E5">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提供的服务最终验收达不到磋商文件要求和磋商响应文件承诺及国家或行业标准，或在使用中发现甲方不能容忍的缺陷等，将视为验收不合格，乙方应在甲方要求的时间内无条件免费整改、重做，直至验收合格，若仍不合格，乙方须赔付采购人全部损失。</w:t>
      </w:r>
    </w:p>
    <w:p w14:paraId="6D52688B">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5、</w:t>
      </w:r>
      <w:r>
        <w:rPr>
          <w:rFonts w:hint="eastAsia" w:ascii="宋体" w:hAnsi="宋体" w:eastAsia="宋体" w:cs="宋体"/>
          <w:b w:val="0"/>
          <w:bCs w:val="0"/>
          <w:color w:val="auto"/>
          <w:sz w:val="24"/>
          <w:szCs w:val="24"/>
          <w:highlight w:val="none"/>
        </w:rPr>
        <w:t>若发现乙方有数据造假、伪造原始记录、虚报工作量等弄虚作假行为的，</w:t>
      </w:r>
      <w:r>
        <w:rPr>
          <w:rFonts w:hint="eastAsia" w:ascii="宋体" w:hAnsi="宋体" w:eastAsia="宋体" w:cs="宋体"/>
          <w:b w:val="0"/>
          <w:bCs w:val="0"/>
          <w:color w:val="auto"/>
          <w:sz w:val="24"/>
          <w:szCs w:val="24"/>
          <w:highlight w:val="none"/>
          <w:lang w:val="en-US" w:eastAsia="zh-CN"/>
        </w:rPr>
        <w:t>即</w:t>
      </w:r>
      <w:r>
        <w:rPr>
          <w:rFonts w:hint="eastAsia" w:ascii="宋体" w:hAnsi="宋体" w:eastAsia="宋体" w:cs="宋体"/>
          <w:b w:val="0"/>
          <w:bCs w:val="0"/>
          <w:color w:val="auto"/>
          <w:sz w:val="24"/>
          <w:szCs w:val="24"/>
          <w:highlight w:val="none"/>
        </w:rPr>
        <w:t>在项目实施阶段故意或随意夸大服务，本项目合同解除，乙方赔偿甲方相应的损失。</w:t>
      </w:r>
    </w:p>
    <w:p w14:paraId="1D60C522">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验收标准：按磋商文件、磋商响应文件等服务指标进行逐项验收，各项指标均应符合验收标准及要求。</w:t>
      </w:r>
    </w:p>
    <w:p w14:paraId="7427BD31">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7、</w:t>
      </w:r>
      <w:r>
        <w:rPr>
          <w:rFonts w:hint="eastAsia" w:ascii="宋体" w:hAnsi="宋体" w:eastAsia="宋体" w:cs="宋体"/>
          <w:b w:val="0"/>
          <w:bCs w:val="0"/>
          <w:color w:val="auto"/>
          <w:sz w:val="24"/>
          <w:szCs w:val="24"/>
          <w:highlight w:val="none"/>
        </w:rPr>
        <w:t>验收合格后，填写验收单，双方盖章、签字生效。</w:t>
      </w:r>
    </w:p>
    <w:p w14:paraId="58C38ED3">
      <w:pPr>
        <w:keepNext w:val="0"/>
        <w:keepLines w:val="0"/>
        <w:pageBreakBefore w:val="0"/>
        <w:widowControl/>
        <w:overflowPunct/>
        <w:topLinePunct w:val="0"/>
        <w:bidi w:val="0"/>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第八条：违约责任</w:t>
      </w:r>
    </w:p>
    <w:p w14:paraId="184436D8">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1、按《民法典》中的相关条款执行。</w:t>
      </w:r>
    </w:p>
    <w:p w14:paraId="20E6FB22">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乙方未按合同要求提供服务或服务质量不能满足合同要求，甲方应当将供应商违约的情况以及拟采取的措施以书面形式报政府采购监管部门，根据政府采购监管部门的处理意见，甲方有权依据《民法典》有关条款及合同约定解除合同，乙方应向甲方支付合同总价款</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rPr>
        <w:t>%的违约金。同时，政府采购监管部门有权依据《政府采购法》及相关法律法规对乙方的违法行为进行相应的处罚。</w:t>
      </w:r>
    </w:p>
    <w:p w14:paraId="79A71120">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、乙方提供的服务不符合本项目相关文件和本合同规定的，甲方有权单方解除合同，并且乙方须向甲方支付本合同总价款</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rPr>
        <w:t>%的违约金。</w:t>
      </w:r>
    </w:p>
    <w:p w14:paraId="48485B1D">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乙方未能按照本合同约定时间提供服务或完成约定的项目服务内容的，从逾期之日起每日按本合同总价款</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rPr>
        <w:t>%的数额向甲方支付违约金；逾期90日以上的，甲方有权终止合同，由此造成的甲方经济损失由乙方承担。</w:t>
      </w:r>
    </w:p>
    <w:p w14:paraId="18F1C05B">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主要技术指标未达标视为根本违约，甲方有权扣减</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rPr>
        <w:t>%合同价款。</w:t>
      </w:r>
    </w:p>
    <w:p w14:paraId="69A032BC">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供应商违反保密义务或侵犯他人权利造成采购人损失的，应承担全部法律责任并赔偿甲方因此遭受的全部损失。包含诉讼费、律师费、维权产生的各项费用。</w:t>
      </w:r>
    </w:p>
    <w:p w14:paraId="04D69CDF">
      <w:pPr>
        <w:keepNext w:val="0"/>
        <w:keepLines w:val="0"/>
        <w:pageBreakBefore w:val="0"/>
        <w:widowControl/>
        <w:overflowPunct/>
        <w:topLinePunct w:val="0"/>
        <w:bidi w:val="0"/>
        <w:spacing w:line="360" w:lineRule="auto"/>
        <w:ind w:firstLine="482" w:firstLineChars="2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第九条：合同组成</w:t>
      </w:r>
    </w:p>
    <w:p w14:paraId="2683396F">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1、成交通知书</w:t>
      </w:r>
    </w:p>
    <w:p w14:paraId="3FD8EB6A">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2、合同文件</w:t>
      </w:r>
    </w:p>
    <w:p w14:paraId="04FD7E53">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3、国家相关规范及标准</w:t>
      </w:r>
    </w:p>
    <w:p w14:paraId="440D64DA">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4、竞争性磋商文件</w:t>
      </w:r>
    </w:p>
    <w:p w14:paraId="1017EC42">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5、响应文件</w:t>
      </w:r>
    </w:p>
    <w:p w14:paraId="695BED7A">
      <w:pPr>
        <w:keepNext w:val="0"/>
        <w:keepLines w:val="0"/>
        <w:pageBreakBefore w:val="0"/>
        <w:widowControl/>
        <w:overflowPunct/>
        <w:topLinePunct w:val="0"/>
        <w:bidi w:val="0"/>
        <w:spacing w:line="360" w:lineRule="auto"/>
        <w:ind w:firstLine="482" w:firstLineChars="200"/>
        <w:jc w:val="left"/>
        <w:rPr>
          <w:rFonts w:hint="eastAsia" w:ascii="宋体" w:hAnsi="宋体" w:eastAsia="宋体" w:cs="宋体"/>
          <w:b/>
          <w:bCs/>
          <w:color w:val="auto"/>
          <w:sz w:val="24"/>
          <w:szCs w:val="24"/>
          <w:highlight w:val="none"/>
        </w:rPr>
      </w:pPr>
      <w:bookmarkStart w:id="0" w:name="_Toc5818"/>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十</w:t>
      </w:r>
      <w:r>
        <w:rPr>
          <w:rFonts w:hint="eastAsia" w:ascii="宋体" w:hAnsi="宋体" w:eastAsia="宋体" w:cs="宋体"/>
          <w:b/>
          <w:bCs/>
          <w:color w:val="auto"/>
          <w:sz w:val="24"/>
          <w:szCs w:val="24"/>
          <w:highlight w:val="none"/>
        </w:rPr>
        <w:t>条：争议的解决</w:t>
      </w:r>
      <w:bookmarkEnd w:id="0"/>
    </w:p>
    <w:p w14:paraId="72011C77">
      <w:pPr>
        <w:keepNext w:val="0"/>
        <w:keepLines w:val="0"/>
        <w:pageBreakBefore w:val="0"/>
        <w:widowControl/>
        <w:overflowPunct/>
        <w:topLinePunct w:val="0"/>
        <w:bidi w:val="0"/>
        <w:spacing w:line="360" w:lineRule="auto"/>
        <w:ind w:firstLine="48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本合同在履行过程中发生的争议，由甲、乙双方当事人协商解决，协商不成的向甲方所在地人民法院提起诉讼。</w:t>
      </w:r>
    </w:p>
    <w:p w14:paraId="7BFE9867">
      <w:pPr>
        <w:pStyle w:val="12"/>
        <w:keepNext w:val="0"/>
        <w:keepLines w:val="0"/>
        <w:pageBreakBefore w:val="0"/>
        <w:widowControl/>
        <w:kinsoku/>
        <w:wordWrap w:val="0"/>
        <w:overflowPunct/>
        <w:topLinePunct w:val="0"/>
        <w:autoSpaceDE w:val="0"/>
        <w:autoSpaceDN w:val="0"/>
        <w:bidi w:val="0"/>
        <w:adjustRightInd/>
        <w:snapToGrid/>
        <w:spacing w:after="0" w:afterLines="0" w:line="360" w:lineRule="auto"/>
        <w:ind w:left="487"/>
        <w:jc w:val="both"/>
        <w:textAlignment w:val="baseline"/>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十一</w:t>
      </w:r>
      <w:r>
        <w:rPr>
          <w:rFonts w:hint="eastAsia" w:ascii="宋体" w:hAnsi="宋体" w:eastAsia="宋体" w:cs="宋体"/>
          <w:b/>
          <w:bCs/>
          <w:color w:val="auto"/>
          <w:sz w:val="24"/>
          <w:szCs w:val="24"/>
          <w:highlight w:val="none"/>
        </w:rPr>
        <w:t>条：</w:t>
      </w:r>
      <w:r>
        <w:rPr>
          <w:rFonts w:hint="eastAsia" w:ascii="宋体" w:hAnsi="宋体" w:eastAsia="宋体" w:cs="宋体"/>
          <w:b/>
          <w:bCs/>
          <w:color w:val="auto"/>
          <w:spacing w:val="-5"/>
          <w:sz w:val="24"/>
          <w:szCs w:val="24"/>
          <w:highlight w:val="none"/>
        </w:rPr>
        <w:t>不可抗力</w:t>
      </w:r>
    </w:p>
    <w:p w14:paraId="045F1A45">
      <w:pPr>
        <w:pStyle w:val="12"/>
        <w:keepNext w:val="0"/>
        <w:keepLines w:val="0"/>
        <w:pageBreakBefore w:val="0"/>
        <w:widowControl/>
        <w:kinsoku/>
        <w:wordWrap w:val="0"/>
        <w:overflowPunct/>
        <w:topLinePunct w:val="0"/>
        <w:autoSpaceDE w:val="0"/>
        <w:autoSpaceDN w:val="0"/>
        <w:bidi w:val="0"/>
        <w:adjustRightInd/>
        <w:snapToGrid/>
        <w:spacing w:after="0" w:afterLines="0" w:line="360" w:lineRule="auto"/>
        <w:ind w:left="7" w:right="86" w:rightChars="0" w:firstLine="479"/>
        <w:jc w:val="both"/>
        <w:textAlignment w:val="baseline"/>
        <w:outlineLvl w:val="9"/>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双方约定不可抗力情况指：双方不可预见、不可避免</w:t>
      </w:r>
      <w:r>
        <w:rPr>
          <w:rFonts w:hint="eastAsia" w:ascii="宋体" w:hAnsi="宋体" w:eastAsia="宋体" w:cs="宋体"/>
          <w:color w:val="auto"/>
          <w:spacing w:val="-3"/>
          <w:sz w:val="24"/>
          <w:szCs w:val="24"/>
          <w:highlight w:val="none"/>
        </w:rPr>
        <w:t>、不可克服的客观情况，但不包括</w:t>
      </w:r>
      <w:r>
        <w:rPr>
          <w:rFonts w:hint="eastAsia" w:ascii="宋体" w:hAnsi="宋体" w:eastAsia="宋体" w:cs="宋体"/>
          <w:color w:val="auto"/>
          <w:spacing w:val="-2"/>
          <w:sz w:val="24"/>
          <w:szCs w:val="24"/>
          <w:highlight w:val="none"/>
        </w:rPr>
        <w:t>双方的违约或疏忽。遭遇不可抗力一方需在 3 个工作日内书面通知对方并提供官方证明，双方协商后续履约安排。</w:t>
      </w:r>
    </w:p>
    <w:p w14:paraId="7BA341DD">
      <w:pPr>
        <w:pStyle w:val="12"/>
        <w:keepNext w:val="0"/>
        <w:keepLines w:val="0"/>
        <w:pageBreakBefore w:val="0"/>
        <w:widowControl/>
        <w:kinsoku/>
        <w:wordWrap w:val="0"/>
        <w:overflowPunct/>
        <w:topLinePunct w:val="0"/>
        <w:autoSpaceDE w:val="0"/>
        <w:autoSpaceDN w:val="0"/>
        <w:bidi w:val="0"/>
        <w:adjustRightInd/>
        <w:snapToGrid/>
        <w:spacing w:after="0" w:afterLines="0" w:line="360" w:lineRule="auto"/>
        <w:ind w:left="497"/>
        <w:jc w:val="both"/>
        <w:textAlignment w:val="baseline"/>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第</w:t>
      </w:r>
      <w:r>
        <w:rPr>
          <w:rFonts w:hint="eastAsia" w:ascii="宋体" w:hAnsi="宋体" w:eastAsia="宋体" w:cs="宋体"/>
          <w:b/>
          <w:bCs/>
          <w:color w:val="auto"/>
          <w:sz w:val="24"/>
          <w:szCs w:val="24"/>
          <w:highlight w:val="none"/>
          <w:lang w:val="en-US" w:eastAsia="zh-CN"/>
        </w:rPr>
        <w:t>十二</w:t>
      </w:r>
      <w:r>
        <w:rPr>
          <w:rFonts w:hint="eastAsia" w:ascii="宋体" w:hAnsi="宋体" w:eastAsia="宋体" w:cs="宋体"/>
          <w:b/>
          <w:bCs/>
          <w:color w:val="auto"/>
          <w:sz w:val="24"/>
          <w:szCs w:val="24"/>
          <w:highlight w:val="none"/>
        </w:rPr>
        <w:t>条：</w:t>
      </w:r>
      <w:r>
        <w:rPr>
          <w:rFonts w:hint="eastAsia" w:ascii="宋体" w:hAnsi="宋体" w:eastAsia="宋体" w:cs="宋体"/>
          <w:b/>
          <w:bCs/>
          <w:color w:val="auto"/>
          <w:spacing w:val="-6"/>
          <w:sz w:val="24"/>
          <w:szCs w:val="24"/>
          <w:highlight w:val="none"/>
        </w:rPr>
        <w:t>合同签订</w:t>
      </w:r>
    </w:p>
    <w:p w14:paraId="64042777">
      <w:pPr>
        <w:pStyle w:val="12"/>
        <w:keepNext w:val="0"/>
        <w:keepLines w:val="0"/>
        <w:pageBreakBefore w:val="0"/>
        <w:widowControl/>
        <w:kinsoku/>
        <w:wordWrap w:val="0"/>
        <w:overflowPunct/>
        <w:topLinePunct w:val="0"/>
        <w:autoSpaceDE w:val="0"/>
        <w:autoSpaceDN w:val="0"/>
        <w:bidi w:val="0"/>
        <w:adjustRightInd/>
        <w:snapToGrid/>
        <w:spacing w:after="0" w:afterLines="0" w:line="360" w:lineRule="auto"/>
        <w:ind w:left="495"/>
        <w:jc w:val="both"/>
        <w:textAlignment w:val="baseline"/>
        <w:outlineLvl w:val="9"/>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合同一经签订，不得擅自变更、中止或者终止合同。</w:t>
      </w:r>
    </w:p>
    <w:p w14:paraId="0F8E297D">
      <w:pPr>
        <w:keepNext w:val="0"/>
        <w:keepLines w:val="0"/>
        <w:pageBreakBefore w:val="0"/>
        <w:overflowPunct/>
        <w:topLinePunct w:val="0"/>
        <w:bidi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w:t>
      </w: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rPr>
        <w:t>条：合同生效及其它</w:t>
      </w:r>
    </w:p>
    <w:p w14:paraId="08E907F1">
      <w:pPr>
        <w:keepNext w:val="0"/>
        <w:keepLines w:val="0"/>
        <w:pageBreakBefore w:val="0"/>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本合同自甲乙双方法定代表人或其授权代表人签字并盖章后生效。</w:t>
      </w:r>
    </w:p>
    <w:p w14:paraId="1C18B601">
      <w:pPr>
        <w:keepNext w:val="0"/>
        <w:keepLines w:val="0"/>
        <w:pageBreakBefore w:val="0"/>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份，甲方持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份，乙方执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份，每份具有同等法律效力。</w:t>
      </w:r>
    </w:p>
    <w:p w14:paraId="4357F8BB">
      <w:pPr>
        <w:keepNext w:val="0"/>
        <w:keepLines w:val="0"/>
        <w:pageBreakBefore w:val="0"/>
        <w:overflowPunct/>
        <w:topLinePunct w:val="0"/>
        <w:bidi w:val="0"/>
        <w:adjustRightInd/>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合同签署后，合同中的约定将取代双方之前达成的任何关于本合同主要事项的协议，包括但不限于合同双方在签署本合同以前任何关于磋商与本合同签署有关的书面或口头意向协议、会商纪要、往来传真和电子邮件等形式的协议或函件。前后文件内容冲突的，以本合同为准。</w:t>
      </w:r>
    </w:p>
    <w:p w14:paraId="73C399E9">
      <w:pPr>
        <w:pStyle w:val="11"/>
        <w:rPr>
          <w:rFonts w:hint="eastAsia" w:ascii="宋体" w:hAnsi="宋体" w:eastAsia="宋体" w:cs="宋体"/>
          <w:color w:val="auto"/>
          <w:sz w:val="24"/>
          <w:szCs w:val="24"/>
          <w:highlight w:val="none"/>
        </w:rPr>
      </w:pPr>
    </w:p>
    <w:p w14:paraId="0EDF99EB">
      <w:pPr>
        <w:spacing w:line="580" w:lineRule="exact"/>
        <w:rPr>
          <w:rFonts w:hint="eastAsia" w:ascii="宋体" w:hAnsi="宋体" w:eastAsia="宋体" w:cs="宋体"/>
          <w:color w:val="auto"/>
          <w:sz w:val="24"/>
          <w:szCs w:val="24"/>
          <w:highlight w:val="none"/>
        </w:rPr>
      </w:pPr>
    </w:p>
    <w:p w14:paraId="0E0B43F0">
      <w:pPr>
        <w:spacing w:line="58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 托 方：</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受 托 方：</w:t>
      </w:r>
    </w:p>
    <w:p w14:paraId="3188587A">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（盖章）                             （盖章）</w:t>
      </w:r>
    </w:p>
    <w:p w14:paraId="1079CF95">
      <w:pPr>
        <w:spacing w:line="5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授权代表（签名或盖章）：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授权代表（签名或盖章）：</w:t>
      </w:r>
    </w:p>
    <w:p w14:paraId="47E31701">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地址： </w:t>
      </w:r>
    </w:p>
    <w:p w14:paraId="05B30AB9">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电话： </w:t>
      </w:r>
    </w:p>
    <w:p w14:paraId="0F675221">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邮编：                           邮编： </w:t>
      </w:r>
    </w:p>
    <w:p w14:paraId="64EFC7F9">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开户银行：                       开户银行： </w:t>
      </w:r>
    </w:p>
    <w:p w14:paraId="679BBA47">
      <w:pPr>
        <w:spacing w:line="5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银行账号：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银行账号：</w:t>
      </w:r>
    </w:p>
    <w:p w14:paraId="1344F496">
      <w:r>
        <w:rPr>
          <w:rFonts w:hint="eastAsia" w:ascii="宋体" w:hAnsi="宋体" w:eastAsia="宋体" w:cs="宋体"/>
          <w:color w:val="auto"/>
          <w:sz w:val="24"/>
          <w:szCs w:val="24"/>
          <w:highlight w:val="none"/>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D02455"/>
    <w:multiLevelType w:val="multilevel"/>
    <w:tmpl w:val="CCD02455"/>
    <w:lvl w:ilvl="0" w:tentative="0">
      <w:start w:val="3"/>
      <w:numFmt w:val="decimal"/>
      <w:pStyle w:val="3"/>
      <w:isLgl/>
      <w:suff w:val="space"/>
      <w:lvlText w:val="%1"/>
      <w:lvlJc w:val="left"/>
      <w:pPr>
        <w:tabs>
          <w:tab w:val="left" w:pos="0"/>
        </w:tabs>
        <w:ind w:left="0" w:firstLine="0"/>
      </w:pPr>
      <w:rPr>
        <w:rFonts w:hint="default"/>
      </w:rPr>
    </w:lvl>
    <w:lvl w:ilvl="1" w:tentative="0">
      <w:start w:val="1"/>
      <w:numFmt w:val="decimal"/>
      <w:pStyle w:val="4"/>
      <w:isLgl/>
      <w:suff w:val="space"/>
      <w:lvlText w:val="%1.%2"/>
      <w:lvlJc w:val="left"/>
      <w:pPr>
        <w:ind w:left="0" w:firstLine="0"/>
      </w:pPr>
      <w:rPr>
        <w:rFonts w:hint="default"/>
      </w:rPr>
    </w:lvl>
    <w:lvl w:ilvl="2" w:tentative="0">
      <w:start w:val="1"/>
      <w:numFmt w:val="decimal"/>
      <w:pStyle w:val="5"/>
      <w:isLgl/>
      <w:suff w:val="space"/>
      <w:lvlText w:val="%1.%2.%3"/>
      <w:lvlJc w:val="left"/>
      <w:pPr>
        <w:ind w:left="0" w:firstLine="0"/>
      </w:pPr>
      <w:rPr>
        <w:rFonts w:hint="default"/>
      </w:rPr>
    </w:lvl>
    <w:lvl w:ilvl="3" w:tentative="0">
      <w:start w:val="1"/>
      <w:numFmt w:val="decimal"/>
      <w:pStyle w:val="2"/>
      <w:isLgl/>
      <w:suff w:val="nothing"/>
      <w:lvlText w:val="（%4）"/>
      <w:lvlJc w:val="left"/>
      <w:pPr>
        <w:ind w:left="0" w:firstLine="0"/>
      </w:pPr>
      <w:rPr>
        <w:rFonts w:hint="default"/>
      </w:rPr>
    </w:lvl>
    <w:lvl w:ilvl="4" w:tentative="0">
      <w:start w:val="1"/>
      <w:numFmt w:val="decimal"/>
      <w:pStyle w:val="6"/>
      <w:isLgl/>
      <w:suff w:val="nothing"/>
      <w:lvlText w:val="%5）"/>
      <w:lvlJc w:val="left"/>
      <w:pPr>
        <w:ind w:left="0" w:firstLine="0"/>
      </w:pPr>
      <w:rPr>
        <w:rFonts w:hint="default"/>
      </w:rPr>
    </w:lvl>
    <w:lvl w:ilvl="5" w:tentative="0">
      <w:start w:val="1"/>
      <w:numFmt w:val="decimalEnclosedCircleChinese"/>
      <w:pStyle w:val="7"/>
      <w:suff w:val="nothing"/>
      <w:lvlText w:val="%6"/>
      <w:lvlJc w:val="left"/>
      <w:pPr>
        <w:ind w:left="0" w:firstLine="0"/>
      </w:pPr>
      <w:rPr>
        <w:rFonts w:hint="eastAsia"/>
      </w:rPr>
    </w:lvl>
    <w:lvl w:ilvl="6" w:tentative="0">
      <w:start w:val="1"/>
      <w:numFmt w:val="upperRoman"/>
      <w:pStyle w:val="8"/>
      <w:suff w:val="space"/>
      <w:lvlText w:val="%7."/>
      <w:lvlJc w:val="left"/>
      <w:pPr>
        <w:ind w:left="0" w:firstLine="0"/>
      </w:pPr>
      <w:rPr>
        <w:rFonts w:hint="default"/>
      </w:rPr>
    </w:lvl>
    <w:lvl w:ilvl="7" w:tentative="0">
      <w:start w:val="1"/>
      <w:numFmt w:val="upperLetter"/>
      <w:pStyle w:val="9"/>
      <w:suff w:val="space"/>
      <w:lvlText w:val="%8."/>
      <w:lvlJc w:val="left"/>
      <w:pPr>
        <w:ind w:left="0" w:firstLine="0"/>
      </w:pPr>
      <w:rPr>
        <w:rFonts w:hint="default"/>
      </w:rPr>
    </w:lvl>
    <w:lvl w:ilvl="8" w:tentative="0">
      <w:start w:val="1"/>
      <w:numFmt w:val="lowerLetter"/>
      <w:pStyle w:val="10"/>
      <w:suff w:val="space"/>
      <w:lvlText w:val="%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11514"/>
    <w:rsid w:val="0C854F5A"/>
    <w:rsid w:val="201C308A"/>
    <w:rsid w:val="2A38632A"/>
    <w:rsid w:val="303333BD"/>
    <w:rsid w:val="3C311514"/>
    <w:rsid w:val="3D9300CF"/>
    <w:rsid w:val="47A7459E"/>
    <w:rsid w:val="4F3A0C1F"/>
    <w:rsid w:val="62F95D72"/>
    <w:rsid w:val="64A71486"/>
    <w:rsid w:val="66F04F2C"/>
    <w:rsid w:val="766A10B5"/>
    <w:rsid w:val="784C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link w:val="16"/>
    <w:qFormat/>
    <w:uiPriority w:val="0"/>
    <w:pPr>
      <w:keepNext/>
      <w:keepLines/>
      <w:numPr>
        <w:ilvl w:val="0"/>
        <w:numId w:val="1"/>
      </w:numPr>
      <w:tabs>
        <w:tab w:val="left" w:pos="420"/>
        <w:tab w:val="clear" w:pos="0"/>
      </w:tabs>
      <w:spacing w:before="50" w:beforeLines="50" w:after="50" w:afterLines="50"/>
      <w:ind w:firstLineChars="0"/>
      <w:outlineLvl w:val="0"/>
    </w:pPr>
    <w:rPr>
      <w:rFonts w:ascii="Times New Roman" w:hAnsi="Times New Roman" w:eastAsia="宋体" w:cs="Times New Roman"/>
      <w:b/>
      <w:kern w:val="44"/>
      <w:sz w:val="30"/>
      <w:szCs w:val="30"/>
    </w:rPr>
  </w:style>
  <w:style w:type="paragraph" w:styleId="4">
    <w:name w:val="heading 2"/>
    <w:basedOn w:val="3"/>
    <w:next w:val="1"/>
    <w:link w:val="17"/>
    <w:semiHidden/>
    <w:unhideWhenUsed/>
    <w:qFormat/>
    <w:uiPriority w:val="0"/>
    <w:pPr>
      <w:numPr>
        <w:ilvl w:val="1"/>
        <w:numId w:val="1"/>
      </w:numPr>
      <w:ind w:left="0" w:firstLine="0"/>
      <w:jc w:val="left"/>
      <w:outlineLvl w:val="1"/>
    </w:pPr>
    <w:rPr>
      <w:sz w:val="28"/>
    </w:rPr>
  </w:style>
  <w:style w:type="paragraph" w:styleId="5">
    <w:name w:val="heading 3"/>
    <w:basedOn w:val="1"/>
    <w:next w:val="1"/>
    <w:link w:val="18"/>
    <w:semiHidden/>
    <w:unhideWhenUsed/>
    <w:qFormat/>
    <w:uiPriority w:val="0"/>
    <w:pPr>
      <w:keepNext/>
      <w:keepLines/>
      <w:numPr>
        <w:ilvl w:val="2"/>
        <w:numId w:val="1"/>
      </w:numPr>
      <w:spacing w:before="120" w:after="120"/>
      <w:ind w:left="0" w:firstLine="0" w:firstLineChars="0"/>
      <w:outlineLvl w:val="2"/>
    </w:pPr>
    <w:rPr>
      <w:rFonts w:ascii="Times New Roman" w:hAnsi="Times New Roman" w:eastAsia="黑体"/>
      <w:bCs/>
      <w:sz w:val="24"/>
      <w:szCs w:val="32"/>
    </w:rPr>
  </w:style>
  <w:style w:type="paragraph" w:styleId="2">
    <w:name w:val="heading 4"/>
    <w:basedOn w:val="1"/>
    <w:next w:val="1"/>
    <w:link w:val="15"/>
    <w:semiHidden/>
    <w:unhideWhenUsed/>
    <w:qFormat/>
    <w:uiPriority w:val="0"/>
    <w:pPr>
      <w:keepNext/>
      <w:keepLines/>
      <w:numPr>
        <w:ilvl w:val="3"/>
        <w:numId w:val="1"/>
      </w:numPr>
      <w:ind w:left="0" w:leftChars="0" w:firstLine="0" w:firstLineChars="0"/>
      <w:outlineLvl w:val="3"/>
    </w:pPr>
    <w:rPr>
      <w:rFonts w:ascii="Times New Roman" w:hAnsi="Times New Roman" w:eastAsia="宋体"/>
      <w:snapToGrid w:val="0"/>
      <w:color w:val="000000" w:themeColor="text1"/>
      <w:sz w:val="24"/>
      <w:szCs w:val="24"/>
      <w14:textFill>
        <w14:solidFill>
          <w14:schemeClr w14:val="tx1"/>
        </w14:solidFill>
      </w14:textFill>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0" w:firstLine="0"/>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0" w:firstLine="0"/>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0" w:firstLine="0"/>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0" w:firstLine="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0" w:firstLine="0"/>
      <w:outlineLvl w:val="8"/>
    </w:pPr>
    <w:rPr>
      <w:rFonts w:ascii="Arial" w:hAnsi="Arial" w:eastAsia="黑体"/>
      <w:sz w:val="21"/>
    </w:rPr>
  </w:style>
  <w:style w:type="character" w:default="1" w:styleId="14">
    <w:name w:val="Default Paragraph Font"/>
    <w:semiHidden/>
    <w:unhideWhenUsed/>
    <w:qFormat/>
    <w:uiPriority w:val="1"/>
  </w:style>
  <w:style w:type="table" w:default="1" w:styleId="13">
    <w:name w:val="Normal Table"/>
    <w:semiHidden/>
    <w:uiPriority w:val="0"/>
    <w:tblPr>
      <w:tblCellMar>
        <w:top w:w="0" w:type="dxa"/>
        <w:left w:w="108" w:type="dxa"/>
        <w:bottom w:w="0" w:type="dxa"/>
        <w:right w:w="108" w:type="dxa"/>
      </w:tblCellMar>
    </w:tblPr>
  </w:style>
  <w:style w:type="paragraph" w:styleId="11">
    <w:name w:val="Normal Indent"/>
    <w:basedOn w:val="1"/>
    <w:uiPriority w:val="0"/>
    <w:pPr>
      <w:spacing w:line="300" w:lineRule="auto"/>
      <w:ind w:firstLine="420" w:firstLineChars="200"/>
    </w:pPr>
    <w:rPr>
      <w:rFonts w:ascii="Times New Roman"/>
      <w:kern w:val="2"/>
      <w:sz w:val="21"/>
      <w:szCs w:val="24"/>
    </w:rPr>
  </w:style>
  <w:style w:type="paragraph" w:styleId="12">
    <w:name w:val="Body Text"/>
    <w:basedOn w:val="1"/>
    <w:qFormat/>
    <w:uiPriority w:val="0"/>
    <w:pPr>
      <w:spacing w:after="120" w:afterLines="0"/>
    </w:pPr>
    <w:rPr>
      <w:rFonts w:ascii="Times New Roman"/>
      <w:kern w:val="2"/>
      <w:sz w:val="21"/>
    </w:rPr>
  </w:style>
  <w:style w:type="character" w:customStyle="1" w:styleId="15">
    <w:name w:val="标题 4 字符"/>
    <w:link w:val="2"/>
    <w:semiHidden/>
    <w:qFormat/>
    <w:uiPriority w:val="0"/>
    <w:rPr>
      <w:rFonts w:ascii="Times New Roman" w:hAnsi="Times New Roman" w:eastAsia="宋体" w:cstheme="minorBidi"/>
      <w:snapToGrid w:val="0"/>
      <w:color w:val="000000" w:themeColor="text1"/>
      <w:kern w:val="2"/>
      <w:sz w:val="24"/>
      <w:szCs w:val="24"/>
      <w:lang w:val="en-US" w:eastAsia="zh-CN" w:bidi="ar-SA"/>
      <w14:textFill>
        <w14:solidFill>
          <w14:schemeClr w14:val="tx1"/>
        </w14:solidFill>
      </w14:textFill>
    </w:rPr>
  </w:style>
  <w:style w:type="character" w:customStyle="1" w:styleId="16">
    <w:name w:val="标题 1 字符"/>
    <w:link w:val="3"/>
    <w:qFormat/>
    <w:uiPriority w:val="9"/>
    <w:rPr>
      <w:rFonts w:ascii="Times New Roman" w:hAnsi="Times New Roman" w:eastAsia="宋体" w:cs="Times New Roman"/>
      <w:bCs/>
      <w:kern w:val="44"/>
      <w:sz w:val="30"/>
      <w:szCs w:val="44"/>
      <w:lang w:val="en-US" w:eastAsia="zh-CN" w:bidi="ar-SA"/>
    </w:rPr>
  </w:style>
  <w:style w:type="character" w:customStyle="1" w:styleId="17">
    <w:name w:val="标题 2 字符"/>
    <w:link w:val="4"/>
    <w:qFormat/>
    <w:uiPriority w:val="9"/>
    <w:rPr>
      <w:rFonts w:ascii="Times New Roman" w:hAnsi="Times New Roman" w:eastAsia="黑体" w:cstheme="minorBidi"/>
      <w:bCs/>
      <w:kern w:val="44"/>
      <w:sz w:val="28"/>
      <w:szCs w:val="44"/>
      <w:lang w:val="en-US" w:eastAsia="zh-CN" w:bidi="ar-SA"/>
    </w:rPr>
  </w:style>
  <w:style w:type="character" w:customStyle="1" w:styleId="18">
    <w:name w:val="标题 3 字符"/>
    <w:basedOn w:val="14"/>
    <w:link w:val="5"/>
    <w:qFormat/>
    <w:uiPriority w:val="9"/>
    <w:rPr>
      <w:rFonts w:ascii="Times New Roman" w:hAnsi="Times New Roman" w:eastAsia="黑体"/>
      <w:bCs/>
      <w:sz w:val="24"/>
      <w:szCs w:val="32"/>
    </w:rPr>
  </w:style>
  <w:style w:type="paragraph" w:customStyle="1" w:styleId="19">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2026-08-04T06:15:00Z</dcterms:created>
  <dc:creator>     柠桉    </dc:creator>
  <cp:lastModifiedBy>     柠桉    </cp:lastModifiedBy>
  <dcterms:modified xsi:type="dcterms:W3CDTF">2026-08-04T06:16:46Z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9511ED7A3C4248EBBF533E2F091FD7BB_11</vt:lpwstr>
  </property>
  <property fmtid="{D5CDD505-2E9C-101B-9397-08002B2CF9AE}" pid="4" name="KSOTemplateDocerSaveRecord">
    <vt:lpwstr>eyJoZGlkIjoiYjZmYmIxMGE0Zjg5ODE0NjM2NzZjZDkzMGM2N2E2YzEiLCJ1c2VySWQiOiIzNTgyNzg4MjIifQ==</vt:lpwstr>
  </property>
</Properties>
</file>