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版本号：FCJYZB202600720260522001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城区绿化苗木更换补栽</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FCJYZB2026007</w:t>
      </w:r>
      <w:r>
        <w:br/>
      </w:r>
      <w:r>
        <w:br/>
      </w:r>
      <w:r>
        <w:br/>
      </w:r>
    </w:p>
    <w:p>
      <w:pPr>
        <w:pStyle w:val="null3"/>
        <w:jc w:val="center"/>
        <w:outlineLvl w:val="2"/>
      </w:pPr>
      <w:r>
        <w:rPr>
          <w:rFonts w:ascii="仿宋_GB2312" w:hAnsi="仿宋_GB2312" w:cs="仿宋_GB2312" w:eastAsia="仿宋_GB2312"/>
          <w:sz w:val="28"/>
          <w:b/>
        </w:rPr>
        <w:t>三原县园林绿化队</w:t>
      </w:r>
    </w:p>
    <w:p>
      <w:pPr>
        <w:pStyle w:val="null3"/>
        <w:jc w:val="center"/>
        <w:outlineLvl w:val="2"/>
      </w:pPr>
      <w:r>
        <w:rPr>
          <w:rFonts w:ascii="仿宋_GB2312" w:hAnsi="仿宋_GB2312" w:cs="仿宋_GB2312" w:eastAsia="仿宋_GB2312"/>
          <w:sz w:val="28"/>
          <w:b/>
        </w:rPr>
        <w:t>陕西蜂巢锦业信息咨询有限公司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陕西蜂巢锦业信息咨询有限公司</w:t>
      </w:r>
      <w:r>
        <w:rPr>
          <w:rFonts w:ascii="仿宋_GB2312" w:hAnsi="仿宋_GB2312" w:cs="仿宋_GB2312" w:eastAsia="仿宋_GB2312"/>
        </w:rPr>
        <w:t>（以下简称“代理机构”）受</w:t>
      </w:r>
      <w:r>
        <w:rPr>
          <w:rFonts w:ascii="仿宋_GB2312" w:hAnsi="仿宋_GB2312" w:cs="仿宋_GB2312" w:eastAsia="仿宋_GB2312"/>
        </w:rPr>
        <w:t>三原县园林绿化队</w:t>
      </w:r>
      <w:r>
        <w:rPr>
          <w:rFonts w:ascii="仿宋_GB2312" w:hAnsi="仿宋_GB2312" w:cs="仿宋_GB2312" w:eastAsia="仿宋_GB2312"/>
        </w:rPr>
        <w:t>委托，拟对</w:t>
      </w:r>
      <w:r>
        <w:rPr>
          <w:rFonts w:ascii="仿宋_GB2312" w:hAnsi="仿宋_GB2312" w:cs="仿宋_GB2312" w:eastAsia="仿宋_GB2312"/>
        </w:rPr>
        <w:t>城区绿化苗木更换补栽</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FCJYZB2026007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城区绿化苗木更换补栽</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城区枯死缺失的绿化苗木进行更换补栽。实施路段包括：池阳大街西延段、双西路、环线城区段、东环路、池阳大街东段、东四路等20余路段及5处街边小广场。实施内容如下：苗木移植、地面清表、人工整地、土壤改良、新苗栽植、垃圾外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采购包1（城区绿化苗木更换补栽）：属于专门面向小微企业采购。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2、授权委托书或法定身份证明：法定代表人授权书(附法定代表人、被授权人身份证复印件)(法定代表人直接参加磋商，须提供法定代表人身份证明及身份证复印件)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财务状况报告：提供2025年度经审计的财务报告，报告须具有注册会计师行业统一监管平台赋予的验证码(成立时间至提交响应文件截止时间不足一年的可提供成立后任意时段的资产负债表)，或其磋商前六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4、税收缴纳证明：提供2025年5月1日至磋商截止时间前任意一个月已缴纳的完税凭证或税务机关开具的完税证明，依法免税的单位应提供相关证明材料</w:t>
      </w:r>
    </w:p>
    <w:p>
      <w:pPr>
        <w:pStyle w:val="null3"/>
      </w:pPr>
      <w:r>
        <w:rPr>
          <w:rFonts w:ascii="仿宋_GB2312" w:hAnsi="仿宋_GB2312" w:cs="仿宋_GB2312" w:eastAsia="仿宋_GB2312"/>
        </w:rPr>
        <w:t>5、社会保障资金缴纳证明：提供2025年5月1日至磋商截止时间前任意一个月的社会保障资金缴存单据或社保机构开具的社会保险参保缴费情况证明，依法不需要缴纳社会保障资金的供应商应提供相关证明文件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信誉情况：供应商不得为"中国执行信息公开网"网站(http://zxgk.court.qov.cn)中列入失信被执行人和"信用中国"网站(https:/www.creditchina.gov.cn/)列入重大税收违法失信主体名单的供应商，不得为中国政府采购网(htp://www.cgp.gov.cn/)政府采购严重违法失信行为记录名单中被财政部门禁止参加政府采购活动的供应商</w:t>
      </w:r>
    </w:p>
    <w:p>
      <w:pPr>
        <w:pStyle w:val="null3"/>
      </w:pPr>
      <w:r>
        <w:rPr>
          <w:rFonts w:ascii="仿宋_GB2312" w:hAnsi="仿宋_GB2312" w:cs="仿宋_GB2312" w:eastAsia="仿宋_GB2312"/>
        </w:rPr>
        <w:t>7、具有履行本合同所必需的设备和专业技术能力：提供具有履行本合同所必需的设备和专业技术能力的声明</w:t>
      </w:r>
    </w:p>
    <w:p>
      <w:pPr>
        <w:pStyle w:val="null3"/>
      </w:pPr>
      <w:r>
        <w:rPr>
          <w:rFonts w:ascii="仿宋_GB2312" w:hAnsi="仿宋_GB2312" w:cs="仿宋_GB2312" w:eastAsia="仿宋_GB2312"/>
        </w:rPr>
        <w:t>8、近三年内无重大违法记录的声明：参加政府采购活动前3年内，在经营活动中没有重大违法记录的书面声明</w:t>
      </w:r>
    </w:p>
    <w:p>
      <w:pPr>
        <w:pStyle w:val="null3"/>
      </w:pPr>
      <w:r>
        <w:rPr>
          <w:rFonts w:ascii="仿宋_GB2312" w:hAnsi="仿宋_GB2312" w:cs="仿宋_GB2312" w:eastAsia="仿宋_GB2312"/>
        </w:rPr>
        <w:t>9、中小企业声明函：本项目专门面向小微企业采购(提供中小企业声明函)</w:t>
      </w:r>
    </w:p>
    <w:p>
      <w:pPr>
        <w:pStyle w:val="null3"/>
      </w:pPr>
      <w:r>
        <w:rPr>
          <w:rFonts w:ascii="仿宋_GB2312" w:hAnsi="仿宋_GB2312" w:cs="仿宋_GB2312" w:eastAsia="仿宋_GB2312"/>
        </w:rPr>
        <w:t>10、是否接受联合体：本项目不接受联合体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三原县园林绿化队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三原县临履街2号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三原县园林绿化队经办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029-32276601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陕西蜂巢锦业信息咨询有限公司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咸阳市世纪大道铁投 V 领郡 4 号写字楼 17 层 A 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15399247420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采购包1：801,274.15元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代理服务费收费标准：参考《国家计委关于印发&lt;招标代理服务收费管理暂行办法&gt;的通知》(计价格(2002)1980号)；领取中标通知书前，由中标供应商向代理机构缴纳代理服务费，一次性付清。 招标代理服务费账户： 户名：陕西蜂巢锦业信息咨询有限公司 账号: 61050163530800001088 开户行： 中国建设银行股份有限公司咸阳分行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三原县园林绿化队</w:t>
      </w:r>
      <w:r>
        <w:rPr>
          <w:rFonts w:ascii="仿宋_GB2312" w:hAnsi="仿宋_GB2312" w:cs="仿宋_GB2312" w:eastAsia="仿宋_GB2312"/>
        </w:rPr>
        <w:t>和</w:t>
      </w:r>
      <w:r>
        <w:rPr>
          <w:rFonts w:ascii="仿宋_GB2312" w:hAnsi="仿宋_GB2312" w:cs="仿宋_GB2312" w:eastAsia="仿宋_GB2312"/>
        </w:rPr>
        <w:t>陕西蜂巢锦业信息咨询有限公司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三原县园林绿化队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陕西蜂巢锦业信息咨询有限公司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三原县园林绿化队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陕西蜂巢锦业信息咨询有限公司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达到工程施工质量验收合格标准及设计要求，满足项目要求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陕西蜂巢锦业信息咨询有限公司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陕西蜂巢锦业信息咨询有限公司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陕西蜂巢锦业信息咨询有限公司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联系人：李娜</w:t>
      </w:r>
    </w:p>
    <w:p>
      <w:pPr>
        <w:pStyle w:val="null3"/>
      </w:pPr>
      <w:r>
        <w:rPr>
          <w:rFonts w:ascii="仿宋_GB2312" w:hAnsi="仿宋_GB2312" w:cs="仿宋_GB2312" w:eastAsia="仿宋_GB2312"/>
        </w:rPr>
        <w:t>联系电话：15399247420</w:t>
      </w:r>
    </w:p>
    <w:p>
      <w:pPr>
        <w:pStyle w:val="null3"/>
      </w:pPr>
      <w:r>
        <w:rPr>
          <w:rFonts w:ascii="仿宋_GB2312" w:hAnsi="仿宋_GB2312" w:cs="仿宋_GB2312" w:eastAsia="仿宋_GB2312"/>
        </w:rPr>
        <w:t>地址：咸阳市世纪大道铁投 V 领郡 4 号写字楼 17 层 A 区</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801,274.15</w:t>
      </w:r>
    </w:p>
    <w:p>
      <w:pPr>
        <w:pStyle w:val="null3"/>
      </w:pPr>
      <w:r>
        <w:rPr>
          <w:rFonts w:ascii="仿宋_GB2312" w:hAnsi="仿宋_GB2312" w:cs="仿宋_GB2312" w:eastAsia="仿宋_GB2312"/>
        </w:rPr>
        <w:t>采购包最高限价（元）: 801,274.15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城区绿化苗木更换补栽</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801,274.15</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标的名称：城区绿化苗木更换补栽</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项目概况：</w:t>
            </w:r>
          </w:p>
          <w:p>
            <w:pPr>
              <w:pStyle w:val="null3"/>
              <w:jc w:val="both"/>
            </w:pPr>
            <w:r>
              <w:rPr>
                <w:rFonts w:ascii="仿宋_GB2312" w:hAnsi="仿宋_GB2312" w:cs="仿宋_GB2312" w:eastAsia="仿宋_GB2312"/>
                <w:sz w:val="21"/>
              </w:rPr>
              <w:t>对全城区枯死缺失的绿化苗木进行更换</w:t>
            </w:r>
            <w:r>
              <w:rPr>
                <w:rFonts w:ascii="仿宋_GB2312" w:hAnsi="仿宋_GB2312" w:cs="仿宋_GB2312" w:eastAsia="仿宋_GB2312"/>
                <w:sz w:val="21"/>
              </w:rPr>
              <w:t>补栽</w:t>
            </w:r>
            <w:r>
              <w:rPr>
                <w:rFonts w:ascii="仿宋_GB2312" w:hAnsi="仿宋_GB2312" w:cs="仿宋_GB2312" w:eastAsia="仿宋_GB2312"/>
                <w:sz w:val="21"/>
              </w:rPr>
              <w:t>。实施路段包括：池阳大街西延段、双西路、环线城区段、东环路、池阳大街东段、东四路等</w:t>
            </w:r>
            <w:r>
              <w:rPr>
                <w:rFonts w:ascii="仿宋_GB2312" w:hAnsi="仿宋_GB2312" w:cs="仿宋_GB2312" w:eastAsia="仿宋_GB2312"/>
                <w:sz w:val="21"/>
              </w:rPr>
              <w:t>20</w:t>
            </w:r>
            <w:r>
              <w:rPr>
                <w:rFonts w:ascii="仿宋_GB2312" w:hAnsi="仿宋_GB2312" w:cs="仿宋_GB2312" w:eastAsia="仿宋_GB2312"/>
                <w:sz w:val="21"/>
              </w:rPr>
              <w:t>余路段及</w:t>
            </w:r>
            <w:r>
              <w:rPr>
                <w:rFonts w:ascii="仿宋_GB2312" w:hAnsi="仿宋_GB2312" w:cs="仿宋_GB2312" w:eastAsia="仿宋_GB2312"/>
                <w:sz w:val="21"/>
              </w:rPr>
              <w:t>5</w:t>
            </w:r>
            <w:r>
              <w:rPr>
                <w:rFonts w:ascii="仿宋_GB2312" w:hAnsi="仿宋_GB2312" w:cs="仿宋_GB2312" w:eastAsia="仿宋_GB2312"/>
                <w:sz w:val="21"/>
              </w:rPr>
              <w:t>处街边小广场。实施内容如下：苗木移植、地面清表、人工整地、土壤改良、新苗栽植、垃圾外运等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（一）项目名称：</w:t>
            </w:r>
            <w:r>
              <w:rPr>
                <w:rFonts w:ascii="仿宋_GB2312" w:hAnsi="仿宋_GB2312" w:cs="仿宋_GB2312" w:eastAsia="仿宋_GB2312"/>
                <w:sz w:val="21"/>
              </w:rPr>
              <w:t>城区绿化苗木</w:t>
            </w:r>
            <w:r>
              <w:rPr>
                <w:rFonts w:ascii="仿宋_GB2312" w:hAnsi="仿宋_GB2312" w:cs="仿宋_GB2312" w:eastAsia="仿宋_GB2312"/>
                <w:sz w:val="21"/>
              </w:rPr>
              <w:t>更换</w:t>
            </w:r>
            <w:r>
              <w:rPr>
                <w:rFonts w:ascii="仿宋_GB2312" w:hAnsi="仿宋_GB2312" w:cs="仿宋_GB2312" w:eastAsia="仿宋_GB2312"/>
                <w:sz w:val="21"/>
              </w:rPr>
              <w:t>补栽</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采购人</w:t>
            </w:r>
            <w:r>
              <w:rPr>
                <w:rFonts w:ascii="仿宋_GB2312" w:hAnsi="仿宋_GB2312" w:cs="仿宋_GB2312" w:eastAsia="仿宋_GB2312"/>
                <w:sz w:val="21"/>
              </w:rPr>
              <w:t>：三原县园林绿化队</w:t>
            </w:r>
          </w:p>
          <w:p>
            <w:pPr>
              <w:pStyle w:val="null3"/>
              <w:jc w:val="both"/>
            </w:pPr>
            <w:r>
              <w:rPr>
                <w:rFonts w:ascii="仿宋_GB2312" w:hAnsi="仿宋_GB2312" w:cs="仿宋_GB2312" w:eastAsia="仿宋_GB2312"/>
                <w:sz w:val="21"/>
              </w:rPr>
              <w:t>（三）项目建设地点：</w:t>
            </w:r>
            <w:r>
              <w:rPr>
                <w:rFonts w:ascii="仿宋_GB2312" w:hAnsi="仿宋_GB2312" w:cs="仿宋_GB2312" w:eastAsia="仿宋_GB2312"/>
                <w:sz w:val="21"/>
              </w:rPr>
              <w:t>三原县城区主要路段（</w:t>
            </w:r>
            <w:r>
              <w:rPr>
                <w:rFonts w:ascii="仿宋_GB2312" w:hAnsi="仿宋_GB2312" w:cs="仿宋_GB2312" w:eastAsia="仿宋_GB2312"/>
                <w:sz w:val="21"/>
              </w:rPr>
              <w:t>池阳大街西延段、双西路、环线城区段、东环路、池阳大街东段、东四路等</w:t>
            </w:r>
            <w:r>
              <w:rPr>
                <w:rFonts w:ascii="仿宋_GB2312" w:hAnsi="仿宋_GB2312" w:cs="仿宋_GB2312" w:eastAsia="仿宋_GB2312"/>
                <w:sz w:val="21"/>
              </w:rPr>
              <w:t>20</w:t>
            </w:r>
            <w:r>
              <w:rPr>
                <w:rFonts w:ascii="仿宋_GB2312" w:hAnsi="仿宋_GB2312" w:cs="仿宋_GB2312" w:eastAsia="仿宋_GB2312"/>
                <w:sz w:val="21"/>
              </w:rPr>
              <w:t>余路段及</w:t>
            </w:r>
            <w:r>
              <w:rPr>
                <w:rFonts w:ascii="仿宋_GB2312" w:hAnsi="仿宋_GB2312" w:cs="仿宋_GB2312" w:eastAsia="仿宋_GB2312"/>
                <w:sz w:val="21"/>
              </w:rPr>
              <w:t>5</w:t>
            </w:r>
            <w:r>
              <w:rPr>
                <w:rFonts w:ascii="仿宋_GB2312" w:hAnsi="仿宋_GB2312" w:cs="仿宋_GB2312" w:eastAsia="仿宋_GB2312"/>
                <w:sz w:val="21"/>
              </w:rPr>
              <w:t>处街边小广场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（四）项目建设内容：</w:t>
            </w:r>
            <w:r>
              <w:rPr>
                <w:rFonts w:ascii="仿宋_GB2312" w:hAnsi="仿宋_GB2312" w:cs="仿宋_GB2312" w:eastAsia="仿宋_GB2312"/>
                <w:sz w:val="21"/>
              </w:rPr>
              <w:t>城区绿化苗木</w:t>
            </w:r>
            <w:r>
              <w:rPr>
                <w:rFonts w:ascii="仿宋_GB2312" w:hAnsi="仿宋_GB2312" w:cs="仿宋_GB2312" w:eastAsia="仿宋_GB2312"/>
                <w:sz w:val="21"/>
              </w:rPr>
              <w:t>更换</w:t>
            </w:r>
            <w:r>
              <w:rPr>
                <w:rFonts w:ascii="仿宋_GB2312" w:hAnsi="仿宋_GB2312" w:cs="仿宋_GB2312" w:eastAsia="仿宋_GB2312"/>
                <w:sz w:val="21"/>
              </w:rPr>
              <w:t>补栽</w:t>
            </w:r>
            <w:r>
              <w:rPr>
                <w:rFonts w:ascii="仿宋_GB2312" w:hAnsi="仿宋_GB2312" w:cs="仿宋_GB2312" w:eastAsia="仿宋_GB2312"/>
                <w:sz w:val="21"/>
              </w:rPr>
              <w:t>，主要对苗木移植、地面清表、人工整地、土壤改良、新苗栽植、垃圾外运等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最高限价</w:t>
            </w:r>
            <w:r>
              <w:rPr>
                <w:rFonts w:ascii="仿宋_GB2312" w:hAnsi="仿宋_GB2312" w:cs="仿宋_GB2312" w:eastAsia="仿宋_GB2312"/>
                <w:sz w:val="21"/>
              </w:rPr>
              <w:t>：</w:t>
            </w:r>
            <w:r>
              <w:rPr>
                <w:rFonts w:ascii="仿宋_GB2312" w:hAnsi="仿宋_GB2312" w:cs="仿宋_GB2312" w:eastAsia="仿宋_GB2312"/>
                <w:sz w:val="21"/>
              </w:rPr>
              <w:t>801274.15</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（六）资金来源：财政资金</w:t>
            </w:r>
          </w:p>
          <w:p>
            <w:pPr>
              <w:pStyle w:val="null3"/>
              <w:jc w:val="both"/>
            </w:pPr>
            <w:r>
              <w:rPr>
                <w:rFonts w:ascii="仿宋_GB2312" w:hAnsi="仿宋_GB2312" w:cs="仿宋_GB2312" w:eastAsia="仿宋_GB2312"/>
                <w:sz w:val="21"/>
              </w:rPr>
              <w:t>（七）工期：</w:t>
            </w:r>
            <w:r>
              <w:rPr>
                <w:rFonts w:ascii="仿宋_GB2312" w:hAnsi="仿宋_GB2312" w:cs="仿宋_GB2312" w:eastAsia="仿宋_GB2312"/>
                <w:sz w:val="21"/>
              </w:rPr>
              <w:t>30</w:t>
            </w:r>
            <w:r>
              <w:rPr>
                <w:rFonts w:ascii="仿宋_GB2312" w:hAnsi="仿宋_GB2312" w:cs="仿宋_GB2312" w:eastAsia="仿宋_GB2312"/>
                <w:sz w:val="21"/>
              </w:rPr>
              <w:t>天</w:t>
            </w:r>
          </w:p>
          <w:p>
            <w:pPr>
              <w:pStyle w:val="null3"/>
              <w:jc w:val="both"/>
            </w:pPr>
            <w:r>
              <w:rPr>
                <w:rFonts w:ascii="仿宋_GB2312" w:hAnsi="仿宋_GB2312" w:cs="仿宋_GB2312" w:eastAsia="仿宋_GB2312"/>
                <w:sz w:val="21"/>
              </w:rPr>
              <w:t>（八）养护期：</w:t>
            </w:r>
            <w:r>
              <w:rPr>
                <w:rFonts w:ascii="仿宋_GB2312" w:hAnsi="仿宋_GB2312" w:cs="仿宋_GB2312" w:eastAsia="仿宋_GB2312"/>
                <w:sz w:val="21"/>
              </w:rPr>
              <w:t>1</w:t>
            </w:r>
            <w:r>
              <w:rPr>
                <w:rFonts w:ascii="仿宋_GB2312" w:hAnsi="仿宋_GB2312" w:cs="仿宋_GB2312" w:eastAsia="仿宋_GB2312"/>
                <w:sz w:val="21"/>
              </w:rPr>
              <w:t>年，养护期间供应商负责绿化苗木养护，包括但不限于：绿篱修剪打草、病虫害防治、苗木施肥、更换补种等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二、工程技术标准及要求：</w:t>
            </w:r>
          </w:p>
          <w:p>
            <w:pPr>
              <w:pStyle w:val="null3"/>
              <w:jc w:val="both"/>
            </w:pPr>
            <w:r>
              <w:rPr>
                <w:rFonts w:ascii="仿宋_GB2312" w:hAnsi="仿宋_GB2312" w:cs="仿宋_GB2312" w:eastAsia="仿宋_GB2312"/>
                <w:sz w:val="21"/>
              </w:rPr>
              <w:t>（一）养护期内安排专人负责巡查和维护，及时修复损坏部分，确保苗木成活。</w:t>
            </w:r>
          </w:p>
          <w:p>
            <w:pPr>
              <w:pStyle w:val="null3"/>
              <w:jc w:val="both"/>
            </w:pPr>
            <w:r>
              <w:rPr>
                <w:rFonts w:ascii="仿宋_GB2312" w:hAnsi="仿宋_GB2312" w:cs="仿宋_GB2312" w:eastAsia="仿宋_GB2312"/>
                <w:sz w:val="21"/>
              </w:rPr>
              <w:t>（二）严格按照安全操作规程进行作业，确保实施、维护人员安全。</w:t>
            </w:r>
          </w:p>
          <w:p>
            <w:pPr>
              <w:pStyle w:val="null3"/>
              <w:jc w:val="both"/>
            </w:pPr>
            <w:r>
              <w:rPr>
                <w:rFonts w:ascii="仿宋_GB2312" w:hAnsi="仿宋_GB2312" w:cs="仿宋_GB2312" w:eastAsia="仿宋_GB2312"/>
                <w:sz w:val="21"/>
              </w:rPr>
              <w:t>（三）制定应急预案，配合采购人完成上级检查等突发情况，确保达到预期效果。</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至响应文件提交截止日一年内银行出具的资信证明，④供应商注册时间截至响应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授权委托书或法定身份证明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磋商前六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提供2025年5月1日至磋商截止时间前任意一个月已缴纳的完税凭证或税务机关开具的完税证明，依法免税的单位应提供相关证明材料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提供2025年5月1日至磋商截止时间前任意一个月的社会保障资金缴存单据或社保机构开具的社会保险参保缴费情况证明，依法不需要缴纳社会保障资金的供应商应提供相关证明文件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供应商不得为"中国执行信息公开网"网站(http://zxgk.court.qov.cn)中列入失信被执行人和"信用中国"网站(https:/www.creditchina.gov.cn/)列入重大税收违法失信主体名单的供应商，不得为中国政府采购网(htp://www.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近三年内无重大违法记录的声明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本项目专门面向小微企业采购(提供中小企业声明函)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工程量</w:t>
            </w:r>
          </w:p>
        </w:tc>
        <w:tc>
          <w:tcPr>
            <w:tcW w:type="dxa" w:w="3322"/>
          </w:tcPr>
          <w:p>
            <w:pPr>
              <w:pStyle w:val="null3"/>
            </w:pPr>
            <w:r>
              <w:rPr>
                <w:rFonts w:ascii="仿宋_GB2312" w:hAnsi="仿宋_GB2312" w:cs="仿宋_GB2312" w:eastAsia="仿宋_GB2312"/>
              </w:rPr>
              <w:t>响应文件未出现工程量漏项或工程量清单与要求不符的</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养护期</w:t>
            </w:r>
          </w:p>
        </w:tc>
        <w:tc>
          <w:tcPr>
            <w:tcW w:type="dxa" w:w="3322"/>
          </w:tcPr>
          <w:p>
            <w:pPr>
              <w:pStyle w:val="null3"/>
            </w:pPr>
            <w:r>
              <w:rPr>
                <w:rFonts w:ascii="仿宋_GB2312" w:hAnsi="仿宋_GB2312" w:cs="仿宋_GB2312" w:eastAsia="仿宋_GB2312"/>
              </w:rPr>
              <w:t>养护期满足竞争性磋商文件要求</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施工及绿化养护方案</w:t>
            </w:r>
          </w:p>
        </w:tc>
        <w:tc>
          <w:tcPr>
            <w:tcW w:type="dxa" w:w="2492"/>
          </w:tcPr>
          <w:p>
            <w:pPr>
              <w:pStyle w:val="null3"/>
            </w:pPr>
            <w:r>
              <w:rPr>
                <w:rFonts w:ascii="仿宋_GB2312" w:hAnsi="仿宋_GB2312" w:cs="仿宋_GB2312" w:eastAsia="仿宋_GB2312"/>
              </w:rPr>
              <w:t>施工及绿化养护方案内容至少包括①施工准备；②绿化养护方案；③栽培技术（包括但不限于保证成活率的技术、工艺以及防病虫害、风冻害等措施）；④绿化垃圾清理方案；⑤补栽所需苗木的供应保障方案；⑥相关投诉的处理方案等。每缺一项内容扣2分，以上内容专门针对本项目且符合本项目实际需求的得12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 目采购需求、表述不清不符合采购需求的情形。】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质量管理体系与措施内容至少包括①质量管理工作流程；②工程质量保障方案；③工程质量控制体系:④对施工材料、施工方法及实体质量的措施；每缺一项内容扣2分，以上内容专门针对本项目且符合本项目实际需求的得8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安全管理体系与措施内容至少包括①安全生产管理制度；②安全施工保证措施；③绿化养护机械、设备操作安全保障措施；每缺一项内容扣2分，以上内容专门针对本项目且符合本项目实际需求的得6分，若上述内容存在瑕疵，每存在 1 处瑕疵扣 1 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环境保护管理体系与措施内容至少包括①环境保护措施；②文明施工措施；③预防和动态控制措施及制度等。每缺一项内容扣2分，以上内容专门针对本项目且符合本项目实际需求的得6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 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工程进度计划与措施内容至少包括①施工进度计划管理；②保证工程进度技术措施；③合理组织、科学管理工程项目施工等，每缺一项内容扣2分；以上内容专门针对本项目且符合本项目实际需求的得6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资源配备计划内容至少包括①设备配备；②劳动力配备；③资金配备等。每缺一项内容扣2分，以上内容专门针对本项目且符合本项目实际需求的得6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应急保障措施内容至少包括①绿化补栽方案；②暴雨、冰冻灾害等突发性恶劣天气或人为原因影响应急预案；③重点植物关注措施及异常植物处置措施等，每缺一项内容扣2分；以上内容专门针对本项目且符合本项目实际需求的得6分，若上述内容存在瑕疵，每存在1处瑕疵扣1分，扣完为止。【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①项目管理机构②项目经理部组成。评审标准：评审内容任意一项缺项扣4分；以上内容切合本项目实际情况及实施要求，内容与要点相符、每个要点均有展开详细的阐述且能够适用于本项目的得8分；若上述内容存在瑕疵，每存在1处瑕疵扣1分，扣完为止。【注：“瑕疵”是指：内容粗略、逻辑混乱、描述过于简单、与项目特点不匹配、凭空编造、逻辑漏洞、出现常识性错误、套用其他项目方案、存在不可能实现的夸大情形、存在不适用项目实际情况的情形或只有标题没有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①后期服务配合的承诺②保证成活率的承诺③后期服务具体措施④合理化建议。 评审标准：每缺一项内容扣1分；以上内容与要点相符、每个要点均有展开详细的阐述且能够适用于本项目的得4分；若上述内容存在瑕疵，每存在1处瑕疵扣1分，扣完为止。【注：“瑕疵”是指：内容简单、与项目特点不匹配、套用其他项目相关内容或存在不适用项目实际情况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供应商提供2021年05月01日至今的类似项目业绩，每提供一个得2分,满分4分。注:业绩需附合同协议书主要页复印件，时间以合同签订日期为准。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项目负责人资格</w:t>
            </w:r>
          </w:p>
        </w:tc>
        <w:tc>
          <w:tcPr>
            <w:tcW w:type="dxa" w:w="2492"/>
          </w:tcPr>
          <w:p>
            <w:pPr>
              <w:pStyle w:val="null3"/>
            </w:pPr>
            <w:r>
              <w:rPr>
                <w:rFonts w:ascii="仿宋_GB2312" w:hAnsi="仿宋_GB2312" w:cs="仿宋_GB2312" w:eastAsia="仿宋_GB2312"/>
              </w:rPr>
              <w:t>此项满分4分。①项目负责人具备园林绿化相关专业中级及以上职称，得2分；其他职称不得分。②项目负责人提供2021年05月01日至今的类似项目业绩（业绩需体现项目负责人姓名），1个类似项目业绩得2分，最多得2分。注:业绩需附合同协议书主要页复印件，时间以合同签订日期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1.经资格审查、符合性审查合格的磋商响应文件，其投标报价为有效响应报价。 2.价格分统一采用低价优先法计算，即满足磋商文件要求且磋商价格最低的响应报价为磋商基准价，其价格分为满分。其他供应商的价格分统一按照下列公式计算：磋商报价得分=(磋商基准价／最终响应报价)×30； 注： 1）.计算分数时四舍五入取小数点后两位； 2）.评标委员会二分之一以上人员认为某磋商报价有低于成本价嫌疑的，为无效报价； 3）.本项目专门面向小微企业，不再享受价格优惠政策。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