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版本号：CZCZYY(2026)YNGZXM-120260717001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院内环境治理提升改造工程建设项目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CZCZYY(2026)YNGZXM-1</w:t>
      </w:r>
      <w:r>
        <w:br/>
      </w:r>
      <w:r>
        <w:br/>
      </w:r>
      <w:r>
        <w:br/>
      </w:r>
    </w:p>
    <w:p>
      <w:pPr>
        <w:pStyle w:val="null3"/>
        <w:jc w:val="center"/>
        <w:outlineLvl w:val="2"/>
      </w:pPr>
      <w:r>
        <w:rPr>
          <w:rFonts w:ascii="仿宋_GB2312" w:hAnsi="仿宋_GB2312" w:cs="仿宋_GB2312" w:eastAsia="仿宋_GB2312"/>
          <w:sz w:val="28"/>
          <w:b/>
        </w:rPr>
        <w:t>澄城县中医医院</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澄城县中医医院</w:t>
      </w:r>
      <w:r>
        <w:rPr>
          <w:rFonts w:ascii="仿宋_GB2312" w:hAnsi="仿宋_GB2312" w:cs="仿宋_GB2312" w:eastAsia="仿宋_GB2312"/>
        </w:rPr>
        <w:t>委托，拟对</w:t>
      </w:r>
      <w:r>
        <w:rPr>
          <w:rFonts w:ascii="仿宋_GB2312" w:hAnsi="仿宋_GB2312" w:cs="仿宋_GB2312" w:eastAsia="仿宋_GB2312"/>
        </w:rPr>
        <w:t>院内环境治理提升改造工程建设项目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CZCZYY(2026)YNGZXM-1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院内环境治理提升改造工程建设项目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改造内容涉及对院区路面修缮铺沥青混凝土、墙面处理、住院部两部电梯更新、康复楼到医养结合楼连廊等.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采购包1（院内环境治理提升改造工程建设项目）：属于专门面向中小企业采购。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①可提供2025年度经审计的财务报告（包含审计报告和审计报告中所涉及的财务报表和报表附注）②可提供2025年度供应商完整的全套财务报表（应当包括资产负债表、利润表、现金流量表、所有者权益变动表、附注）③可提供开标前六个月内基本存款账户开户银行出具的资信证明（附开户许可证或基本存款账户信息）④供应商注册时间截至开标时间不足一年的，也可提供在工商管理部门备案的公司章程。（以上四种形式的资料提供任何一种即可）</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8、供应商资质：供应商须具备行业主管部门颁发的市政公用工程施工总承包三级及以上资质；具有有效的安全生产许可证；</w:t>
      </w:r>
    </w:p>
    <w:p>
      <w:pPr>
        <w:pStyle w:val="null3"/>
      </w:pPr>
      <w:r>
        <w:rPr>
          <w:rFonts w:ascii="仿宋_GB2312" w:hAnsi="仿宋_GB2312" w:cs="仿宋_GB2312" w:eastAsia="仿宋_GB2312"/>
        </w:rPr>
        <w:t>9、拟派项目经理资质和专业：拟派项目经理须具有市政公用工程专业二级及以上注册建造师证书和有效的安全生产考核合格证书，且未担任其他在建工程的项目经理；</w:t>
      </w:r>
    </w:p>
    <w:p>
      <w:pPr>
        <w:pStyle w:val="null3"/>
      </w:pPr>
      <w:r>
        <w:rPr>
          <w:rFonts w:ascii="仿宋_GB2312" w:hAnsi="仿宋_GB2312" w:cs="仿宋_GB2312" w:eastAsia="仿宋_GB2312"/>
        </w:rPr>
        <w:t>10、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陕西省渭南市澄城县南大街36号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15891533262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澄城县中医医院</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澄城县中医医院</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澄城县中医医院</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澄城县中医医院</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联系人：梁先生</w:t>
      </w:r>
    </w:p>
    <w:p>
      <w:pPr>
        <w:pStyle w:val="null3"/>
      </w:pPr>
      <w:r>
        <w:rPr>
          <w:rFonts w:ascii="仿宋_GB2312" w:hAnsi="仿宋_GB2312" w:cs="仿宋_GB2312" w:eastAsia="仿宋_GB2312"/>
        </w:rPr>
        <w:t>联系电话：15891533262</w:t>
      </w:r>
    </w:p>
    <w:p>
      <w:pPr>
        <w:pStyle w:val="null3"/>
      </w:pPr>
      <w:r>
        <w:rPr>
          <w:rFonts w:ascii="仿宋_GB2312" w:hAnsi="仿宋_GB2312" w:cs="仿宋_GB2312" w:eastAsia="仿宋_GB2312"/>
        </w:rPr>
        <w:t>地址：澄城县中医医院</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3,050,000.00</w:t>
      </w:r>
    </w:p>
    <w:p>
      <w:pPr>
        <w:pStyle w:val="null3"/>
      </w:pPr>
      <w:r>
        <w:rPr>
          <w:rFonts w:ascii="仿宋_GB2312" w:hAnsi="仿宋_GB2312" w:cs="仿宋_GB2312" w:eastAsia="仿宋_GB2312"/>
        </w:rPr>
        <w:t>采购包最高限价（元）: 3,025,114.03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院内环境治理提升改造工程建设项目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标的名称：院内环境治理提升改造工程建设项目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一、项目概况：</w:t>
            </w:r>
          </w:p>
          <w:p>
            <w:pPr>
              <w:pStyle w:val="null3"/>
              <w:spacing w:before="105" w:after="105"/>
              <w:ind w:firstLine="640"/>
              <w:jc w:val="both"/>
            </w:pPr>
            <w:r>
              <w:rPr>
                <w:rFonts w:ascii="仿宋_GB2312" w:hAnsi="仿宋_GB2312" w:cs="仿宋_GB2312" w:eastAsia="仿宋_GB2312"/>
                <w:sz w:val="32"/>
              </w:rPr>
              <w:t>对院区路面修缮铺沥青混凝土、墙面处理、住院部两部电梯更新、康复楼到医养结合楼连廊等。</w:t>
            </w:r>
          </w:p>
          <w:p>
            <w:pPr>
              <w:pStyle w:val="null3"/>
              <w:spacing w:before="105" w:after="105"/>
              <w:ind w:firstLine="640"/>
              <w:jc w:val="both"/>
            </w:pPr>
            <w:r>
              <w:rPr>
                <w:rFonts w:ascii="仿宋_GB2312" w:hAnsi="仿宋_GB2312" w:cs="仿宋_GB2312" w:eastAsia="仿宋_GB2312"/>
                <w:sz w:val="32"/>
              </w:rPr>
              <w:t>工期：自合同签订之日起</w:t>
            </w:r>
            <w:r>
              <w:rPr>
                <w:rFonts w:ascii="仿宋_GB2312" w:hAnsi="仿宋_GB2312" w:cs="仿宋_GB2312" w:eastAsia="仿宋_GB2312"/>
                <w:sz w:val="32"/>
              </w:rPr>
              <w:t>90日历天</w:t>
            </w:r>
          </w:p>
          <w:p>
            <w:pPr>
              <w:pStyle w:val="null3"/>
              <w:spacing w:before="105" w:after="105"/>
              <w:ind w:firstLine="640"/>
              <w:jc w:val="both"/>
            </w:pPr>
            <w:r>
              <w:rPr>
                <w:rFonts w:ascii="仿宋_GB2312" w:hAnsi="仿宋_GB2312" w:cs="仿宋_GB2312" w:eastAsia="仿宋_GB2312"/>
                <w:sz w:val="32"/>
              </w:rPr>
              <w:t>工程地点：澄城县中医医院</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sz w:val="24"/>
              </w:rPr>
              <w:t xml:space="preserve"> </w:t>
            </w:r>
            <w:r>
              <w:rPr>
                <w:rFonts w:ascii="仿宋_GB2312" w:hAnsi="仿宋_GB2312" w:cs="仿宋_GB2312" w:eastAsia="仿宋_GB2312"/>
                <w:sz w:val="30"/>
              </w:rPr>
              <w:t>二、工程指标的具体要求：</w:t>
            </w:r>
          </w:p>
          <w:p>
            <w:pPr>
              <w:pStyle w:val="null3"/>
              <w:spacing w:before="105" w:after="105"/>
              <w:ind w:firstLine="643"/>
              <w:jc w:val="both"/>
            </w:pPr>
            <w:r>
              <w:rPr>
                <w:rFonts w:ascii="仿宋_GB2312" w:hAnsi="仿宋_GB2312" w:cs="仿宋_GB2312" w:eastAsia="仿宋_GB2312"/>
                <w:sz w:val="32"/>
              </w:rPr>
              <w:t>1、质量标准：合格</w:t>
            </w:r>
            <w:r>
              <w:rPr>
                <w:rFonts w:ascii="仿宋_GB2312" w:hAnsi="仿宋_GB2312" w:cs="仿宋_GB2312" w:eastAsia="仿宋_GB2312"/>
                <w:sz w:val="24"/>
              </w:rPr>
              <w:t xml:space="preserve"> </w:t>
            </w:r>
          </w:p>
          <w:p>
            <w:pPr>
              <w:pStyle w:val="null3"/>
              <w:spacing w:before="105" w:after="105"/>
              <w:ind w:firstLine="643"/>
              <w:jc w:val="both"/>
            </w:pPr>
            <w:r>
              <w:rPr>
                <w:rFonts w:ascii="仿宋_GB2312" w:hAnsi="仿宋_GB2312" w:cs="仿宋_GB2312" w:eastAsia="仿宋_GB2312"/>
                <w:sz w:val="32"/>
              </w:rPr>
              <w:t>2、质保期：其他2年</w:t>
            </w:r>
            <w:r>
              <w:rPr>
                <w:rFonts w:ascii="仿宋_GB2312" w:hAnsi="仿宋_GB2312" w:cs="仿宋_GB2312" w:eastAsia="仿宋_GB2312"/>
                <w:sz w:val="24"/>
              </w:rPr>
              <w:t xml:space="preserve"> </w:t>
            </w:r>
            <w:r>
              <w:rPr>
                <w:rFonts w:ascii="仿宋_GB2312" w:hAnsi="仿宋_GB2312" w:cs="仿宋_GB2312" w:eastAsia="仿宋_GB2312"/>
                <w:sz w:val="32"/>
              </w:rPr>
              <w:t>，防水</w:t>
            </w:r>
            <w:r>
              <w:rPr>
                <w:rFonts w:ascii="仿宋_GB2312" w:hAnsi="仿宋_GB2312" w:cs="仿宋_GB2312" w:eastAsia="仿宋_GB2312"/>
                <w:sz w:val="32"/>
              </w:rPr>
              <w:t>5年</w:t>
            </w:r>
          </w:p>
          <w:p>
            <w:pPr>
              <w:pStyle w:val="null3"/>
              <w:spacing w:before="105" w:after="105"/>
              <w:ind w:firstLine="643"/>
              <w:jc w:val="both"/>
            </w:pPr>
            <w:r>
              <w:rPr>
                <w:rFonts w:ascii="仿宋_GB2312" w:hAnsi="仿宋_GB2312" w:cs="仿宋_GB2312" w:eastAsia="仿宋_GB2312"/>
                <w:sz w:val="32"/>
              </w:rPr>
              <w:t>3、工程项目建设相关要求：技术经济指标符合国标要求。</w:t>
            </w:r>
          </w:p>
          <w:p>
            <w:pPr>
              <w:pStyle w:val="null3"/>
              <w:spacing w:before="105" w:after="105"/>
              <w:ind w:firstLine="640"/>
              <w:jc w:val="both"/>
            </w:pPr>
            <w:r>
              <w:rPr>
                <w:rFonts w:ascii="仿宋_GB2312" w:hAnsi="仿宋_GB2312" w:cs="仿宋_GB2312" w:eastAsia="仿宋_GB2312"/>
                <w:sz w:val="27"/>
              </w:rPr>
              <w:t>三、工程质量标准、期限、效率等要求</w:t>
            </w:r>
          </w:p>
          <w:p>
            <w:pPr>
              <w:pStyle w:val="null3"/>
              <w:spacing w:before="105" w:after="105"/>
              <w:ind w:firstLine="643"/>
              <w:jc w:val="both"/>
            </w:pPr>
            <w:r>
              <w:rPr>
                <w:rFonts w:ascii="仿宋_GB2312" w:hAnsi="仿宋_GB2312" w:cs="仿宋_GB2312" w:eastAsia="仿宋_GB2312"/>
                <w:sz w:val="32"/>
              </w:rPr>
              <w:t>工程质量标准国家相关标准、行业标准、地方标准或者其他标准、规范标准</w:t>
            </w:r>
            <w:r>
              <w:rPr>
                <w:rFonts w:ascii="仿宋_GB2312" w:hAnsi="仿宋_GB2312" w:cs="仿宋_GB2312" w:eastAsia="仿宋_GB2312"/>
                <w:sz w:val="32"/>
              </w:rPr>
              <w:t>;工程期限符合工期要求;工程质量保证满足期限和使用功能等。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质量标准：达到国家规定的“合格”标准。 验收标准或规范：达到国家标准，行业标准及采购人要求。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开标前六个月内基本存款账户开户银行出具的资信证明（附开户许可证或基本存款账户信息）④供应商注册时间截至开标时间不足一年的，也可提供在工商管理部门备案的公司章程。（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w:t>
            </w:r>
          </w:p>
        </w:tc>
        <w:tc>
          <w:tcPr>
            <w:tcW w:type="dxa" w:w="3322"/>
          </w:tcPr>
          <w:p>
            <w:pPr>
              <w:pStyle w:val="null3"/>
            </w:pPr>
            <w:r>
              <w:rPr>
                <w:rFonts w:ascii="仿宋_GB2312" w:hAnsi="仿宋_GB2312" w:cs="仿宋_GB2312" w:eastAsia="仿宋_GB2312"/>
              </w:rPr>
              <w:t>拟派项目经理须具有市政公用工程专业二级及以上注册建造师证书和有效的安全生产考核合格证书，且未担任其他在建工程的项目经理；</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法定代表人身份证明及法定代表人授权委托书.docx 已标价工程量清单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法定代表人身份证明及法定代表人授权委托书.docx 已标价工程量清单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盖章签署、盖章均符合磋商文件要求，且无遗漏</w:t>
            </w:r>
          </w:p>
        </w:tc>
        <w:tc>
          <w:tcPr>
            <w:tcW w:type="dxa" w:w="1661"/>
          </w:tcPr>
          <w:p>
            <w:pPr>
              <w:pStyle w:val="null3"/>
            </w:pPr>
            <w:r>
              <w:rPr>
                <w:rFonts w:ascii="仿宋_GB2312" w:hAnsi="仿宋_GB2312" w:cs="仿宋_GB2312" w:eastAsia="仿宋_GB2312"/>
              </w:rPr>
              <w:t>法定代表人身份证明及法定代表人授权委托书.docx 已标价工程量清单 中小企业声明函 技术服务合同条款及其他商务要求应答表 供应商应提交的相关资格证明材料 强制优先采购产品承诺函 响应文件封面 项目管理机构组成表 无重大违法记录书面声明.docx 详细评审.docx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施工方案内容至少包括： ①施工总平面布置图、施工进度表或施工网络图； ②施工准备及进度安排; ③施工方法； ④重点难点工程分析及解决措施； 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 ①质量管理流程； ②工程质量保障方案； ③工程质量控制体系； 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 ①安全生产管理制度； ②配置安全组织机构； 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 ①文明施工及环境保护管理制度； ②防尘降噪措施； ③节能减排措施； 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 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上述4项评审内容全部满足评审标准得6分，每有一个评审内容缺项扣1.5分，每有一项评审内容存在缺陷，扣0.5-1分，扣完为止。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 ①项目成员配置清单及架构 ②项目组配备人员的专业素质 ③人员结构 ④服务响应时间；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 ①施工机械配置计划； ②施工材料投入计划； 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内容至少包括 ①劳动力投入计划②劳动力保障措施；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提供2024年1月1日起至今同类项目业绩（附合同复印件或中标通知 书，时间以合同签订时间或中标通 知书时间为准），每提供一个计1 分，总分4，不提供不得分。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价格得分采用低价优先法计算，即满足磋商文件要求且最终报价最低的供应商的价格为磋商基准价，其价格得分为满分。其他供应商的价格得分统一按照下列公式计算：磋商报价得分=（磋商基准价/最终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详见附件：详细评审.docx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