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版本号：SXGLZFCG2026-012号20260605001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铜川市人才公寓运营管理项目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SXGLZFCG2026-012号</w:t>
      </w:r>
      <w:r>
        <w:br/>
      </w:r>
      <w:r>
        <w:br/>
      </w:r>
      <w:r>
        <w:br/>
      </w:r>
    </w:p>
    <w:p>
      <w:pPr>
        <w:pStyle w:val="null3"/>
        <w:jc w:val="center"/>
        <w:outlineLvl w:val="2"/>
      </w:pPr>
      <w:r>
        <w:rPr>
          <w:rFonts w:ascii="仿宋_GB2312" w:hAnsi="仿宋_GB2312" w:cs="仿宋_GB2312" w:eastAsia="仿宋_GB2312"/>
          <w:sz w:val="28"/>
          <w:b/>
        </w:rPr>
        <w:t>铜川市创业服务中心</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铜川市创业服务中心</w:t>
      </w:r>
      <w:r>
        <w:rPr>
          <w:rFonts w:ascii="仿宋_GB2312" w:hAnsi="仿宋_GB2312" w:cs="仿宋_GB2312" w:eastAsia="仿宋_GB2312"/>
        </w:rPr>
        <w:t>委托，拟对</w:t>
      </w:r>
      <w:r>
        <w:rPr>
          <w:rFonts w:ascii="仿宋_GB2312" w:hAnsi="仿宋_GB2312" w:cs="仿宋_GB2312" w:eastAsia="仿宋_GB2312"/>
        </w:rPr>
        <w:t>铜川市人才公寓运营管理项目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SXGLZFCG2026-012号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铜川市人才公寓运营管理项目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人才公寓运营管理，建立健全人才公寓运营服务组织机构，负责人才公寓服务、管理和运营工作。主要包括：申请入住人员信息初审、前台接待、办理入住手续、物业维护、日常入住人员管理等。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采购包1（铜川市人才公寓运营管理项目）：属于专门面向小微企业采购。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p>
      <w:pPr>
        <w:pStyle w:val="null3"/>
      </w:pPr>
      <w:r>
        <w:rPr>
          <w:rFonts w:ascii="仿宋_GB2312" w:hAnsi="仿宋_GB2312" w:cs="仿宋_GB2312" w:eastAsia="仿宋_GB2312"/>
        </w:rPr>
        <w:t>2、授权委托书：法定代表人直接参加投标的，须出具法人身份证，并与营业执照上信息一致；法定代表人授权代表 参加投标的，须出具法定代表人授权书及授权代表身份证；</w:t>
      </w:r>
    </w:p>
    <w:p>
      <w:pPr>
        <w:pStyle w:val="null3"/>
      </w:pPr>
      <w:r>
        <w:rPr>
          <w:rFonts w:ascii="仿宋_GB2312" w:hAnsi="仿宋_GB2312" w:cs="仿宋_GB2312" w:eastAsia="仿宋_GB2312"/>
        </w:rPr>
        <w:t>3、财务状况报告：提供（1）或提供（2）：（1）提供2023年度至2025年度任意一年财务报告复印件，应满足以下要求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p>
      <w:pPr>
        <w:pStyle w:val="null3"/>
      </w:pPr>
      <w:r>
        <w:rPr>
          <w:rFonts w:ascii="仿宋_GB2312" w:hAnsi="仿宋_GB2312" w:cs="仿宋_GB2312" w:eastAsia="仿宋_GB2312"/>
        </w:rPr>
        <w:t>4、税收缴纳证明：提供2026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5、社保缴纳证明：提供2026年1月至今任意一个月的社会保障资金缴存单据或社保机构开具的社会保险参保缴费情况证明。依法不需要缴纳社会保障资金的供应商，应提供相关证明文件；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7、设备和专业技术能力承诺：具有履行合同所必需的设备和专业技术能力，提供证明材料或书面承诺并加盖公章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8、无重大违法记录声明：供应商在近三年经营活动中没有重大违法记录的声明；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铜川市创业服务中心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铜川市创业服务中心经办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0919-3150236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铜川市创业服务中心</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铜川市创业服务中心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铜川市创业服务中心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根据双方最终签订合同为准。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人才公寓运营管理，建立健全人才公寓运营服务组织机构，负责人才公寓服务、管理和运营工作。主要包括：申请入住人员信息初审、前台接待、办理入住手续、物业维护、日常入住人员管理等。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人才公寓运营管理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标的名称：人才公寓运营管理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铜川市</w:t>
            </w:r>
            <w:r>
              <w:rPr>
                <w:rFonts w:ascii="仿宋_GB2312" w:hAnsi="仿宋_GB2312" w:cs="仿宋_GB2312" w:eastAsia="仿宋_GB2312"/>
                <w:sz w:val="24"/>
              </w:rPr>
              <w:t>2024年人才公寓运营，主要为建立健全人才公寓运营服务组织机构，负责人才公寓服务、管理和运营工作。主要包括：申请入住人员信息初审、前台接待、办理入住手续、物业维护、日常入住人员管理等。包括但不限于以下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、为入住人员进行信息登记；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、保管并分发房间钥匙、水电卡；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、接待日常来访参观人员；</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、图书登记、管理以及借阅服务；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、日常公务接待；</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、督促物业加强对公寓服务，履行物业合同；</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、安全保卫、卫生保洁、绿化维护、水电及公用设施维修；</w:t>
            </w:r>
          </w:p>
          <w:p>
            <w:pPr>
              <w:pStyle w:val="null3"/>
            </w:pPr>
            <w:r>
              <w:rPr>
                <w:rFonts w:ascii="仿宋_GB2312" w:hAnsi="仿宋_GB2312" w:cs="仿宋_GB2312" w:eastAsia="仿宋_GB2312"/>
                <w:sz w:val="24"/>
              </w:rPr>
              <w:t xml:space="preserve">         8</w:t>
            </w:r>
            <w:r>
              <w:rPr>
                <w:rFonts w:ascii="仿宋_GB2312" w:hAnsi="仿宋_GB2312" w:cs="仿宋_GB2312" w:eastAsia="仿宋_GB2312"/>
                <w:sz w:val="24"/>
              </w:rPr>
              <w:t>、为入住人员提供餐饮服务及订餐服务。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根据磋商文件、采购需求、中标供应商响应文件及铜川市人才公寓管理办法等相关规定组织验收。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进度款，甲方每年年末对乙方运营服务情况进行考核，根据考核结果合格后一次性支付，达到付款条件起10个工作日内，支付合同总金额的100.0%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应全面履行协议，不履行或不完全履行协议应负违约责任。除不可抗力外，任何一方拒不履行协议义务，视为违约行为。2、乙方未达到本协议相关要求履约的，须按甲方要求限期整改整改仍未通过的，甲方有权终止合同。 合同争议、解除：1、因履行协议同引起的或与本合同有关的争议，甲、乙双方应通过友好协商解决，如果协商不能解决争议，任何一方均可向甲方所在地管辖权的人民法院提起诉讼。2、因不可抗力使本合同无法履行时，经双方协商一致，可以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1、服务期：合同签订之日起1年。本项目在合同期满前，甲方将对乙方进行考核，根据服务满意程度，甲方有权决定是否续签合同，累计合同履行期限不超过三年，合同一年一签。 2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 参加投标的，须出具法定代表人授权书及授权代表身份证；</w:t>
            </w:r>
          </w:p>
        </w:tc>
        <w:tc>
          <w:tcPr>
            <w:tcW w:type="dxa" w:w="1661"/>
          </w:tcPr>
          <w:p>
            <w:pPr>
              <w:pStyle w:val="null3"/>
            </w:pPr>
            <w:r>
              <w:rPr>
                <w:rFonts w:ascii="仿宋_GB2312" w:hAnsi="仿宋_GB2312" w:cs="仿宋_GB2312" w:eastAsia="仿宋_GB2312"/>
              </w:rPr>
              <w:t>法定代表人身份证明书.docx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法定代表人身份证明书.docx 残疾人福利性单位声明函 供应商类似项目业绩一览表(1包).docx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需满足磋商文件要求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不论总价还是分项报价及大写还是小写金额，均只能有一个有效报价，且未超过最高限价，否则按无效报价对待</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整体运营服务方案</w:t>
            </w:r>
          </w:p>
        </w:tc>
        <w:tc>
          <w:tcPr>
            <w:tcW w:type="dxa" w:w="2492"/>
          </w:tcPr>
          <w:p>
            <w:pPr>
              <w:pStyle w:val="null3"/>
            </w:pPr>
            <w:r>
              <w:rPr>
                <w:rFonts w:ascii="仿宋_GB2312" w:hAnsi="仿宋_GB2312" w:cs="仿宋_GB2312" w:eastAsia="仿宋_GB2312"/>
              </w:rPr>
              <w:t>提供针对本项目的整体运营服务方案，内容至少包括①申请入住人员信息初审、前台接待、办理入住手续”的完整流程，明确各环节责任人及工作时限；②入住人员信息登记、钥匙/水电卡保管分发”的具体操作规范（含登记表样式、领用签字制度、补办流程）；③日常来访参观人员接待的标准流程（含预约登记、引导参观、信息记录）；④图书登记、管理及借阅服务的具体办法（含图书台账建立、借阅规则、归还管理）；⑤日常公务接待”的工作流程（含接待申请、准备、执行、反馈记录）。 以上内容专门针对本项目，且符合本项目实际需求的得15分，每缺一项扣3分，若上述内容存在瑕疵，每出现1项瑕疵扣0.5分，扣完为止。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管理团队及日常管理 制度</w:t>
            </w:r>
          </w:p>
        </w:tc>
        <w:tc>
          <w:tcPr>
            <w:tcW w:type="dxa" w:w="2492"/>
          </w:tcPr>
          <w:p>
            <w:pPr>
              <w:pStyle w:val="null3"/>
            </w:pPr>
            <w:r>
              <w:rPr>
                <w:rFonts w:ascii="仿宋_GB2312" w:hAnsi="仿宋_GB2312" w:cs="仿宋_GB2312" w:eastAsia="仿宋_GB2312"/>
              </w:rPr>
              <w:t>提供针对本项目的管理团队及日常管理制度，内容至少包括①工作职能组织运行图，；②项目经理的管理职责；③内部管理的职责分工和人员管理承诺。 ④提供详细的岗前培训计划，培训内容至少覆盖：服务礼仪、入住/退宿流程、钥匙水电卡管理、应急处理。以上内容专门针对本项目，且符合本项目实际需求的得12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物业与设施管理方案</w:t>
            </w:r>
          </w:p>
        </w:tc>
        <w:tc>
          <w:tcPr>
            <w:tcW w:type="dxa" w:w="2492"/>
          </w:tcPr>
          <w:p>
            <w:pPr>
              <w:pStyle w:val="null3"/>
            </w:pPr>
            <w:r>
              <w:rPr>
                <w:rFonts w:ascii="仿宋_GB2312" w:hAnsi="仿宋_GB2312" w:cs="仿宋_GB2312" w:eastAsia="仿宋_GB2312"/>
              </w:rPr>
              <w:t>提供针对本项目物业与设施管理方案，内容至少包括①明确物业监督考核机制，包括每周检查、每月评分、问题整改通知单等具体形式；②明确维修响应机制，包括报修渠道（如电话、小程序、前台登记），并承诺紧急维修时效性；③明确安全保卫管理措施，包括门禁管理、夜间巡查（明确巡查频次，如每晚不少于2次）、来访登记制度；④明确卫生保洁、绿化维护的具体标准（如每日保洁频次、垃圾清运时间、绿化修剪周期）等。 以上内容专门针对本项目，且符合本项目实际需求的得12分，每缺一项扣3分，若上述内容存在瑕疵，每出现1项瑕疵扣0.5分，扣完为止。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餐饮及订餐服务方案</w:t>
            </w:r>
          </w:p>
        </w:tc>
        <w:tc>
          <w:tcPr>
            <w:tcW w:type="dxa" w:w="2492"/>
          </w:tcPr>
          <w:p>
            <w:pPr>
              <w:pStyle w:val="null3"/>
            </w:pPr>
            <w:r>
              <w:rPr>
                <w:rFonts w:ascii="仿宋_GB2312" w:hAnsi="仿宋_GB2312" w:cs="仿宋_GB2312" w:eastAsia="仿宋_GB2312"/>
              </w:rPr>
              <w:t>提供针对本项目的餐饮及订餐服务方案，内容至少包括①明确供餐方式（如集中配送、食堂就餐等）及每日供餐时段（至少含早、中、晚）；②提供订餐服务流程（如微信群、小程序、电话订餐），并明确订餐截止时间及配送方式；③针对特殊饮食需求（如回民餐、素食、病号餐）提供可选方案或说明处理机制。 以上内容专门针对本项目且符合本项目实际需求的得9分，每缺一项内容扣3分，若上述内容存在瑕疵，每存在1处瑕疵扣0.5分，扣完为止。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服务质量保障与投诉处理</w:t>
            </w:r>
          </w:p>
        </w:tc>
        <w:tc>
          <w:tcPr>
            <w:tcW w:type="dxa" w:w="2492"/>
          </w:tcPr>
          <w:p>
            <w:pPr>
              <w:pStyle w:val="null3"/>
            </w:pPr>
            <w:r>
              <w:rPr>
                <w:rFonts w:ascii="仿宋_GB2312" w:hAnsi="仿宋_GB2312" w:cs="仿宋_GB2312" w:eastAsia="仿宋_GB2312"/>
              </w:rPr>
              <w:t>提供针对本项目的服务质量保障与投诉处理方案，内容至少包括①建立住户满意度调查制度，承诺每季度开展不少于多少次调查，并留存记录；②建立投诉处理闭环流程，包括投诉渠道（电话、意见箱、线上）、受理时限、处理时限、回访机制；③提供服务质量内部巡检制度，每月至少多少次全面巡检，并出具巡检报告；④承诺针对满意度调查和投诉中反映的问题，制定整改措施并公示整改情况。 以上内容专门针对本项目且符合本项目实际需求的得12分，每缺一项内容扣3分，若上述内容存在瑕疵，每存在1处瑕疵扣0.5分，扣完为止。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提供针对本项目的应急管理方案，内容至少包括①提供消防安全应急预案，含疏散路线图、消防器材检查制度；②提供治安事件应急预案（如盗窃、打架斗殴等），明确对接派出所流程及内部处置措施；③提供设施设备故障应急预案（如停水、停电、电梯困人等），明确备用措施及维修联系人；④提供公共卫生事件应急预案（如传染病、食品安全、疫情），含隔离、消杀、信息上报等流程。 以上内容专门针对本项目且符合本项目实际需求的得12分，每缺一项内容扣3分，若上述内容存在瑕疵，每存在1处瑕疵扣0.5分，扣完为止。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工作重点、难点分析措施</w:t>
            </w:r>
          </w:p>
        </w:tc>
        <w:tc>
          <w:tcPr>
            <w:tcW w:type="dxa" w:w="2492"/>
          </w:tcPr>
          <w:p>
            <w:pPr>
              <w:pStyle w:val="null3"/>
            </w:pPr>
            <w:r>
              <w:rPr>
                <w:rFonts w:ascii="仿宋_GB2312" w:hAnsi="仿宋_GB2312" w:cs="仿宋_GB2312" w:eastAsia="仿宋_GB2312"/>
              </w:rPr>
              <w:t>提供针对本项目的工作重点、难点分析措施，内容至少包括①项目运营过程中重点难点分析及解决措施；②对项目背景及关键节点分析及解决措施。 以上内容专门针对本项目且符合本项目实际需求的得6分，每缺一项内容扣3分，若上述内容存在瑕疵，每存在1处瑕疵扣0.5分，扣完为止。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服务措施切实可行，能够考虑并满足服务的多种需求，向采购人提出合理化建议。能够接受采购人对服务的监督、批评和建议。服务措施详尽、全面、有效、合理，可实施性强，得6分；服务措施有效、合理，具有一定实施性，得4分；服务措施简单、不具有实施性，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供应商提供2023年1月01日至今（以合同签订时间为准）的类似项目业绩，每提供一份得2分，满分6分。 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价格分采用低价优先法计算，即满足磋商文件要求且最终响应报价最低的响应报价为评标基准价，其价格分为满分。其他供应商的价格分统一按照下列公式计算：磋商报价=（评标基准价/响应报价）×价格权值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详见附件：供应商类似项目业绩一览表(1包).docx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